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_Toc101877410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_Toc101877411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_Toc101877412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_Toc101877414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_Toc101877415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_Toc101877416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_Toc101877418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_Toc101877419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_Toc101877420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_Toc101877422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_Toc101877423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_Toc101877424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_Toc101877425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_Toc101877426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_Toc101877428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_Toc101877429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_Toc101877430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_Toc101877431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_Toc101877432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_Toc101877433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_Toc101877434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_Toc101877437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_Toc101877438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_Toc101877439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_Toc101877441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_Toc101877442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_Toc101877443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_Toc101877444 \h </w:instrText>
      </w:r>
      <w:r>
        <w:fldChar w:fldCharType="separate"/>
      </w:r>
      <w:r>
        <w:t>14</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_Toc101877445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_Toc101877446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_Toc101877447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_Toc101877448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_Toc101877450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_Toc101877452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_Toc101877453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_Toc101877454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_Toc101877455 \h </w:instrText>
      </w:r>
      <w:r>
        <w:fldChar w:fldCharType="separate"/>
      </w:r>
      <w:r>
        <w:t>19</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_Toc101877456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_Toc101877458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_Toc101877459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_Toc101877460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_Toc101877461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_Toc101877462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_Toc101877463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_Toc101877465 \h </w:instrText>
      </w:r>
      <w:r>
        <w:fldChar w:fldCharType="separate"/>
      </w:r>
      <w:r>
        <w:t>27</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_Toc101877466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_Toc101877468 \h </w:instrText>
      </w:r>
      <w:r>
        <w:fldChar w:fldCharType="separate"/>
      </w:r>
      <w:r>
        <w:t>28</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_Toc101877469 \h </w:instrText>
      </w:r>
      <w:r>
        <w:fldChar w:fldCharType="separate"/>
      </w:r>
      <w:r>
        <w:t>30</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_Toc101877470 \h </w:instrText>
      </w:r>
      <w:r>
        <w:fldChar w:fldCharType="separate"/>
      </w:r>
      <w:r>
        <w:t>32</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_Toc101877471 \h </w:instrText>
      </w:r>
      <w:r>
        <w:fldChar w:fldCharType="separate"/>
      </w:r>
      <w:r>
        <w:t>34</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_Toc101877472 \h </w:instrText>
      </w:r>
      <w:r>
        <w:fldChar w:fldCharType="separate"/>
      </w:r>
      <w:r>
        <w:t>36</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_Toc101877473 \h </w:instrText>
      </w:r>
      <w:r>
        <w:fldChar w:fldCharType="separate"/>
      </w:r>
      <w:r>
        <w:t>39</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_Toc101877474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_Toc101877476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_Toc101877477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01872129"/>
      <w:bookmarkStart w:id="4" w:name="_Toc101873684"/>
      <w:bookmarkStart w:id="5" w:name="_Toc1018774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187741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01877411"/>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01877412"/>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01872133"/>
      <w:bookmarkStart w:id="10" w:name="_Toc101873688"/>
      <w:bookmarkStart w:id="11" w:name="_Toc101877413"/>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01877414"/>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3" w:name="_Toc99957416"/>
      <w:bookmarkStart w:id="14" w:name="_Toc101877415"/>
      <w:r>
        <w:rPr>
          <w:rStyle w:val="CharSectno"/>
        </w:rPr>
        <w:t>4A</w:t>
      </w:r>
      <w:r>
        <w:t>.</w:t>
      </w:r>
      <w:r>
        <w:tab/>
        <w:t>Interim placement arrangements (Act s. 79(2)(a)(iv))</w:t>
      </w:r>
      <w:bookmarkEnd w:id="13"/>
      <w:bookmarkEnd w:id="14"/>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5" w:name="_Toc101877416"/>
      <w:r>
        <w:rPr>
          <w:rStyle w:val="CharSectno"/>
        </w:rPr>
        <w:t>5</w:t>
      </w:r>
      <w:r>
        <w:t>.</w:t>
      </w:r>
      <w:r>
        <w:tab/>
        <w:t>Records, prescribed information for (Act s. 128)</w:t>
      </w:r>
      <w:bookmarkEnd w:id="1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6" w:name="_Toc101872136"/>
      <w:bookmarkStart w:id="17" w:name="_Toc101873692"/>
      <w:bookmarkStart w:id="18" w:name="_Toc101877417"/>
      <w:r>
        <w:rPr>
          <w:rStyle w:val="CharPartNo"/>
        </w:rPr>
        <w:lastRenderedPageBreak/>
        <w:t>Part 3</w:t>
      </w:r>
      <w:r>
        <w:rPr>
          <w:rStyle w:val="CharDivNo"/>
        </w:rPr>
        <w:t> </w:t>
      </w:r>
      <w:r>
        <w:t>—</w:t>
      </w:r>
      <w:r>
        <w:rPr>
          <w:rStyle w:val="CharDivText"/>
        </w:rPr>
        <w:t> </w:t>
      </w:r>
      <w:r>
        <w:rPr>
          <w:rStyle w:val="CharPartText"/>
        </w:rPr>
        <w:t>Restraint, search and seizure</w:t>
      </w:r>
      <w:bookmarkEnd w:id="16"/>
      <w:bookmarkEnd w:id="17"/>
      <w:bookmarkEnd w:id="18"/>
    </w:p>
    <w:p>
      <w:pPr>
        <w:pStyle w:val="Heading5"/>
      </w:pPr>
      <w:bookmarkStart w:id="19" w:name="_Toc101877418"/>
      <w:r>
        <w:rPr>
          <w:rStyle w:val="CharSectno"/>
        </w:rPr>
        <w:t>6</w:t>
      </w:r>
      <w:r>
        <w:t>.</w:t>
      </w:r>
      <w:r>
        <w:tab/>
        <w:t>Prescribed amount (Act s. 112 “disposable article”)</w:t>
      </w:r>
      <w:bookmarkEnd w:id="19"/>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20" w:name="_Toc101877419"/>
      <w:r>
        <w:rPr>
          <w:rStyle w:val="CharSectno"/>
        </w:rPr>
        <w:t>7</w:t>
      </w:r>
      <w:r>
        <w:t>.</w:t>
      </w:r>
      <w:r>
        <w:tab/>
        <w:t>Restraint of child under Act s. 114, officer’s duties after</w:t>
      </w:r>
      <w:bookmarkEnd w:id="20"/>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1" w:name="_Toc101877420"/>
      <w:r>
        <w:rPr>
          <w:rStyle w:val="CharSectno"/>
        </w:rPr>
        <w:t>8</w:t>
      </w:r>
      <w:r>
        <w:t>.</w:t>
      </w:r>
      <w:r>
        <w:tab/>
        <w:t>Articles seized under Act s. 116, dealing with</w:t>
      </w:r>
      <w:bookmarkEnd w:id="2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2" w:name="_Toc101872140"/>
      <w:bookmarkStart w:id="23" w:name="_Toc101873696"/>
      <w:bookmarkStart w:id="24" w:name="_Toc101877421"/>
      <w:r>
        <w:rPr>
          <w:rStyle w:val="CharPartNo"/>
        </w:rPr>
        <w:lastRenderedPageBreak/>
        <w:t>Part 4AA</w:t>
      </w:r>
      <w:r>
        <w:rPr>
          <w:b w:val="0"/>
        </w:rPr>
        <w:t> </w:t>
      </w:r>
      <w:r>
        <w:t>—</w:t>
      </w:r>
      <w:r>
        <w:rPr>
          <w:b w:val="0"/>
        </w:rPr>
        <w:t> </w:t>
      </w:r>
      <w:r>
        <w:rPr>
          <w:rStyle w:val="CharPartText"/>
        </w:rPr>
        <w:t>Warrants</w:t>
      </w:r>
      <w:bookmarkEnd w:id="22"/>
      <w:bookmarkEnd w:id="23"/>
      <w:bookmarkEnd w:id="24"/>
    </w:p>
    <w:p>
      <w:pPr>
        <w:pStyle w:val="Footnoteheading"/>
      </w:pPr>
      <w:r>
        <w:tab/>
        <w:t>[Heading inserted: Gazette 19 Jun 2009 p. 2226.]</w:t>
      </w:r>
    </w:p>
    <w:p>
      <w:pPr>
        <w:pStyle w:val="Heading5"/>
      </w:pPr>
      <w:bookmarkStart w:id="25" w:name="_Toc101877422"/>
      <w:r>
        <w:rPr>
          <w:rStyle w:val="CharSectno"/>
        </w:rPr>
        <w:t>9AA</w:t>
      </w:r>
      <w:r>
        <w:t>.</w:t>
      </w:r>
      <w:r>
        <w:tab/>
        <w:t>Form of warrant (access) (Act s. 121(1))</w:t>
      </w:r>
      <w:bookmarkEnd w:id="2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6" w:name="_Toc101877423"/>
      <w:r>
        <w:rPr>
          <w:rStyle w:val="CharSectno"/>
        </w:rPr>
        <w:t>9AB</w:t>
      </w:r>
      <w:r>
        <w:t>.</w:t>
      </w:r>
      <w:r>
        <w:tab/>
        <w:t>Form of warrant (apprehension) (Act s. 122(1))</w:t>
      </w:r>
      <w:bookmarkEnd w:id="26"/>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7" w:name="_Toc101877424"/>
      <w:r>
        <w:rPr>
          <w:rStyle w:val="CharSectno"/>
        </w:rPr>
        <w:t>9AC</w:t>
      </w:r>
      <w:r>
        <w:t>.</w:t>
      </w:r>
      <w:r>
        <w:tab/>
        <w:t>Form of warrant (provisional protection and care) (Act s. 123(1))</w:t>
      </w:r>
      <w:bookmarkEnd w:id="27"/>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8" w:name="_Toc99957418"/>
      <w:bookmarkStart w:id="29" w:name="_Toc101877425"/>
      <w:r>
        <w:rPr>
          <w:rStyle w:val="CharSectno"/>
        </w:rPr>
        <w:t>9AD</w:t>
      </w:r>
      <w:r>
        <w:t>.</w:t>
      </w:r>
      <w:r>
        <w:tab/>
        <w:t>Information in application for entry warrant (Act s. 241L(2)(a))</w:t>
      </w:r>
      <w:bookmarkEnd w:id="28"/>
      <w:bookmarkEnd w:id="29"/>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bookmarkStart w:id="30" w:name="_Toc99957419"/>
      <w:r>
        <w:tab/>
        <w:t>[Regulation 9AD inserted: SL 2022/49 r. 6.]</w:t>
      </w:r>
    </w:p>
    <w:p>
      <w:pPr>
        <w:pStyle w:val="Heading5"/>
      </w:pPr>
      <w:bookmarkStart w:id="31" w:name="_Toc101877426"/>
      <w:r>
        <w:rPr>
          <w:rStyle w:val="CharSectno"/>
        </w:rPr>
        <w:t>9AE</w:t>
      </w:r>
      <w:r>
        <w:t>.</w:t>
      </w:r>
      <w:r>
        <w:tab/>
        <w:t>Form of entry warrant (Act s. 241M(3))</w:t>
      </w:r>
      <w:bookmarkEnd w:id="30"/>
      <w:bookmarkEnd w:id="31"/>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32" w:name="_Toc101872144"/>
      <w:bookmarkStart w:id="33" w:name="_Toc101873702"/>
      <w:bookmarkStart w:id="34" w:name="_Toc101877427"/>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32"/>
      <w:bookmarkEnd w:id="33"/>
      <w:bookmarkEnd w:id="34"/>
    </w:p>
    <w:p>
      <w:pPr>
        <w:pStyle w:val="Heading5"/>
      </w:pPr>
      <w:bookmarkStart w:id="35" w:name="_Toc101877428"/>
      <w:r>
        <w:rPr>
          <w:rStyle w:val="CharSectno"/>
        </w:rPr>
        <w:t>9</w:t>
      </w:r>
      <w:r>
        <w:t>.</w:t>
      </w:r>
      <w:r>
        <w:tab/>
        <w:t>Terms used</w:t>
      </w:r>
      <w:bookmarkEnd w:id="35"/>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6" w:name="_Toc101877429"/>
      <w:r>
        <w:rPr>
          <w:rStyle w:val="CharSectno"/>
        </w:rPr>
        <w:t>10</w:t>
      </w:r>
      <w:r>
        <w:t>.</w:t>
      </w:r>
      <w:r>
        <w:tab/>
        <w:t>Convenors, appointment of (Act s. 136)</w:t>
      </w:r>
      <w:bookmarkEnd w:id="36"/>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7" w:name="_Toc101877430"/>
      <w:r>
        <w:rPr>
          <w:rStyle w:val="CharSectno"/>
        </w:rPr>
        <w:t>11</w:t>
      </w:r>
      <w:r>
        <w:t>.</w:t>
      </w:r>
      <w:r>
        <w:tab/>
        <w:t>Terms and conditions of convenors’ appointments</w:t>
      </w:r>
      <w:bookmarkEnd w:id="37"/>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38" w:name="_Toc101877431"/>
      <w:r>
        <w:rPr>
          <w:rStyle w:val="CharSectno"/>
        </w:rPr>
        <w:t>12</w:t>
      </w:r>
      <w:r>
        <w:t>.</w:t>
      </w:r>
      <w:r>
        <w:tab/>
        <w:t>Resignation by convenor</w:t>
      </w:r>
      <w:bookmarkEnd w:id="38"/>
    </w:p>
    <w:p>
      <w:pPr>
        <w:pStyle w:val="Subsection"/>
      </w:pPr>
      <w:r>
        <w:tab/>
      </w:r>
      <w:r>
        <w:tab/>
        <w:t>A convenor appointed under regulation 10(b) may resign from office by giving the President a signed letter of resignation.</w:t>
      </w:r>
    </w:p>
    <w:p>
      <w:pPr>
        <w:pStyle w:val="Heading5"/>
      </w:pPr>
      <w:bookmarkStart w:id="39" w:name="_Toc101877432"/>
      <w:r>
        <w:rPr>
          <w:rStyle w:val="CharSectno"/>
        </w:rPr>
        <w:lastRenderedPageBreak/>
        <w:t>13</w:t>
      </w:r>
      <w:r>
        <w:t>.</w:t>
      </w:r>
      <w:r>
        <w:tab/>
        <w:t>Removing convenor from office</w:t>
      </w:r>
      <w:bookmarkEnd w:id="39"/>
    </w:p>
    <w:p>
      <w:pPr>
        <w:pStyle w:val="Subsection"/>
      </w:pPr>
      <w:r>
        <w:tab/>
      </w:r>
      <w:r>
        <w:tab/>
        <w:t>The President may remove a convenor appointed under regulation 10(b) from office at any time.</w:t>
      </w:r>
    </w:p>
    <w:p>
      <w:pPr>
        <w:pStyle w:val="Heading5"/>
      </w:pPr>
      <w:bookmarkStart w:id="40" w:name="_Toc101877433"/>
      <w:r>
        <w:rPr>
          <w:rStyle w:val="CharSectno"/>
        </w:rPr>
        <w:t>14</w:t>
      </w:r>
      <w:r>
        <w:t>.</w:t>
      </w:r>
      <w:r>
        <w:tab/>
        <w:t>People who may attend pre</w:t>
      </w:r>
      <w:r>
        <w:noBreakHyphen/>
        <w:t>hearing conference</w:t>
      </w:r>
      <w:bookmarkEnd w:id="40"/>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41" w:name="_Toc101877434"/>
      <w:r>
        <w:rPr>
          <w:rStyle w:val="CharSectno"/>
        </w:rPr>
        <w:t>15</w:t>
      </w:r>
      <w:r>
        <w:t>.</w:t>
      </w:r>
      <w:r>
        <w:tab/>
        <w:t>Participation using video link, audio link etc.</w:t>
      </w:r>
      <w:bookmarkEnd w:id="41"/>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42" w:name="_Toc101872152"/>
      <w:bookmarkStart w:id="43" w:name="_Toc101873710"/>
      <w:bookmarkStart w:id="44" w:name="_Toc101877435"/>
      <w:r>
        <w:rPr>
          <w:rStyle w:val="CharPartNo"/>
        </w:rPr>
        <w:lastRenderedPageBreak/>
        <w:t>Part 5A</w:t>
      </w:r>
      <w:r>
        <w:rPr>
          <w:b w:val="0"/>
        </w:rPr>
        <w:t> </w:t>
      </w:r>
      <w:r>
        <w:t>—</w:t>
      </w:r>
      <w:r>
        <w:rPr>
          <w:b w:val="0"/>
        </w:rPr>
        <w:t> </w:t>
      </w:r>
      <w:r>
        <w:rPr>
          <w:rStyle w:val="CharPartText"/>
        </w:rPr>
        <w:t>Parentage testing procedures and reports</w:t>
      </w:r>
      <w:bookmarkEnd w:id="42"/>
      <w:bookmarkEnd w:id="43"/>
      <w:bookmarkEnd w:id="44"/>
    </w:p>
    <w:p>
      <w:pPr>
        <w:pStyle w:val="Footnoteheading"/>
      </w:pPr>
      <w:r>
        <w:tab/>
        <w:t>[Heading inserted: Gazette 28 Jan 2011 p. 243.]</w:t>
      </w:r>
    </w:p>
    <w:p>
      <w:pPr>
        <w:pStyle w:val="Heading3"/>
      </w:pPr>
      <w:bookmarkStart w:id="45" w:name="_Toc101872153"/>
      <w:bookmarkStart w:id="46" w:name="_Toc101873711"/>
      <w:bookmarkStart w:id="47" w:name="_Toc101877436"/>
      <w:r>
        <w:rPr>
          <w:rStyle w:val="CharDivNo"/>
        </w:rPr>
        <w:t>Division 1</w:t>
      </w:r>
      <w:r>
        <w:t> — </w:t>
      </w:r>
      <w:r>
        <w:rPr>
          <w:rStyle w:val="CharDivText"/>
        </w:rPr>
        <w:t>General</w:t>
      </w:r>
      <w:bookmarkEnd w:id="45"/>
      <w:bookmarkEnd w:id="46"/>
      <w:bookmarkEnd w:id="47"/>
    </w:p>
    <w:p>
      <w:pPr>
        <w:pStyle w:val="Footnoteheading"/>
      </w:pPr>
      <w:r>
        <w:tab/>
        <w:t>[Heading inserted: Gazette 28 Jan 2011 p. 243.]</w:t>
      </w:r>
    </w:p>
    <w:p>
      <w:pPr>
        <w:pStyle w:val="Heading5"/>
      </w:pPr>
      <w:bookmarkStart w:id="48" w:name="_Toc101877437"/>
      <w:r>
        <w:rPr>
          <w:rStyle w:val="CharSectno"/>
        </w:rPr>
        <w:t>16A</w:t>
      </w:r>
      <w:r>
        <w:t>.</w:t>
      </w:r>
      <w:r>
        <w:tab/>
        <w:t>Terms used</w:t>
      </w:r>
      <w:bookmarkEnd w:id="48"/>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lastRenderedPageBreak/>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9" w:name="_Toc101877438"/>
      <w:r>
        <w:rPr>
          <w:rStyle w:val="CharSectno"/>
        </w:rPr>
        <w:t>16B</w:t>
      </w:r>
      <w:r>
        <w:t>.</w:t>
      </w:r>
      <w:r>
        <w:tab/>
        <w:t>Parentage testing procedures (Act s. 136A)</w:t>
      </w:r>
      <w:bookmarkEnd w:id="4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50" w:name="_Toc101877439"/>
      <w:r>
        <w:rPr>
          <w:rStyle w:val="CharSectno"/>
        </w:rPr>
        <w:t>16C</w:t>
      </w:r>
      <w:r>
        <w:t>.</w:t>
      </w:r>
      <w:r>
        <w:tab/>
        <w:t>Compliance with regulations</w:t>
      </w:r>
      <w:bookmarkEnd w:id="50"/>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lastRenderedPageBreak/>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51" w:name="_Toc101872157"/>
      <w:bookmarkStart w:id="52" w:name="_Toc101873715"/>
      <w:bookmarkStart w:id="53" w:name="_Toc101877440"/>
      <w:r>
        <w:rPr>
          <w:rStyle w:val="CharDivNo"/>
        </w:rPr>
        <w:t>Division 2</w:t>
      </w:r>
      <w:r>
        <w:t> — </w:t>
      </w:r>
      <w:r>
        <w:rPr>
          <w:rStyle w:val="CharDivText"/>
        </w:rPr>
        <w:t>Collection, storage and testing of samples</w:t>
      </w:r>
      <w:bookmarkEnd w:id="51"/>
      <w:bookmarkEnd w:id="52"/>
      <w:bookmarkEnd w:id="53"/>
    </w:p>
    <w:p>
      <w:pPr>
        <w:pStyle w:val="Footnoteheading"/>
      </w:pPr>
      <w:r>
        <w:tab/>
        <w:t>[Heading inserted: Gazette 28 Jan 2011 p. 245.]</w:t>
      </w:r>
    </w:p>
    <w:p>
      <w:pPr>
        <w:pStyle w:val="Heading5"/>
      </w:pPr>
      <w:bookmarkStart w:id="54" w:name="_Toc101877441"/>
      <w:r>
        <w:rPr>
          <w:rStyle w:val="CharSectno"/>
        </w:rPr>
        <w:t>16D</w:t>
      </w:r>
      <w:r>
        <w:t>.</w:t>
      </w:r>
      <w:r>
        <w:tab/>
        <w:t>Bodily samples, who may take</w:t>
      </w:r>
      <w:bookmarkEnd w:id="54"/>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55" w:name="_Toc101877442"/>
      <w:r>
        <w:rPr>
          <w:rStyle w:val="CharSectno"/>
        </w:rPr>
        <w:t>16E</w:t>
      </w:r>
      <w:r>
        <w:t>.</w:t>
      </w:r>
      <w:r>
        <w:tab/>
        <w:t>Information about donor to be given before bodily sample taken</w:t>
      </w:r>
      <w:bookmarkEnd w:id="55"/>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 xml:space="preserve">provided to the sampler a recent photograph of the donor, measuring approximately 45 mm by 35 mm, that shows a full face view of the donor’s </w:t>
      </w:r>
      <w:r>
        <w:lastRenderedPageBreak/>
        <w:t>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6" w:name="_Toc101877443"/>
      <w:r>
        <w:rPr>
          <w:rStyle w:val="CharSectno"/>
        </w:rPr>
        <w:t>16F</w:t>
      </w:r>
      <w:r>
        <w:t>.</w:t>
      </w:r>
      <w:r>
        <w:tab/>
        <w:t>Blood samples, taking of</w:t>
      </w:r>
      <w:bookmarkEnd w:id="56"/>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7" w:name="_Toc101877444"/>
      <w:r>
        <w:rPr>
          <w:rStyle w:val="CharSectno"/>
        </w:rPr>
        <w:t>16G</w:t>
      </w:r>
      <w:r>
        <w:t>.</w:t>
      </w:r>
      <w:r>
        <w:tab/>
        <w:t>Bodily samples for DNA typing, taking of</w:t>
      </w:r>
      <w:bookmarkEnd w:id="57"/>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lastRenderedPageBreak/>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8" w:name="_Toc101877445"/>
      <w:r>
        <w:rPr>
          <w:rStyle w:val="CharSectno"/>
        </w:rPr>
        <w:t>16H</w:t>
      </w:r>
      <w:r>
        <w:t>.</w:t>
      </w:r>
      <w:r>
        <w:tab/>
        <w:t>Bodily samples, procedure for dealing with immediately after taking</w:t>
      </w:r>
      <w:bookmarkEnd w:id="58"/>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lastRenderedPageBreak/>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9" w:name="_Toc101877446"/>
      <w:r>
        <w:rPr>
          <w:rStyle w:val="CharSectno"/>
        </w:rPr>
        <w:t>16I</w:t>
      </w:r>
      <w:r>
        <w:t>.</w:t>
      </w:r>
      <w:r>
        <w:tab/>
        <w:t>Sampler’s duties after taking bodily sample</w:t>
      </w:r>
      <w:bookmarkEnd w:id="59"/>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lastRenderedPageBreak/>
        <w:tab/>
        <w:t>(c)</w:t>
      </w:r>
      <w:r>
        <w:tab/>
        <w:t xml:space="preserve">sign </w:t>
      </w:r>
      <w:bookmarkStart w:id="60" w:name="_Hlk101873039"/>
      <w:r>
        <w:t>their</w:t>
      </w:r>
      <w:bookmarkEnd w:id="60"/>
      <w:r>
        <w:t xml:space="preserve">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61" w:name="_Toc101877447"/>
      <w:r>
        <w:rPr>
          <w:rStyle w:val="CharSectno"/>
        </w:rPr>
        <w:t>16J</w:t>
      </w:r>
      <w:r>
        <w:t>.</w:t>
      </w:r>
      <w:r>
        <w:tab/>
        <w:t>Packing, storing and transporting bodily samples for testing</w:t>
      </w:r>
      <w:bookmarkEnd w:id="6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62" w:name="_Toc101877448"/>
      <w:r>
        <w:rPr>
          <w:rStyle w:val="CharSectno"/>
        </w:rPr>
        <w:t>16K</w:t>
      </w:r>
      <w:r>
        <w:t>.</w:t>
      </w:r>
      <w:r>
        <w:tab/>
        <w:t>Time for testing bodily samples</w:t>
      </w:r>
      <w:bookmarkEnd w:id="62"/>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lastRenderedPageBreak/>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63" w:name="_Toc101872166"/>
      <w:bookmarkStart w:id="64" w:name="_Toc101873724"/>
      <w:bookmarkStart w:id="65" w:name="_Toc101877449"/>
      <w:r>
        <w:rPr>
          <w:rStyle w:val="CharDivNo"/>
        </w:rPr>
        <w:t>Division 3</w:t>
      </w:r>
      <w:r>
        <w:t> — </w:t>
      </w:r>
      <w:r>
        <w:rPr>
          <w:rStyle w:val="CharDivText"/>
        </w:rPr>
        <w:t>Reports</w:t>
      </w:r>
      <w:bookmarkEnd w:id="63"/>
      <w:bookmarkEnd w:id="64"/>
      <w:bookmarkEnd w:id="65"/>
    </w:p>
    <w:p>
      <w:pPr>
        <w:pStyle w:val="Footnoteheading"/>
        <w:keepNext/>
      </w:pPr>
      <w:r>
        <w:tab/>
        <w:t>[Heading inserted: Gazette 28 Jan 2011 p. 248.]</w:t>
      </w:r>
    </w:p>
    <w:p>
      <w:pPr>
        <w:pStyle w:val="Heading5"/>
      </w:pPr>
      <w:bookmarkStart w:id="66" w:name="_Toc101877450"/>
      <w:r>
        <w:rPr>
          <w:rStyle w:val="CharSectno"/>
        </w:rPr>
        <w:t>16L</w:t>
      </w:r>
      <w:r>
        <w:t>.</w:t>
      </w:r>
      <w:r>
        <w:tab/>
        <w:t>Reports of testing (Act s. 136H(b))</w:t>
      </w:r>
      <w:bookmarkEnd w:id="66"/>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7" w:name="_Toc101872168"/>
      <w:bookmarkStart w:id="68" w:name="_Toc101873726"/>
      <w:bookmarkStart w:id="69" w:name="_Toc101877451"/>
      <w:r>
        <w:rPr>
          <w:rStyle w:val="CharPartNo"/>
        </w:rPr>
        <w:lastRenderedPageBreak/>
        <w:t>Part 5</w:t>
      </w:r>
      <w:r>
        <w:rPr>
          <w:rStyle w:val="CharDivNo"/>
        </w:rPr>
        <w:t> </w:t>
      </w:r>
      <w:r>
        <w:t>—</w:t>
      </w:r>
      <w:r>
        <w:rPr>
          <w:rStyle w:val="CharDivText"/>
        </w:rPr>
        <w:t> </w:t>
      </w:r>
      <w:r>
        <w:rPr>
          <w:rStyle w:val="CharPartText"/>
        </w:rPr>
        <w:t>Reports about child</w:t>
      </w:r>
      <w:bookmarkEnd w:id="67"/>
      <w:bookmarkEnd w:id="68"/>
      <w:bookmarkEnd w:id="69"/>
    </w:p>
    <w:p>
      <w:pPr>
        <w:pStyle w:val="Heading5"/>
      </w:pPr>
      <w:bookmarkStart w:id="70" w:name="_Toc101877452"/>
      <w:r>
        <w:rPr>
          <w:rStyle w:val="CharSectno"/>
        </w:rPr>
        <w:t>16</w:t>
      </w:r>
      <w:r>
        <w:t>.</w:t>
      </w:r>
      <w:r>
        <w:tab/>
        <w:t>Terms used</w:t>
      </w:r>
      <w:bookmarkEnd w:id="70"/>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71" w:name="_Toc101877453"/>
      <w:r>
        <w:rPr>
          <w:rStyle w:val="CharSectno"/>
        </w:rPr>
        <w:t>17</w:t>
      </w:r>
      <w:r>
        <w:t>.</w:t>
      </w:r>
      <w:r>
        <w:tab/>
        <w:t>Appointing people to provide reports (Act s. 139)</w:t>
      </w:r>
      <w:bookmarkEnd w:id="7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72" w:name="_Toc101877454"/>
      <w:r>
        <w:rPr>
          <w:rStyle w:val="CharSectno"/>
        </w:rPr>
        <w:t>18</w:t>
      </w:r>
      <w:r>
        <w:t>.</w:t>
      </w:r>
      <w:r>
        <w:tab/>
        <w:t>President to establish panel</w:t>
      </w:r>
      <w:bookmarkEnd w:id="72"/>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73" w:name="_Toc101877455"/>
      <w:r>
        <w:rPr>
          <w:rStyle w:val="CharSectno"/>
        </w:rPr>
        <w:t>19</w:t>
      </w:r>
      <w:r>
        <w:t>.</w:t>
      </w:r>
      <w:r>
        <w:tab/>
        <w:t>Terms and conditions of appointment under Act s. 139</w:t>
      </w:r>
      <w:bookmarkEnd w:id="73"/>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74" w:name="_Toc101877456"/>
      <w:r>
        <w:rPr>
          <w:rStyle w:val="CharSectno"/>
        </w:rPr>
        <w:lastRenderedPageBreak/>
        <w:t>20</w:t>
      </w:r>
      <w:r>
        <w:t>.</w:t>
      </w:r>
      <w:r>
        <w:tab/>
        <w:t>Costs of report</w:t>
      </w:r>
      <w:bookmarkEnd w:id="74"/>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75" w:name="_Toc101872174"/>
      <w:bookmarkStart w:id="76" w:name="_Toc101873732"/>
      <w:bookmarkStart w:id="77" w:name="_Toc101877457"/>
      <w:r>
        <w:rPr>
          <w:rStyle w:val="CharPartNo"/>
        </w:rPr>
        <w:lastRenderedPageBreak/>
        <w:t>Part 6</w:t>
      </w:r>
      <w:r>
        <w:rPr>
          <w:rStyle w:val="CharDivNo"/>
        </w:rPr>
        <w:t> </w:t>
      </w:r>
      <w:r>
        <w:t>—</w:t>
      </w:r>
      <w:r>
        <w:rPr>
          <w:rStyle w:val="CharDivText"/>
        </w:rPr>
        <w:t> </w:t>
      </w:r>
      <w:r>
        <w:rPr>
          <w:rStyle w:val="CharPartText"/>
        </w:rPr>
        <w:t>Miscellaneous</w:t>
      </w:r>
      <w:bookmarkEnd w:id="75"/>
      <w:bookmarkEnd w:id="76"/>
      <w:bookmarkEnd w:id="77"/>
    </w:p>
    <w:p>
      <w:pPr>
        <w:pStyle w:val="Heading5"/>
      </w:pPr>
      <w:bookmarkStart w:id="78" w:name="_Toc101877458"/>
      <w:r>
        <w:rPr>
          <w:rStyle w:val="CharSectno"/>
        </w:rPr>
        <w:t>20A</w:t>
      </w:r>
      <w:r>
        <w:t>.</w:t>
      </w:r>
      <w:r>
        <w:tab/>
        <w:t>Prescribed authorities (Act s. 28A)</w:t>
      </w:r>
      <w:bookmarkEnd w:id="78"/>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79" w:name="_Toc101877459"/>
      <w:r>
        <w:rPr>
          <w:rStyle w:val="CharSectno"/>
        </w:rPr>
        <w:t>21</w:t>
      </w:r>
      <w:r>
        <w:t>.</w:t>
      </w:r>
      <w:r>
        <w:tab/>
        <w:t>Payments to special guardians (Act s. 65)</w:t>
      </w:r>
      <w:bookmarkEnd w:id="79"/>
    </w:p>
    <w:p>
      <w:pPr>
        <w:pStyle w:val="Subsection"/>
      </w:pPr>
      <w:r>
        <w:tab/>
        <w:t>(1)</w:t>
      </w:r>
      <w:r>
        <w:tab/>
        <w:t>For the purposes of section 65 the scale of amounts set out in the Table is prescribed.</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pPr>
            <w:r>
              <w:t>Item</w:t>
            </w:r>
          </w:p>
        </w:tc>
        <w:tc>
          <w:tcPr>
            <w:tcW w:w="3969" w:type="dxa"/>
            <w:noWrap/>
          </w:tcPr>
          <w:p>
            <w:pPr>
              <w:pStyle w:val="TableNAm"/>
              <w:keepNext/>
              <w:keepLines/>
              <w:jc w:val="center"/>
            </w:pPr>
            <w:r>
              <w:t>Column 1</w:t>
            </w:r>
          </w:p>
          <w:p>
            <w:pPr>
              <w:pStyle w:val="TableNAm"/>
              <w:keepNext/>
              <w:keepLines/>
              <w:jc w:val="center"/>
            </w:pPr>
            <w:r>
              <w:t>Class of children</w:t>
            </w:r>
          </w:p>
        </w:tc>
        <w:tc>
          <w:tcPr>
            <w:tcW w:w="1276" w:type="dxa"/>
            <w:noWrap/>
          </w:tcPr>
          <w:p>
            <w:pPr>
              <w:pStyle w:val="TableNAm"/>
              <w:keepNext/>
              <w:keepLines/>
              <w:jc w:val="center"/>
            </w:pPr>
            <w:r>
              <w:t>Column 2</w:t>
            </w:r>
          </w:p>
          <w:p>
            <w:pPr>
              <w:pStyle w:val="TableNAm"/>
              <w:keepNext/>
              <w:keepLines/>
              <w:jc w:val="center"/>
            </w:pPr>
            <w:r>
              <w:t>Amount</w:t>
            </w:r>
            <w:r>
              <w:br/>
              <w: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432.00</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511.00</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619.00</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w:t>
      </w:r>
    </w:p>
    <w:p>
      <w:pPr>
        <w:pStyle w:val="Heading5"/>
      </w:pPr>
      <w:bookmarkStart w:id="80" w:name="_Toc101877460"/>
      <w:r>
        <w:rPr>
          <w:rStyle w:val="CharSectno"/>
        </w:rPr>
        <w:t>21A</w:t>
      </w:r>
      <w:r>
        <w:t>.</w:t>
      </w:r>
      <w:r>
        <w:tab/>
        <w:t>Work prescribed (Act s. 191(4))</w:t>
      </w:r>
      <w:bookmarkEnd w:id="80"/>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81" w:name="_Toc101877461"/>
      <w:r>
        <w:rPr>
          <w:rStyle w:val="CharSectno"/>
        </w:rPr>
        <w:t>21B</w:t>
      </w:r>
      <w:r>
        <w:t>.</w:t>
      </w:r>
      <w:r>
        <w:tab/>
        <w:t>Prescribed personal material (Act s. 97(1))</w:t>
      </w:r>
      <w:bookmarkEnd w:id="81"/>
    </w:p>
    <w:p>
      <w:pPr>
        <w:pStyle w:val="Subsection"/>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82" w:name="_Toc99957422"/>
      <w:bookmarkStart w:id="83" w:name="_Toc101877462"/>
      <w:r>
        <w:rPr>
          <w:rStyle w:val="CharSectno"/>
        </w:rPr>
        <w:t>22</w:t>
      </w:r>
      <w:r>
        <w:t>.</w:t>
      </w:r>
      <w:r>
        <w:tab/>
        <w:t>Public authorities to which s. 22(4AA) applies</w:t>
      </w:r>
      <w:bookmarkEnd w:id="82"/>
      <w:bookmarkEnd w:id="83"/>
    </w:p>
    <w:p>
      <w:pPr>
        <w:pStyle w:val="Subsection"/>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84" w:name="_Toc99957423"/>
      <w:bookmarkStart w:id="85" w:name="_Toc101877463"/>
      <w:r>
        <w:rPr>
          <w:rStyle w:val="CharSectno"/>
        </w:rPr>
        <w:t>23</w:t>
      </w:r>
      <w:r>
        <w:t>.</w:t>
      </w:r>
      <w:r>
        <w:tab/>
        <w:t>Prescribed criteria for person preparing report under s. 61(2B)</w:t>
      </w:r>
      <w:bookmarkEnd w:id="84"/>
      <w:bookmarkEnd w:id="85"/>
    </w:p>
    <w:p>
      <w:pPr>
        <w:pStyle w:val="Subsection"/>
      </w:pPr>
      <w:r>
        <w:tab/>
        <w:t>(1)</w:t>
      </w:r>
      <w:r>
        <w:tab/>
        <w:t xml:space="preserve">In this regulation — </w:t>
      </w:r>
    </w:p>
    <w:p>
      <w:pPr>
        <w:pStyle w:val="Defstar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pPr>
      <w:r>
        <w:tab/>
        <w:t>(2)</w:t>
      </w:r>
      <w:r>
        <w:tab/>
        <w:t xml:space="preserve">A person who prepares a written report for the purposes of section 61(2B) must be — </w:t>
      </w:r>
    </w:p>
    <w:p>
      <w:pPr>
        <w:pStyle w:val="Indenta"/>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lastRenderedPageBreak/>
        <w:tab/>
        <w:t>(iii)</w:t>
      </w:r>
      <w:r>
        <w:tab/>
        <w:t>the ability to engage and communicate with Aboriginal children, Torres Strait Islander children and their families;</w:t>
      </w:r>
    </w:p>
    <w:p>
      <w:pPr>
        <w:pStyle w:val="Indenta"/>
      </w:pPr>
      <w:r>
        <w:tab/>
      </w:r>
      <w:r>
        <w:tab/>
        <w:t>or</w:t>
      </w:r>
    </w:p>
    <w:p>
      <w:pPr>
        <w:pStyle w:val="Indenta"/>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86" w:name="_Toc101872179"/>
      <w:bookmarkStart w:id="87" w:name="_Toc101873739"/>
      <w:bookmarkStart w:id="88" w:name="_Toc101877464"/>
      <w:r>
        <w:rPr>
          <w:rStyle w:val="CharPartNo"/>
        </w:rPr>
        <w:lastRenderedPageBreak/>
        <w:t>Part 7</w:t>
      </w:r>
      <w:r>
        <w:rPr>
          <w:rStyle w:val="CharDivNo"/>
        </w:rPr>
        <w:t> </w:t>
      </w:r>
      <w:r>
        <w:t>—</w:t>
      </w:r>
      <w:r>
        <w:rPr>
          <w:rStyle w:val="CharDivText"/>
        </w:rPr>
        <w:t> </w:t>
      </w:r>
      <w:r>
        <w:rPr>
          <w:rStyle w:val="CharPartText"/>
        </w:rPr>
        <w:t>Transitional arrangements</w:t>
      </w:r>
      <w:bookmarkEnd w:id="86"/>
      <w:bookmarkEnd w:id="87"/>
      <w:bookmarkEnd w:id="88"/>
    </w:p>
    <w:p>
      <w:pPr>
        <w:pStyle w:val="Heading5"/>
      </w:pPr>
      <w:bookmarkStart w:id="89" w:name="_Toc101877465"/>
      <w:r>
        <w:rPr>
          <w:rStyle w:val="CharSectno"/>
        </w:rPr>
        <w:t>24</w:t>
      </w:r>
      <w:r>
        <w:t>.</w:t>
      </w:r>
      <w:r>
        <w:tab/>
        <w:t>Term used: commencement day</w:t>
      </w:r>
      <w:bookmarkEnd w:id="89"/>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90" w:name="_Toc101877466"/>
      <w:r>
        <w:rPr>
          <w:rStyle w:val="CharSectno"/>
        </w:rPr>
        <w:t>29</w:t>
      </w:r>
      <w:r>
        <w:t>.</w:t>
      </w:r>
      <w:r>
        <w:tab/>
        <w:t>Certain children in care as at 1 Mar 2006</w:t>
      </w:r>
      <w:bookmarkEnd w:id="90"/>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101872182"/>
      <w:bookmarkStart w:id="92" w:name="_Toc101873742"/>
      <w:bookmarkStart w:id="93" w:name="_Toc101877467"/>
      <w:r>
        <w:rPr>
          <w:rStyle w:val="CharSchNo"/>
        </w:rPr>
        <w:lastRenderedPageBreak/>
        <w:t>Schedule 1</w:t>
      </w:r>
      <w:r>
        <w:rPr>
          <w:rStyle w:val="CharSDivNo"/>
        </w:rPr>
        <w:t> </w:t>
      </w:r>
      <w:r>
        <w:t>—</w:t>
      </w:r>
      <w:r>
        <w:rPr>
          <w:rStyle w:val="CharSDivText"/>
        </w:rPr>
        <w:t> </w:t>
      </w:r>
      <w:r>
        <w:rPr>
          <w:rStyle w:val="CharSchText"/>
        </w:rPr>
        <w:t>Forms</w:t>
      </w:r>
      <w:bookmarkEnd w:id="91"/>
      <w:bookmarkEnd w:id="92"/>
      <w:bookmarkEnd w:id="93"/>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94" w:name="_Toc101877468"/>
      <w:r>
        <w:rPr>
          <w:rStyle w:val="CharSClsNo"/>
        </w:rPr>
        <w:t>1</w:t>
      </w:r>
      <w:r>
        <w:t>.</w:t>
      </w:r>
      <w:r>
        <w:tab/>
        <w:t>Warrant (access)</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95" w:name="_Toc101877469"/>
      <w:r>
        <w:rPr>
          <w:rStyle w:val="CharSClsNo"/>
        </w:rPr>
        <w:lastRenderedPageBreak/>
        <w:t>2</w:t>
      </w:r>
      <w:r>
        <w:t>.</w:t>
      </w:r>
      <w:r>
        <w:tab/>
        <w:t>Warrant (apprehension)</w:t>
      </w:r>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96" w:name="_Toc101877470"/>
      <w:r>
        <w:rPr>
          <w:rStyle w:val="CharSClsNo"/>
        </w:rPr>
        <w:lastRenderedPageBreak/>
        <w:t>3</w:t>
      </w:r>
      <w:r>
        <w:t>.</w:t>
      </w:r>
      <w:r>
        <w:tab/>
        <w:t>Warrant (provisional protection and care)</w:t>
      </w:r>
      <w:bookmarkEnd w:id="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97" w:name="_Toc99957425"/>
      <w:bookmarkStart w:id="98" w:name="_Toc101877471"/>
      <w:r>
        <w:rPr>
          <w:rStyle w:val="CharSClsNo"/>
        </w:rPr>
        <w:lastRenderedPageBreak/>
        <w:t>3A</w:t>
      </w:r>
      <w:r>
        <w:t>.</w:t>
      </w:r>
      <w:r>
        <w:tab/>
        <w:t>Entry warrant</w:t>
      </w:r>
      <w:bookmarkEnd w:id="97"/>
      <w:bookmarkEnd w:id="98"/>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99" w:name="_Toc101877472"/>
      <w:r>
        <w:rPr>
          <w:rStyle w:val="CharSClsNo"/>
        </w:rPr>
        <w:lastRenderedPageBreak/>
        <w:t>4</w:t>
      </w:r>
      <w:r>
        <w:t>.</w:t>
      </w:r>
      <w:r>
        <w:rPr>
          <w:b w:val="0"/>
        </w:rPr>
        <w:tab/>
      </w:r>
      <w:r>
        <w:t>Parentage testing procedure</w:t>
      </w:r>
      <w:bookmarkEnd w:id="99"/>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00" w:name="_Toc101877473"/>
      <w:r>
        <w:rPr>
          <w:rStyle w:val="CharSClsNo"/>
        </w:rPr>
        <w:lastRenderedPageBreak/>
        <w:t>5</w:t>
      </w:r>
      <w:r>
        <w:t>.</w:t>
      </w:r>
      <w:r>
        <w:rPr>
          <w:b w:val="0"/>
        </w:rPr>
        <w:tab/>
      </w:r>
      <w:r>
        <w:t>Parentage testing procedure</w:t>
      </w:r>
      <w:bookmarkEnd w:id="100"/>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01" w:name="_Toc101877474"/>
      <w:r>
        <w:rPr>
          <w:rStyle w:val="CharSClsNo"/>
        </w:rPr>
        <w:lastRenderedPageBreak/>
        <w:t>6</w:t>
      </w:r>
      <w:r>
        <w:t>.</w:t>
      </w:r>
      <w:r>
        <w:rPr>
          <w:b w:val="0"/>
        </w:rPr>
        <w:tab/>
      </w:r>
      <w:r>
        <w:t>Parentage testing procedure report</w:t>
      </w:r>
      <w:bookmarkEnd w:id="101"/>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3" w:name="_Toc101872189"/>
      <w:bookmarkStart w:id="104" w:name="_Toc101873750"/>
      <w:bookmarkStart w:id="105" w:name="_Toc101877475"/>
      <w:r>
        <w:lastRenderedPageBreak/>
        <w:t>Notes</w:t>
      </w:r>
      <w:bookmarkEnd w:id="103"/>
      <w:bookmarkEnd w:id="104"/>
      <w:bookmarkEnd w:id="105"/>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w:t>
      </w:r>
    </w:p>
    <w:p>
      <w:pPr>
        <w:pStyle w:val="nHeading3"/>
      </w:pPr>
      <w:bookmarkStart w:id="106" w:name="_Toc101877476"/>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lastRenderedPageBreak/>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single" w:sz="4" w:space="0" w:color="auto"/>
            </w:tcBorders>
          </w:tcPr>
          <w:p>
            <w:pPr>
              <w:pStyle w:val="nTable"/>
              <w:spacing w:after="40"/>
            </w:pPr>
            <w:r>
              <w:rPr>
                <w:i/>
              </w:rPr>
              <w:t>Children and Community Services Amendment Regulations 2022</w:t>
            </w:r>
          </w:p>
        </w:tc>
        <w:tc>
          <w:tcPr>
            <w:tcW w:w="1276" w:type="dxa"/>
            <w:tcBorders>
              <w:top w:val="nil"/>
              <w:bottom w:val="single" w:sz="4" w:space="0" w:color="auto"/>
            </w:tcBorders>
          </w:tcPr>
          <w:p>
            <w:pPr>
              <w:pStyle w:val="nTable"/>
              <w:spacing w:after="40"/>
            </w:pPr>
            <w:r>
              <w:t>SL 2022/49 22 Apr 2022</w:t>
            </w:r>
          </w:p>
        </w:tc>
        <w:tc>
          <w:tcPr>
            <w:tcW w:w="2693" w:type="dxa"/>
            <w:tcBorders>
              <w:top w:val="nil"/>
              <w:bottom w:val="single" w:sz="4" w:space="0" w:color="auto"/>
            </w:tcBorders>
          </w:tcPr>
          <w:p>
            <w:pPr>
              <w:pStyle w:val="nTable"/>
              <w:spacing w:after="40"/>
            </w:pPr>
            <w:r>
              <w:t>r. 1 and 2: 22 Apr 2022 (see r. 2(a));</w:t>
            </w:r>
            <w:r>
              <w:br/>
              <w:t>Regulations other than r. 1 and 2: 1 May 2022 (see r. 2(b))</w:t>
            </w:r>
          </w:p>
        </w:tc>
      </w:tr>
    </w:tbl>
    <w:p>
      <w:pPr>
        <w:pStyle w:val="nHeading3"/>
      </w:pPr>
      <w:bookmarkStart w:id="107" w:name="_Toc101877477"/>
      <w:r>
        <w:t>Other notes</w:t>
      </w:r>
      <w:bookmarkEnd w:id="107"/>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9" w:name="_Toc101877478"/>
      <w:r>
        <w:rPr>
          <w:sz w:val="28"/>
        </w:rPr>
        <w:lastRenderedPageBreak/>
        <w:t>Defined terms</w:t>
      </w:r>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6132722"/>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1216-9360-4D98-A8E8-D1A80A7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9905</Words>
  <Characters>49228</Characters>
  <Application>Microsoft Office Word</Application>
  <DocSecurity>0</DocSecurity>
  <Lines>1758</Lines>
  <Paragraphs>1095</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2006 - 03-j0-00</dc:title>
  <dc:subject/>
  <dc:creator/>
  <cp:keywords/>
  <dc:description/>
  <cp:lastModifiedBy>Master Repository Process</cp:lastModifiedBy>
  <cp:revision>4</cp:revision>
  <cp:lastPrinted>2016-08-22T01:27:00Z</cp:lastPrinted>
  <dcterms:created xsi:type="dcterms:W3CDTF">2022-04-29T00:55:00Z</dcterms:created>
  <dcterms:modified xsi:type="dcterms:W3CDTF">2022-04-29T00:55:00Z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01 May 2022</vt:lpwstr>
  </property>
  <property fmtid="{D5CDD505-2E9C-101B-9397-08002B2CF9AE}" pid="8" name="Suffix">
    <vt:lpwstr>03-j0-00</vt:lpwstr>
  </property>
  <property fmtid="{D5CDD505-2E9C-101B-9397-08002B2CF9AE}" pid="9" name="CommencementDate">
    <vt:lpwstr>20220501</vt:lpwstr>
  </property>
</Properties>
</file>