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Redevelopment Authority Act 2011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Metropolitan Redevelopment Authority Regulations 2011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_Toc102388922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_Toc102388923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_Toc102388924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Works, acts and activities that do not constitute development</w:t>
      </w:r>
    </w:p>
    <w:p>
      <w:pPr>
        <w:pStyle w:val="TOC8"/>
        <w:rPr>
          <w:rFonts w:asciiTheme="minorHAnsi" w:eastAsiaTheme="minorEastAsia" w:hAnsiTheme="minorHAnsi" w:cstheme="minorBidi"/>
          <w:szCs w:val="22"/>
        </w:rPr>
      </w:pPr>
      <w:r>
        <w:t>4.</w:t>
      </w:r>
      <w:r>
        <w:tab/>
        <w:t>Effect of exclusions in relation to heritage place</w:t>
      </w:r>
      <w:r>
        <w:tab/>
      </w:r>
      <w:r>
        <w:fldChar w:fldCharType="begin"/>
      </w:r>
      <w:r>
        <w:instrText xml:space="preserve"> PAGEREF _Toc102388926 \h </w:instrText>
      </w:r>
      <w:r>
        <w:fldChar w:fldCharType="separate"/>
      </w:r>
      <w:r>
        <w:t>3</w:t>
      </w:r>
      <w:r>
        <w:fldChar w:fldCharType="end"/>
      </w:r>
    </w:p>
    <w:p>
      <w:pPr>
        <w:pStyle w:val="TOC8"/>
        <w:rPr>
          <w:rFonts w:asciiTheme="minorHAnsi" w:eastAsiaTheme="minorEastAsia" w:hAnsiTheme="minorHAnsi" w:cstheme="minorBidi"/>
          <w:szCs w:val="22"/>
        </w:rPr>
      </w:pPr>
      <w:r>
        <w:t>5.</w:t>
      </w:r>
      <w:r>
        <w:tab/>
        <w:t>Minor and temporary works, acts and activities</w:t>
      </w:r>
      <w:r>
        <w:tab/>
      </w:r>
      <w:r>
        <w:fldChar w:fldCharType="begin"/>
      </w:r>
      <w:r>
        <w:instrText xml:space="preserve"> PAGEREF _Toc102388927 \h </w:instrText>
      </w:r>
      <w:r>
        <w:fldChar w:fldCharType="separate"/>
      </w:r>
      <w:r>
        <w:t>3</w:t>
      </w:r>
      <w:r>
        <w:fldChar w:fldCharType="end"/>
      </w:r>
    </w:p>
    <w:p>
      <w:pPr>
        <w:pStyle w:val="TOC8"/>
        <w:rPr>
          <w:rFonts w:asciiTheme="minorHAnsi" w:eastAsiaTheme="minorEastAsia" w:hAnsiTheme="minorHAnsi" w:cstheme="minorBidi"/>
          <w:szCs w:val="22"/>
        </w:rPr>
      </w:pPr>
      <w:r>
        <w:t>6.</w:t>
      </w:r>
      <w:r>
        <w:tab/>
        <w:t>Subdivision works</w:t>
      </w:r>
      <w:r>
        <w:tab/>
      </w:r>
      <w:r>
        <w:fldChar w:fldCharType="begin"/>
      </w:r>
      <w:r>
        <w:instrText xml:space="preserve"> PAGEREF _Toc102388928 \h </w:instrText>
      </w:r>
      <w:r>
        <w:fldChar w:fldCharType="separate"/>
      </w:r>
      <w:r>
        <w:t>4</w:t>
      </w:r>
      <w:r>
        <w:fldChar w:fldCharType="end"/>
      </w:r>
    </w:p>
    <w:p>
      <w:pPr>
        <w:pStyle w:val="TOC8"/>
        <w:rPr>
          <w:rFonts w:asciiTheme="minorHAnsi" w:eastAsiaTheme="minorEastAsia" w:hAnsiTheme="minorHAnsi" w:cstheme="minorBidi"/>
          <w:szCs w:val="22"/>
        </w:rPr>
      </w:pPr>
      <w:r>
        <w:t>8.</w:t>
      </w:r>
      <w:r>
        <w:tab/>
        <w:t>Certain works, acts and activities by Authority</w:t>
      </w:r>
      <w:r>
        <w:tab/>
      </w:r>
      <w:r>
        <w:fldChar w:fldCharType="begin"/>
      </w:r>
      <w:r>
        <w:instrText xml:space="preserve"> PAGEREF _Toc102388929 \h </w:instrText>
      </w:r>
      <w:r>
        <w:fldChar w:fldCharType="separate"/>
      </w:r>
      <w:r>
        <w:t>5</w:t>
      </w:r>
      <w:r>
        <w:fldChar w:fldCharType="end"/>
      </w:r>
    </w:p>
    <w:p>
      <w:pPr>
        <w:pStyle w:val="TOC8"/>
        <w:rPr>
          <w:rFonts w:asciiTheme="minorHAnsi" w:eastAsiaTheme="minorEastAsia" w:hAnsiTheme="minorHAnsi" w:cstheme="minorBidi"/>
          <w:szCs w:val="22"/>
        </w:rPr>
      </w:pPr>
      <w:r>
        <w:t>9.</w:t>
      </w:r>
      <w:r>
        <w:tab/>
        <w:t>Certain buildings and related works</w:t>
      </w:r>
      <w:r>
        <w:tab/>
      </w:r>
      <w:r>
        <w:fldChar w:fldCharType="begin"/>
      </w:r>
      <w:r>
        <w:instrText xml:space="preserve"> PAGEREF _Toc102388930 \h </w:instrText>
      </w:r>
      <w:r>
        <w:fldChar w:fldCharType="separate"/>
      </w:r>
      <w:r>
        <w:t>5</w:t>
      </w:r>
      <w:r>
        <w:fldChar w:fldCharType="end"/>
      </w:r>
    </w:p>
    <w:p>
      <w:pPr>
        <w:pStyle w:val="TOC2"/>
        <w:tabs>
          <w:tab w:val="right" w:leader="dot" w:pos="7077"/>
        </w:tabs>
        <w:rPr>
          <w:rFonts w:asciiTheme="minorHAnsi" w:eastAsiaTheme="minorEastAsia" w:hAnsiTheme="minorHAnsi" w:cstheme="minorBidi"/>
          <w:b w:val="0"/>
          <w:sz w:val="22"/>
          <w:szCs w:val="22"/>
        </w:rPr>
      </w:pPr>
      <w:r>
        <w:t>Part 3 — Redevelopment areas</w:t>
      </w:r>
    </w:p>
    <w:p>
      <w:pPr>
        <w:pStyle w:val="TOC8"/>
        <w:rPr>
          <w:rFonts w:asciiTheme="minorHAnsi" w:eastAsiaTheme="minorEastAsia" w:hAnsiTheme="minorHAnsi" w:cstheme="minorBidi"/>
          <w:szCs w:val="22"/>
        </w:rPr>
      </w:pPr>
      <w:r>
        <w:t>10.</w:t>
      </w:r>
      <w:r>
        <w:tab/>
        <w:t>Armadale redevelopment area</w:t>
      </w:r>
      <w:r>
        <w:tab/>
      </w:r>
      <w:r>
        <w:fldChar w:fldCharType="begin"/>
      </w:r>
      <w:r>
        <w:instrText xml:space="preserve"> PAGEREF _Toc102388932 \h </w:instrText>
      </w:r>
      <w:r>
        <w:fldChar w:fldCharType="separate"/>
      </w:r>
      <w:r>
        <w:t>8</w:t>
      </w:r>
      <w:r>
        <w:fldChar w:fldCharType="end"/>
      </w:r>
    </w:p>
    <w:p>
      <w:pPr>
        <w:pStyle w:val="TOC8"/>
        <w:rPr>
          <w:rFonts w:asciiTheme="minorHAnsi" w:eastAsiaTheme="minorEastAsia" w:hAnsiTheme="minorHAnsi" w:cstheme="minorBidi"/>
          <w:szCs w:val="22"/>
        </w:rPr>
      </w:pPr>
      <w:r>
        <w:t>11.</w:t>
      </w:r>
      <w:r>
        <w:tab/>
        <w:t>Central Perth redevelopment area</w:t>
      </w:r>
      <w:r>
        <w:tab/>
      </w:r>
      <w:r>
        <w:fldChar w:fldCharType="begin"/>
      </w:r>
      <w:r>
        <w:instrText xml:space="preserve"> PAGEREF _Toc102388933 \h </w:instrText>
      </w:r>
      <w:r>
        <w:fldChar w:fldCharType="separate"/>
      </w:r>
      <w:r>
        <w:t>8</w:t>
      </w:r>
      <w:r>
        <w:fldChar w:fldCharType="end"/>
      </w:r>
    </w:p>
    <w:p>
      <w:pPr>
        <w:pStyle w:val="TOC8"/>
        <w:rPr>
          <w:rFonts w:asciiTheme="minorHAnsi" w:eastAsiaTheme="minorEastAsia" w:hAnsiTheme="minorHAnsi" w:cstheme="minorBidi"/>
          <w:szCs w:val="22"/>
        </w:rPr>
      </w:pPr>
      <w:r>
        <w:t>12.</w:t>
      </w:r>
      <w:r>
        <w:tab/>
        <w:t>Midland redevelopment area</w:t>
      </w:r>
      <w:r>
        <w:tab/>
      </w:r>
      <w:r>
        <w:fldChar w:fldCharType="begin"/>
      </w:r>
      <w:r>
        <w:instrText xml:space="preserve"> PAGEREF _Toc102388934 \h </w:instrText>
      </w:r>
      <w:r>
        <w:fldChar w:fldCharType="separate"/>
      </w:r>
      <w:r>
        <w:t>9</w:t>
      </w:r>
      <w:r>
        <w:fldChar w:fldCharType="end"/>
      </w:r>
    </w:p>
    <w:p>
      <w:pPr>
        <w:pStyle w:val="TOC8"/>
        <w:rPr>
          <w:rFonts w:asciiTheme="minorHAnsi" w:eastAsiaTheme="minorEastAsia" w:hAnsiTheme="minorHAnsi" w:cstheme="minorBidi"/>
          <w:szCs w:val="22"/>
        </w:rPr>
      </w:pPr>
      <w:r>
        <w:t>13.</w:t>
      </w:r>
      <w:r>
        <w:tab/>
        <w:t>Subiaco redevelopment area</w:t>
      </w:r>
      <w:r>
        <w:tab/>
      </w:r>
      <w:r>
        <w:fldChar w:fldCharType="begin"/>
      </w:r>
      <w:r>
        <w:instrText xml:space="preserve"> PAGEREF _Toc102388935 \h </w:instrText>
      </w:r>
      <w:r>
        <w:fldChar w:fldCharType="separate"/>
      </w:r>
      <w:r>
        <w:t>9</w:t>
      </w:r>
      <w:r>
        <w:fldChar w:fldCharType="end"/>
      </w:r>
    </w:p>
    <w:p>
      <w:pPr>
        <w:pStyle w:val="TOC8"/>
        <w:rPr>
          <w:rFonts w:asciiTheme="minorHAnsi" w:eastAsiaTheme="minorEastAsia" w:hAnsiTheme="minorHAnsi" w:cstheme="minorBidi"/>
          <w:szCs w:val="22"/>
        </w:rPr>
      </w:pPr>
      <w:r>
        <w:t>14A.</w:t>
      </w:r>
      <w:r>
        <w:tab/>
        <w:t>Scarborough redevelopment area</w:t>
      </w:r>
      <w:r>
        <w:tab/>
      </w:r>
      <w:r>
        <w:fldChar w:fldCharType="begin"/>
      </w:r>
      <w:r>
        <w:instrText xml:space="preserve"> PAGEREF _Toc102388936 \h </w:instrText>
      </w:r>
      <w:r>
        <w:fldChar w:fldCharType="separate"/>
      </w:r>
      <w:r>
        <w:t>10</w:t>
      </w:r>
      <w:r>
        <w:fldChar w:fldCharType="end"/>
      </w:r>
    </w:p>
    <w:p>
      <w:pPr>
        <w:pStyle w:val="TOC8"/>
        <w:rPr>
          <w:rFonts w:asciiTheme="minorHAnsi" w:eastAsiaTheme="minorEastAsia" w:hAnsiTheme="minorHAnsi" w:cstheme="minorBidi"/>
          <w:szCs w:val="22"/>
        </w:rPr>
      </w:pPr>
      <w:r>
        <w:t>14.</w:t>
      </w:r>
      <w:r>
        <w:tab/>
        <w:t>Redevelopment area objectives: s. 30(5)(c)</w:t>
      </w:r>
      <w:r>
        <w:tab/>
      </w:r>
      <w:r>
        <w:fldChar w:fldCharType="begin"/>
      </w:r>
      <w:r>
        <w:instrText xml:space="preserve"> PAGEREF _Toc102388937 \h </w:instrText>
      </w:r>
      <w:r>
        <w:fldChar w:fldCharType="separate"/>
      </w:r>
      <w:r>
        <w:t>10</w:t>
      </w:r>
      <w:r>
        <w:fldChar w:fldCharType="end"/>
      </w:r>
    </w:p>
    <w:p>
      <w:pPr>
        <w:pStyle w:val="TOC8"/>
        <w:rPr>
          <w:rFonts w:asciiTheme="minorHAnsi" w:eastAsiaTheme="minorEastAsia" w:hAnsiTheme="minorHAnsi" w:cstheme="minorBidi"/>
          <w:szCs w:val="22"/>
        </w:rPr>
      </w:pPr>
      <w:r>
        <w:t>14B.</w:t>
      </w:r>
      <w:r>
        <w:tab/>
        <w:t>Saving of rights where land removed from redevelopment area</w:t>
      </w:r>
      <w:r>
        <w:tab/>
      </w:r>
      <w:r>
        <w:fldChar w:fldCharType="begin"/>
      </w:r>
      <w:r>
        <w:instrText xml:space="preserve"> PAGEREF _Toc102388938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4 — Development applications</w:t>
      </w:r>
    </w:p>
    <w:p>
      <w:pPr>
        <w:pStyle w:val="TOC8"/>
        <w:rPr>
          <w:rFonts w:asciiTheme="minorHAnsi" w:eastAsiaTheme="minorEastAsia" w:hAnsiTheme="minorHAnsi" w:cstheme="minorBidi"/>
          <w:szCs w:val="22"/>
        </w:rPr>
      </w:pPr>
      <w:r>
        <w:t>15.</w:t>
      </w:r>
      <w:r>
        <w:tab/>
        <w:t>Criteria for determining whether development application is standard or major application: s. 63(1)</w:t>
      </w:r>
      <w:r>
        <w:tab/>
      </w:r>
      <w:r>
        <w:fldChar w:fldCharType="begin"/>
      </w:r>
      <w:r>
        <w:instrText xml:space="preserve"> PAGEREF _Toc102388940 \h </w:instrText>
      </w:r>
      <w:r>
        <w:fldChar w:fldCharType="separate"/>
      </w:r>
      <w:r>
        <w:t>12</w:t>
      </w:r>
      <w:r>
        <w:fldChar w:fldCharType="end"/>
      </w:r>
    </w:p>
    <w:p>
      <w:pPr>
        <w:pStyle w:val="TOC8"/>
        <w:rPr>
          <w:rFonts w:asciiTheme="minorHAnsi" w:eastAsiaTheme="minorEastAsia" w:hAnsiTheme="minorHAnsi" w:cstheme="minorBidi"/>
          <w:szCs w:val="22"/>
        </w:rPr>
      </w:pPr>
      <w:r>
        <w:t>16.</w:t>
      </w:r>
      <w:r>
        <w:tab/>
        <w:t>Development application</w:t>
      </w:r>
      <w:r>
        <w:tab/>
      </w:r>
      <w:r>
        <w:fldChar w:fldCharType="begin"/>
      </w:r>
      <w:r>
        <w:instrText xml:space="preserve"> PAGEREF _Toc102388941 \h </w:instrText>
      </w:r>
      <w:r>
        <w:fldChar w:fldCharType="separate"/>
      </w:r>
      <w:r>
        <w:t>12</w:t>
      </w:r>
      <w:r>
        <w:fldChar w:fldCharType="end"/>
      </w:r>
    </w:p>
    <w:p>
      <w:pPr>
        <w:pStyle w:val="TOC8"/>
        <w:rPr>
          <w:rFonts w:asciiTheme="minorHAnsi" w:eastAsiaTheme="minorEastAsia" w:hAnsiTheme="minorHAnsi" w:cstheme="minorBidi"/>
          <w:szCs w:val="22"/>
        </w:rPr>
      </w:pPr>
      <w:r>
        <w:t>17.</w:t>
      </w:r>
      <w:r>
        <w:tab/>
        <w:t>Plans to accompany development application</w:t>
      </w:r>
      <w:r>
        <w:tab/>
      </w:r>
      <w:r>
        <w:fldChar w:fldCharType="begin"/>
      </w:r>
      <w:r>
        <w:instrText xml:space="preserve"> PAGEREF _Toc102388942 \h </w:instrText>
      </w:r>
      <w:r>
        <w:fldChar w:fldCharType="separate"/>
      </w:r>
      <w:r>
        <w:t>12</w:t>
      </w:r>
      <w:r>
        <w:fldChar w:fldCharType="end"/>
      </w:r>
    </w:p>
    <w:p>
      <w:pPr>
        <w:pStyle w:val="TOC8"/>
        <w:rPr>
          <w:rFonts w:asciiTheme="minorHAnsi" w:eastAsiaTheme="minorEastAsia" w:hAnsiTheme="minorHAnsi" w:cstheme="minorBidi"/>
          <w:szCs w:val="22"/>
        </w:rPr>
      </w:pPr>
      <w:r>
        <w:t>18.</w:t>
      </w:r>
      <w:r>
        <w:tab/>
        <w:t>Statements to accompany development application</w:t>
      </w:r>
      <w:r>
        <w:tab/>
      </w:r>
      <w:r>
        <w:fldChar w:fldCharType="begin"/>
      </w:r>
      <w:r>
        <w:instrText xml:space="preserve"> PAGEREF _Toc102388943 \h </w:instrText>
      </w:r>
      <w:r>
        <w:fldChar w:fldCharType="separate"/>
      </w:r>
      <w:r>
        <w:t>14</w:t>
      </w:r>
      <w:r>
        <w:fldChar w:fldCharType="end"/>
      </w:r>
    </w:p>
    <w:p>
      <w:pPr>
        <w:pStyle w:val="TOC8"/>
        <w:rPr>
          <w:rFonts w:asciiTheme="minorHAnsi" w:eastAsiaTheme="minorEastAsia" w:hAnsiTheme="minorHAnsi" w:cstheme="minorBidi"/>
          <w:szCs w:val="22"/>
        </w:rPr>
      </w:pPr>
      <w:r>
        <w:t>19.</w:t>
      </w:r>
      <w:r>
        <w:tab/>
        <w:t>Other material to accompany development application</w:t>
      </w:r>
      <w:r>
        <w:tab/>
      </w:r>
      <w:r>
        <w:fldChar w:fldCharType="begin"/>
      </w:r>
      <w:r>
        <w:instrText xml:space="preserve"> PAGEREF _Toc102388944 \h </w:instrText>
      </w:r>
      <w:r>
        <w:fldChar w:fldCharType="separate"/>
      </w:r>
      <w:r>
        <w:t>15</w:t>
      </w:r>
      <w:r>
        <w:fldChar w:fldCharType="end"/>
      </w:r>
    </w:p>
    <w:p>
      <w:pPr>
        <w:pStyle w:val="TOC8"/>
        <w:rPr>
          <w:rFonts w:asciiTheme="minorHAnsi" w:eastAsiaTheme="minorEastAsia" w:hAnsiTheme="minorHAnsi" w:cstheme="minorBidi"/>
          <w:szCs w:val="22"/>
        </w:rPr>
      </w:pPr>
      <w:r>
        <w:t>20.</w:t>
      </w:r>
      <w:r>
        <w:tab/>
        <w:t>Electronic lodgment under regulation 17, 18 or 19</w:t>
      </w:r>
      <w:r>
        <w:tab/>
      </w:r>
      <w:r>
        <w:fldChar w:fldCharType="begin"/>
      </w:r>
      <w:r>
        <w:instrText xml:space="preserve"> PAGEREF _Toc102388945 \h </w:instrText>
      </w:r>
      <w:r>
        <w:fldChar w:fldCharType="separate"/>
      </w:r>
      <w:r>
        <w:t>15</w:t>
      </w:r>
      <w:r>
        <w:fldChar w:fldCharType="end"/>
      </w:r>
    </w:p>
    <w:p>
      <w:pPr>
        <w:pStyle w:val="TOC8"/>
        <w:rPr>
          <w:rFonts w:asciiTheme="minorHAnsi" w:eastAsiaTheme="minorEastAsia" w:hAnsiTheme="minorHAnsi" w:cstheme="minorBidi"/>
          <w:szCs w:val="22"/>
        </w:rPr>
      </w:pPr>
      <w:r>
        <w:t>21.</w:t>
      </w:r>
      <w:r>
        <w:tab/>
        <w:t>Authority may request additional information</w:t>
      </w:r>
      <w:r>
        <w:tab/>
      </w:r>
      <w:r>
        <w:fldChar w:fldCharType="begin"/>
      </w:r>
      <w:r>
        <w:instrText xml:space="preserve"> PAGEREF _Toc102388946 \h </w:instrText>
      </w:r>
      <w:r>
        <w:fldChar w:fldCharType="separate"/>
      </w:r>
      <w:r>
        <w:t>15</w:t>
      </w:r>
      <w:r>
        <w:fldChar w:fldCharType="end"/>
      </w:r>
    </w:p>
    <w:p>
      <w:pPr>
        <w:pStyle w:val="TOC8"/>
        <w:rPr>
          <w:rFonts w:asciiTheme="minorHAnsi" w:eastAsiaTheme="minorEastAsia" w:hAnsiTheme="minorHAnsi" w:cstheme="minorBidi"/>
          <w:szCs w:val="22"/>
        </w:rPr>
      </w:pPr>
      <w:r>
        <w:t>22.</w:t>
      </w:r>
      <w:r>
        <w:tab/>
        <w:t>Amending development approval on application</w:t>
      </w:r>
      <w:r>
        <w:tab/>
      </w:r>
      <w:r>
        <w:fldChar w:fldCharType="begin"/>
      </w:r>
      <w:r>
        <w:instrText xml:space="preserve"> PAGEREF _Toc102388947 \h </w:instrText>
      </w:r>
      <w:r>
        <w:fldChar w:fldCharType="separate"/>
      </w:r>
      <w:r>
        <w:t>16</w:t>
      </w:r>
      <w:r>
        <w:fldChar w:fldCharType="end"/>
      </w:r>
    </w:p>
    <w:p>
      <w:pPr>
        <w:pStyle w:val="TOC8"/>
        <w:rPr>
          <w:rFonts w:asciiTheme="minorHAnsi" w:eastAsiaTheme="minorEastAsia" w:hAnsiTheme="minorHAnsi" w:cstheme="minorBidi"/>
          <w:szCs w:val="22"/>
        </w:rPr>
      </w:pPr>
      <w:r>
        <w:t>23.</w:t>
      </w:r>
      <w:r>
        <w:tab/>
        <w:t>Review of Authority’s decision by SAT</w:t>
      </w:r>
      <w:r>
        <w:tab/>
      </w:r>
      <w:r>
        <w:fldChar w:fldCharType="begin"/>
      </w:r>
      <w:r>
        <w:instrText xml:space="preserve"> PAGEREF _Toc102388948 \h </w:instrText>
      </w:r>
      <w:r>
        <w:fldChar w:fldCharType="separate"/>
      </w:r>
      <w:r>
        <w:t>17</w:t>
      </w:r>
      <w:r>
        <w:fldChar w:fldCharType="end"/>
      </w:r>
    </w:p>
    <w:p>
      <w:pPr>
        <w:pStyle w:val="TOC2"/>
        <w:tabs>
          <w:tab w:val="right" w:leader="dot" w:pos="7077"/>
        </w:tabs>
        <w:rPr>
          <w:rFonts w:asciiTheme="minorHAnsi" w:eastAsiaTheme="minorEastAsia" w:hAnsiTheme="minorHAnsi" w:cstheme="minorBidi"/>
          <w:b w:val="0"/>
          <w:sz w:val="22"/>
          <w:szCs w:val="22"/>
        </w:rPr>
      </w:pPr>
      <w:r>
        <w:t>Part 5 — Functions of Authority</w:t>
      </w:r>
    </w:p>
    <w:p>
      <w:pPr>
        <w:pStyle w:val="TOC8"/>
        <w:rPr>
          <w:rFonts w:asciiTheme="minorHAnsi" w:eastAsiaTheme="minorEastAsia" w:hAnsiTheme="minorHAnsi" w:cstheme="minorBidi"/>
          <w:szCs w:val="22"/>
        </w:rPr>
      </w:pPr>
      <w:r>
        <w:t>24.</w:t>
      </w:r>
      <w:r>
        <w:tab/>
        <w:t>Delegation: s. 14</w:t>
      </w:r>
      <w:r>
        <w:tab/>
      </w:r>
      <w:r>
        <w:fldChar w:fldCharType="begin"/>
      </w:r>
      <w:r>
        <w:instrText xml:space="preserve"> PAGEREF _Toc102388950 \h </w:instrText>
      </w:r>
      <w:r>
        <w:fldChar w:fldCharType="separate"/>
      </w:r>
      <w:r>
        <w:t>18</w:t>
      </w:r>
      <w:r>
        <w:fldChar w:fldCharType="end"/>
      </w:r>
    </w:p>
    <w:p>
      <w:pPr>
        <w:pStyle w:val="TOC8"/>
        <w:rPr>
          <w:rFonts w:asciiTheme="minorHAnsi" w:eastAsiaTheme="minorEastAsia" w:hAnsiTheme="minorHAnsi" w:cstheme="minorBidi"/>
          <w:szCs w:val="22"/>
        </w:rPr>
      </w:pPr>
      <w:r>
        <w:t>25.</w:t>
      </w:r>
      <w:r>
        <w:tab/>
        <w:t>Value of land acquired or disposed of: s. 18</w:t>
      </w:r>
      <w:r>
        <w:tab/>
      </w:r>
      <w:r>
        <w:fldChar w:fldCharType="begin"/>
      </w:r>
      <w:r>
        <w:instrText xml:space="preserve"> PAGEREF _Toc102388951 \h </w:instrText>
      </w:r>
      <w:r>
        <w:fldChar w:fldCharType="separate"/>
      </w:r>
      <w:r>
        <w:t>18</w:t>
      </w:r>
      <w:r>
        <w:fldChar w:fldCharType="end"/>
      </w:r>
    </w:p>
    <w:p>
      <w:pPr>
        <w:pStyle w:val="TOC8"/>
        <w:rPr>
          <w:rFonts w:asciiTheme="minorHAnsi" w:eastAsiaTheme="minorEastAsia" w:hAnsiTheme="minorHAnsi" w:cstheme="minorBidi"/>
          <w:szCs w:val="22"/>
        </w:rPr>
      </w:pPr>
      <w:r>
        <w:t>26.</w:t>
      </w:r>
      <w:r>
        <w:tab/>
        <w:t>Business plans: s. 113</w:t>
      </w:r>
      <w:r>
        <w:tab/>
      </w:r>
      <w:r>
        <w:fldChar w:fldCharType="begin"/>
      </w:r>
      <w:r>
        <w:instrText xml:space="preserve"> PAGEREF _Toc102388952 \h </w:instrText>
      </w:r>
      <w:r>
        <w:fldChar w:fldCharType="separate"/>
      </w:r>
      <w:r>
        <w:t>18</w:t>
      </w:r>
      <w:r>
        <w:fldChar w:fldCharType="end"/>
      </w:r>
    </w:p>
    <w:p>
      <w:pPr>
        <w:pStyle w:val="TOC8"/>
        <w:rPr>
          <w:rFonts w:asciiTheme="minorHAnsi" w:eastAsiaTheme="minorEastAsia" w:hAnsiTheme="minorHAnsi" w:cstheme="minorBidi"/>
          <w:szCs w:val="22"/>
        </w:rPr>
      </w:pPr>
      <w:r>
        <w:t>27.</w:t>
      </w:r>
      <w:r>
        <w:tab/>
        <w:t>Operational plans: s. 113</w:t>
      </w:r>
      <w:r>
        <w:tab/>
      </w:r>
      <w:r>
        <w:fldChar w:fldCharType="begin"/>
      </w:r>
      <w:r>
        <w:instrText xml:space="preserve"> PAGEREF _Toc102388953 \h </w:instrText>
      </w:r>
      <w:r>
        <w:fldChar w:fldCharType="separate"/>
      </w:r>
      <w:r>
        <w:t>19</w:t>
      </w:r>
      <w:r>
        <w:fldChar w:fldCharType="end"/>
      </w:r>
    </w:p>
    <w:p>
      <w:pPr>
        <w:pStyle w:val="TOC2"/>
        <w:tabs>
          <w:tab w:val="right" w:leader="dot" w:pos="7077"/>
        </w:tabs>
        <w:rPr>
          <w:rFonts w:asciiTheme="minorHAnsi" w:eastAsiaTheme="minorEastAsia" w:hAnsiTheme="minorHAnsi" w:cstheme="minorBidi"/>
          <w:b w:val="0"/>
          <w:sz w:val="22"/>
          <w:szCs w:val="22"/>
        </w:rPr>
      </w:pPr>
      <w:r>
        <w:t>Part 6 — Fees and charges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28.</w:t>
      </w:r>
      <w:r>
        <w:tab/>
        <w:t>Terms used</w:t>
      </w:r>
      <w:r>
        <w:tab/>
      </w:r>
      <w:r>
        <w:fldChar w:fldCharType="begin"/>
      </w:r>
      <w:r>
        <w:instrText xml:space="preserve"> PAGEREF _Toc102388956 \h </w:instrText>
      </w:r>
      <w:r>
        <w:fldChar w:fldCharType="separate"/>
      </w:r>
      <w:r>
        <w:t>21</w:t>
      </w:r>
      <w:r>
        <w:fldChar w:fldCharType="end"/>
      </w:r>
    </w:p>
    <w:p>
      <w:pPr>
        <w:pStyle w:val="TOC8"/>
        <w:rPr>
          <w:rFonts w:asciiTheme="minorHAnsi" w:eastAsiaTheme="minorEastAsia" w:hAnsiTheme="minorHAnsi" w:cstheme="minorBidi"/>
          <w:szCs w:val="22"/>
        </w:rPr>
      </w:pPr>
      <w:r>
        <w:t>29.</w:t>
      </w:r>
      <w:r>
        <w:tab/>
        <w:t>Fees for certain services</w:t>
      </w:r>
      <w:r>
        <w:tab/>
      </w:r>
      <w:r>
        <w:fldChar w:fldCharType="begin"/>
      </w:r>
      <w:r>
        <w:instrText xml:space="preserve"> PAGEREF _Toc102388957 \h </w:instrText>
      </w:r>
      <w:r>
        <w:fldChar w:fldCharType="separate"/>
      </w:r>
      <w:r>
        <w:t>21</w:t>
      </w:r>
      <w:r>
        <w:fldChar w:fldCharType="end"/>
      </w:r>
    </w:p>
    <w:p>
      <w:pPr>
        <w:pStyle w:val="TOC8"/>
        <w:rPr>
          <w:rFonts w:asciiTheme="minorHAnsi" w:eastAsiaTheme="minorEastAsia" w:hAnsiTheme="minorHAnsi" w:cstheme="minorBidi"/>
          <w:szCs w:val="22"/>
        </w:rPr>
      </w:pPr>
      <w:r>
        <w:t>30.</w:t>
      </w:r>
      <w:r>
        <w:tab/>
        <w:t>Fees relating to structure plans and scheme amendments etc.</w:t>
      </w:r>
      <w:r>
        <w:tab/>
      </w:r>
      <w:r>
        <w:fldChar w:fldCharType="begin"/>
      </w:r>
      <w:r>
        <w:instrText xml:space="preserve"> PAGEREF _Toc102388958 \h </w:instrText>
      </w:r>
      <w:r>
        <w:fldChar w:fldCharType="separate"/>
      </w:r>
      <w:r>
        <w:t>21</w:t>
      </w:r>
      <w:r>
        <w:fldChar w:fldCharType="end"/>
      </w:r>
    </w:p>
    <w:p>
      <w:pPr>
        <w:pStyle w:val="TOC8"/>
        <w:rPr>
          <w:rFonts w:asciiTheme="minorHAnsi" w:eastAsiaTheme="minorEastAsia" w:hAnsiTheme="minorHAnsi" w:cstheme="minorBidi"/>
          <w:szCs w:val="22"/>
        </w:rPr>
      </w:pPr>
      <w:r>
        <w:t>31.</w:t>
      </w:r>
      <w:r>
        <w:tab/>
        <w:t>Additional costs and expenses payable by applicants</w:t>
      </w:r>
      <w:r>
        <w:tab/>
      </w:r>
      <w:r>
        <w:fldChar w:fldCharType="begin"/>
      </w:r>
      <w:r>
        <w:instrText xml:space="preserve"> PAGEREF _Toc102388959 \h </w:instrText>
      </w:r>
      <w:r>
        <w:fldChar w:fldCharType="separate"/>
      </w:r>
      <w:r>
        <w:t>23</w:t>
      </w:r>
      <w:r>
        <w:fldChar w:fldCharType="end"/>
      </w:r>
    </w:p>
    <w:p>
      <w:pPr>
        <w:pStyle w:val="TOC8"/>
        <w:rPr>
          <w:rFonts w:asciiTheme="minorHAnsi" w:eastAsiaTheme="minorEastAsia" w:hAnsiTheme="minorHAnsi" w:cstheme="minorBidi"/>
          <w:szCs w:val="22"/>
        </w:rPr>
      </w:pPr>
      <w:r>
        <w:t>32.</w:t>
      </w:r>
      <w:r>
        <w:tab/>
        <w:t>Itemised account to be provided on request</w:t>
      </w:r>
      <w:r>
        <w:tab/>
      </w:r>
      <w:r>
        <w:fldChar w:fldCharType="begin"/>
      </w:r>
      <w:r>
        <w:instrText xml:space="preserve"> PAGEREF _Toc102388960 \h </w:instrText>
      </w:r>
      <w:r>
        <w:fldChar w:fldCharType="separate"/>
      </w:r>
      <w:r>
        <w:t>24</w:t>
      </w:r>
      <w:r>
        <w:fldChar w:fldCharType="end"/>
      </w:r>
    </w:p>
    <w:p>
      <w:pPr>
        <w:pStyle w:val="TOC8"/>
        <w:rPr>
          <w:rFonts w:asciiTheme="minorHAnsi" w:eastAsiaTheme="minorEastAsia" w:hAnsiTheme="minorHAnsi" w:cstheme="minorBidi"/>
          <w:szCs w:val="22"/>
        </w:rPr>
      </w:pPr>
      <w:r>
        <w:t>33.</w:t>
      </w:r>
      <w:r>
        <w:tab/>
        <w:t>Dispute as to amount payable</w:t>
      </w:r>
      <w:r>
        <w:tab/>
      </w:r>
      <w:r>
        <w:fldChar w:fldCharType="begin"/>
      </w:r>
      <w:r>
        <w:instrText xml:space="preserve"> PAGEREF _Toc102388961 \h </w:instrText>
      </w:r>
      <w:r>
        <w:fldChar w:fldCharType="separate"/>
      </w:r>
      <w:r>
        <w:t>24</w:t>
      </w:r>
      <w:r>
        <w:fldChar w:fldCharType="end"/>
      </w:r>
    </w:p>
    <w:p>
      <w:pPr>
        <w:pStyle w:val="TOC8"/>
        <w:rPr>
          <w:rFonts w:asciiTheme="minorHAnsi" w:eastAsiaTheme="minorEastAsia" w:hAnsiTheme="minorHAnsi" w:cstheme="minorBidi"/>
          <w:szCs w:val="22"/>
        </w:rPr>
      </w:pPr>
      <w:r>
        <w:t>34.</w:t>
      </w:r>
      <w:r>
        <w:tab/>
        <w:t>Authority may waive or refund fee</w:t>
      </w:r>
      <w:r>
        <w:tab/>
      </w:r>
      <w:r>
        <w:fldChar w:fldCharType="begin"/>
      </w:r>
      <w:r>
        <w:instrText xml:space="preserve"> PAGEREF _Toc102388962 \h </w:instrText>
      </w:r>
      <w:r>
        <w:fldChar w:fldCharType="separate"/>
      </w:r>
      <w:r>
        <w:t>24</w:t>
      </w:r>
      <w:r>
        <w:fldChar w:fldCharType="end"/>
      </w:r>
    </w:p>
    <w:p>
      <w:pPr>
        <w:pStyle w:val="TOC4"/>
        <w:tabs>
          <w:tab w:val="right" w:leader="dot" w:pos="7077"/>
        </w:tabs>
        <w:rPr>
          <w:rFonts w:asciiTheme="minorHAnsi" w:eastAsiaTheme="minorEastAsia" w:hAnsiTheme="minorHAnsi" w:cstheme="minorBidi"/>
          <w:b w:val="0"/>
          <w:szCs w:val="22"/>
        </w:rPr>
      </w:pPr>
      <w:r>
        <w:t>Division 2 — Fees Arbitration Panels</w:t>
      </w:r>
    </w:p>
    <w:p>
      <w:pPr>
        <w:pStyle w:val="TOC8"/>
        <w:rPr>
          <w:rFonts w:asciiTheme="minorHAnsi" w:eastAsiaTheme="minorEastAsia" w:hAnsiTheme="minorHAnsi" w:cstheme="minorBidi"/>
          <w:szCs w:val="22"/>
        </w:rPr>
      </w:pPr>
      <w:r>
        <w:t>35.</w:t>
      </w:r>
      <w:r>
        <w:tab/>
        <w:t>Fees Arbitration Panels</w:t>
      </w:r>
      <w:r>
        <w:tab/>
      </w:r>
      <w:r>
        <w:fldChar w:fldCharType="begin"/>
      </w:r>
      <w:r>
        <w:instrText xml:space="preserve"> PAGEREF _Toc102388964 \h </w:instrText>
      </w:r>
      <w:r>
        <w:fldChar w:fldCharType="separate"/>
      </w:r>
      <w:r>
        <w:t>25</w:t>
      </w:r>
      <w:r>
        <w:fldChar w:fldCharType="end"/>
      </w:r>
    </w:p>
    <w:p>
      <w:pPr>
        <w:pStyle w:val="TOC8"/>
        <w:rPr>
          <w:rFonts w:asciiTheme="minorHAnsi" w:eastAsiaTheme="minorEastAsia" w:hAnsiTheme="minorHAnsi" w:cstheme="minorBidi"/>
          <w:szCs w:val="22"/>
        </w:rPr>
      </w:pPr>
      <w:r>
        <w:t>36.</w:t>
      </w:r>
      <w:r>
        <w:tab/>
        <w:t>Panel meetings</w:t>
      </w:r>
      <w:r>
        <w:tab/>
      </w:r>
      <w:r>
        <w:fldChar w:fldCharType="begin"/>
      </w:r>
      <w:r>
        <w:instrText xml:space="preserve"> PAGEREF _Toc102388965 \h </w:instrText>
      </w:r>
      <w:r>
        <w:fldChar w:fldCharType="separate"/>
      </w:r>
      <w:r>
        <w:t>25</w:t>
      </w:r>
      <w:r>
        <w:fldChar w:fldCharType="end"/>
      </w:r>
    </w:p>
    <w:p>
      <w:pPr>
        <w:pStyle w:val="TOC8"/>
        <w:rPr>
          <w:rFonts w:asciiTheme="minorHAnsi" w:eastAsiaTheme="minorEastAsia" w:hAnsiTheme="minorHAnsi" w:cstheme="minorBidi"/>
          <w:szCs w:val="22"/>
        </w:rPr>
      </w:pPr>
      <w:r>
        <w:t>37.</w:t>
      </w:r>
      <w:r>
        <w:tab/>
        <w:t>Decisions of a Panel</w:t>
      </w:r>
      <w:r>
        <w:tab/>
      </w:r>
      <w:r>
        <w:fldChar w:fldCharType="begin"/>
      </w:r>
      <w:r>
        <w:instrText xml:space="preserve"> PAGEREF _Toc102388966 \h </w:instrText>
      </w:r>
      <w:r>
        <w:fldChar w:fldCharType="separate"/>
      </w:r>
      <w:r>
        <w:t>25</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38.</w:t>
      </w:r>
      <w:r>
        <w:tab/>
        <w:t>Closely associated persons: s. 95</w:t>
      </w:r>
      <w:r>
        <w:tab/>
      </w:r>
      <w:r>
        <w:fldChar w:fldCharType="begin"/>
      </w:r>
      <w:r>
        <w:instrText xml:space="preserve"> PAGEREF _Toc102388968 \h </w:instrText>
      </w:r>
      <w:r>
        <w:fldChar w:fldCharType="separate"/>
      </w:r>
      <w:r>
        <w:t>27</w:t>
      </w:r>
      <w:r>
        <w:fldChar w:fldCharType="end"/>
      </w:r>
    </w:p>
    <w:p>
      <w:pPr>
        <w:pStyle w:val="TOC8"/>
        <w:rPr>
          <w:rFonts w:asciiTheme="minorHAnsi" w:eastAsiaTheme="minorEastAsia" w:hAnsiTheme="minorHAnsi" w:cstheme="minorBidi"/>
          <w:szCs w:val="22"/>
        </w:rPr>
      </w:pPr>
      <w:r>
        <w:t>39.</w:t>
      </w:r>
      <w:r>
        <w:tab/>
        <w:t>Offences</w:t>
      </w:r>
      <w:r>
        <w:tab/>
      </w:r>
      <w:r>
        <w:fldChar w:fldCharType="begin"/>
      </w:r>
      <w:r>
        <w:instrText xml:space="preserve"> PAGEREF _Toc102388969 \h </w:instrText>
      </w:r>
      <w:r>
        <w:fldChar w:fldCharType="separate"/>
      </w:r>
      <w:r>
        <w:t>27</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Schedule 1 — Armadale redevelopment area</w:t>
      </w:r>
    </w:p>
    <w:p>
      <w:pPr>
        <w:pStyle w:val="TOC2"/>
        <w:tabs>
          <w:tab w:val="right" w:leader="dot" w:pos="7077"/>
        </w:tabs>
        <w:rPr>
          <w:rFonts w:asciiTheme="minorHAnsi" w:eastAsiaTheme="minorEastAsia" w:hAnsiTheme="minorHAnsi" w:cstheme="minorBidi"/>
          <w:b w:val="0"/>
          <w:sz w:val="22"/>
          <w:szCs w:val="22"/>
        </w:rPr>
      </w:pPr>
      <w:r>
        <w:t>Schedule 2 — Central Perth redevelopment area</w:t>
      </w:r>
    </w:p>
    <w:p>
      <w:pPr>
        <w:pStyle w:val="TOC2"/>
        <w:tabs>
          <w:tab w:val="right" w:leader="dot" w:pos="7077"/>
        </w:tabs>
        <w:rPr>
          <w:rFonts w:asciiTheme="minorHAnsi" w:eastAsiaTheme="minorEastAsia" w:hAnsiTheme="minorHAnsi" w:cstheme="minorBidi"/>
          <w:b w:val="0"/>
          <w:sz w:val="22"/>
          <w:szCs w:val="22"/>
        </w:rPr>
      </w:pPr>
      <w:r>
        <w:t>Schedule 3 — Midland redevelopment area</w:t>
      </w:r>
    </w:p>
    <w:p>
      <w:pPr>
        <w:pStyle w:val="TOC2"/>
        <w:tabs>
          <w:tab w:val="right" w:leader="dot" w:pos="7077"/>
        </w:tabs>
        <w:rPr>
          <w:rFonts w:asciiTheme="minorHAnsi" w:eastAsiaTheme="minorEastAsia" w:hAnsiTheme="minorHAnsi" w:cstheme="minorBidi"/>
          <w:b w:val="0"/>
          <w:sz w:val="22"/>
          <w:szCs w:val="22"/>
        </w:rPr>
      </w:pPr>
      <w:r>
        <w:t>Schedule 4 — Subiaco redevelopment area</w:t>
      </w:r>
    </w:p>
    <w:p>
      <w:pPr>
        <w:pStyle w:val="TOC2"/>
        <w:tabs>
          <w:tab w:val="right" w:leader="dot" w:pos="7077"/>
        </w:tabs>
        <w:rPr>
          <w:rFonts w:asciiTheme="minorHAnsi" w:eastAsiaTheme="minorEastAsia" w:hAnsiTheme="minorHAnsi" w:cstheme="minorBidi"/>
          <w:b w:val="0"/>
          <w:sz w:val="22"/>
          <w:szCs w:val="22"/>
        </w:rPr>
      </w:pPr>
      <w:r>
        <w:t>Schedule 5A — Scarborough redevelopment area</w:t>
      </w:r>
    </w:p>
    <w:p>
      <w:pPr>
        <w:pStyle w:val="TOC2"/>
        <w:tabs>
          <w:tab w:val="right" w:leader="dot" w:pos="7077"/>
        </w:tabs>
        <w:rPr>
          <w:rFonts w:asciiTheme="minorHAnsi" w:eastAsiaTheme="minorEastAsia" w:hAnsiTheme="minorHAnsi" w:cstheme="minorBidi"/>
          <w:b w:val="0"/>
          <w:sz w:val="22"/>
          <w:szCs w:val="22"/>
        </w:rPr>
      </w:pPr>
      <w:r>
        <w:t>Schedule 5 — Fees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_Toc102388977 \h </w:instrText>
      </w:r>
      <w:r>
        <w:fldChar w:fldCharType="separate"/>
      </w:r>
      <w:r>
        <w:t>35</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pPr>
      <w:r>
        <w:lastRenderedPageBreak/>
        <w:t>Metropolitan Redevelopment Authority Act 2011</w:t>
      </w:r>
    </w:p>
    <w:p>
      <w:pPr>
        <w:pStyle w:val="NameofActReg"/>
      </w:pPr>
      <w:r>
        <w:t>Metropolitan Redevelopment Authority Regulations 2011</w:t>
      </w:r>
    </w:p>
    <w:p>
      <w:pPr>
        <w:pStyle w:val="Heading2"/>
        <w:keepNext w:val="0"/>
        <w:pageBreakBefore w:val="0"/>
        <w:spacing w:before="240"/>
      </w:pPr>
      <w:bookmarkStart w:id="3" w:name="_Toc102384761"/>
      <w:bookmarkStart w:id="4" w:name="_Toc102385345"/>
      <w:bookmarkStart w:id="5" w:name="_Toc102388921"/>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Heading5"/>
      </w:pPr>
      <w:bookmarkStart w:id="6" w:name="_Toc102388922"/>
      <w:r>
        <w:rPr>
          <w:rStyle w:val="CharSectno"/>
        </w:rPr>
        <w:t>1</w:t>
      </w:r>
      <w:r>
        <w:t>.</w:t>
      </w:r>
      <w:r>
        <w:tab/>
        <w:t>Citation</w:t>
      </w:r>
      <w:bookmarkEnd w:id="6"/>
    </w:p>
    <w:p>
      <w:pPr>
        <w:pStyle w:val="Subsection"/>
        <w:rPr>
          <w:i/>
        </w:rPr>
      </w:pPr>
      <w:r>
        <w:tab/>
      </w:r>
      <w:r>
        <w:tab/>
      </w:r>
      <w:bookmarkStart w:id="7" w:name="Start_Cursor"/>
      <w:bookmarkEnd w:id="7"/>
      <w:r>
        <w:rPr>
          <w:spacing w:val="-2"/>
        </w:rPr>
        <w:t>These</w:t>
      </w:r>
      <w:r>
        <w:t xml:space="preserve"> </w:t>
      </w:r>
      <w:r>
        <w:rPr>
          <w:spacing w:val="-2"/>
        </w:rPr>
        <w:t>regulations</w:t>
      </w:r>
      <w:r>
        <w:t xml:space="preserve"> are the </w:t>
      </w:r>
      <w:r>
        <w:rPr>
          <w:i/>
        </w:rPr>
        <w:t>Metropolitan Redevelopment Authority Regulations 2011</w:t>
      </w:r>
      <w:r>
        <w:t>.</w:t>
      </w:r>
    </w:p>
    <w:p>
      <w:pPr>
        <w:pStyle w:val="Heading5"/>
        <w:rPr>
          <w:spacing w:val="-2"/>
        </w:rPr>
      </w:pPr>
      <w:bookmarkStart w:id="8" w:name="_Toc102388923"/>
      <w:r>
        <w:rPr>
          <w:rStyle w:val="CharSectno"/>
        </w:rPr>
        <w:t>2</w:t>
      </w:r>
      <w:r>
        <w:rPr>
          <w:spacing w:val="-2"/>
        </w:rPr>
        <w:t>.</w:t>
      </w:r>
      <w:r>
        <w:rPr>
          <w:spacing w:val="-2"/>
        </w:rPr>
        <w:tab/>
        <w:t>Commencement</w:t>
      </w:r>
      <w:bookmarkEnd w:id="8"/>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9" w:name="_Toc102388924"/>
      <w:r>
        <w:rPr>
          <w:rStyle w:val="CharSectno"/>
        </w:rPr>
        <w:t>3</w:t>
      </w:r>
      <w:r>
        <w:t>.</w:t>
      </w:r>
      <w:r>
        <w:tab/>
        <w:t>Terms used</w:t>
      </w:r>
      <w:bookmarkEnd w:id="9"/>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 xml:space="preserve">identified as a heritage place in a redevelopment scheme or in a plan, strategy or other instrument relating to </w:t>
      </w:r>
      <w:r>
        <w:lastRenderedPageBreak/>
        <w:t>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w:t>
      </w:r>
    </w:p>
    <w:p>
      <w:pPr>
        <w:pStyle w:val="Heading2"/>
      </w:pPr>
      <w:bookmarkStart w:id="10" w:name="_Toc102384765"/>
      <w:bookmarkStart w:id="11" w:name="_Toc102385349"/>
      <w:bookmarkStart w:id="12" w:name="_Toc102388925"/>
      <w:r>
        <w:rPr>
          <w:rStyle w:val="CharPartNo"/>
        </w:rPr>
        <w:lastRenderedPageBreak/>
        <w:t>Part 2</w:t>
      </w:r>
      <w:r>
        <w:rPr>
          <w:rStyle w:val="CharDivNo"/>
        </w:rPr>
        <w:t> </w:t>
      </w:r>
      <w:r>
        <w:t>—</w:t>
      </w:r>
      <w:r>
        <w:rPr>
          <w:rStyle w:val="CharDivText"/>
        </w:rPr>
        <w:t> </w:t>
      </w:r>
      <w:r>
        <w:rPr>
          <w:rStyle w:val="CharPartText"/>
        </w:rPr>
        <w:t>Works, acts and activities that do not constitute development</w:t>
      </w:r>
      <w:bookmarkEnd w:id="10"/>
      <w:bookmarkEnd w:id="11"/>
      <w:bookmarkEnd w:id="12"/>
    </w:p>
    <w:p>
      <w:pPr>
        <w:pStyle w:val="Heading5"/>
      </w:pPr>
      <w:bookmarkStart w:id="13" w:name="_Toc102388926"/>
      <w:r>
        <w:rPr>
          <w:rStyle w:val="CharSectno"/>
        </w:rPr>
        <w:t>4</w:t>
      </w:r>
      <w:r>
        <w:t>.</w:t>
      </w:r>
      <w:r>
        <w:tab/>
        <w:t>Effect of exclusions in relation to heritage place</w:t>
      </w:r>
      <w:bookmarkEnd w:id="13"/>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14" w:name="_Toc102388927"/>
      <w:r>
        <w:rPr>
          <w:rStyle w:val="CharSectno"/>
        </w:rPr>
        <w:t>5</w:t>
      </w:r>
      <w:r>
        <w:t>.</w:t>
      </w:r>
      <w:r>
        <w:tab/>
        <w:t>Minor and temporary works, acts and activities</w:t>
      </w:r>
      <w:bookmarkEnd w:id="14"/>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lastRenderedPageBreak/>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15" w:name="_Toc102388928"/>
      <w:r>
        <w:rPr>
          <w:rStyle w:val="CharSectno"/>
        </w:rPr>
        <w:t>6</w:t>
      </w:r>
      <w:r>
        <w:t>.</w:t>
      </w:r>
      <w:r>
        <w:tab/>
        <w:t>Subdivision works</w:t>
      </w:r>
      <w:bookmarkEnd w:id="15"/>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 xml:space="preserve">the carrying out of subdivision works by the Authority if the works are necessary or desirable for compliance by </w:t>
      </w:r>
      <w:r>
        <w:lastRenderedPageBreak/>
        <w:t>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r>
        <w:tab/>
        <w:t>[Regulation 6 amended: Gazette 16 Dec 2016 p. 5705.]</w:t>
      </w:r>
    </w:p>
    <w:p>
      <w:pPr>
        <w:pStyle w:val="Ednotesection"/>
      </w:pPr>
      <w:r>
        <w:t>[</w:t>
      </w:r>
      <w:r>
        <w:rPr>
          <w:b/>
        </w:rPr>
        <w:t>7.</w:t>
      </w:r>
      <w:r>
        <w:tab/>
        <w:t>Deleted: Gazette 16 Dec 2016 p. 5705.]</w:t>
      </w:r>
    </w:p>
    <w:p>
      <w:pPr>
        <w:pStyle w:val="Heading5"/>
      </w:pPr>
      <w:bookmarkStart w:id="16" w:name="_Toc102388929"/>
      <w:r>
        <w:rPr>
          <w:rStyle w:val="CharSectno"/>
        </w:rPr>
        <w:t>8</w:t>
      </w:r>
      <w:r>
        <w:t>.</w:t>
      </w:r>
      <w:r>
        <w:tab/>
        <w:t>Certain works, acts and activities by Authority</w:t>
      </w:r>
      <w:bookmarkEnd w:id="16"/>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r>
        <w:tab/>
        <w:t>[Regulation 8 amended: Gazette 16 Dec 2016 p. 5705.]</w:t>
      </w:r>
    </w:p>
    <w:p>
      <w:pPr>
        <w:pStyle w:val="Heading5"/>
      </w:pPr>
      <w:bookmarkStart w:id="17" w:name="_Toc102388930"/>
      <w:r>
        <w:rPr>
          <w:rStyle w:val="CharSectno"/>
        </w:rPr>
        <w:t>9</w:t>
      </w:r>
      <w:r>
        <w:t>.</w:t>
      </w:r>
      <w:r>
        <w:tab/>
        <w:t>Certain buildings and related works</w:t>
      </w:r>
      <w:bookmarkEnd w:id="17"/>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lastRenderedPageBreak/>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 xml:space="preserve">if there are no design guidelines for single dwellings in the development scheme for the </w:t>
      </w:r>
      <w:r>
        <w:lastRenderedPageBreak/>
        <w:t>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18" w:name="_Toc102384771"/>
      <w:bookmarkStart w:id="19" w:name="_Toc102385355"/>
      <w:bookmarkStart w:id="20" w:name="_Toc102388931"/>
      <w:r>
        <w:rPr>
          <w:rStyle w:val="CharPartNo"/>
        </w:rPr>
        <w:lastRenderedPageBreak/>
        <w:t>Part 3</w:t>
      </w:r>
      <w:r>
        <w:rPr>
          <w:rStyle w:val="CharDivNo"/>
        </w:rPr>
        <w:t> </w:t>
      </w:r>
      <w:r>
        <w:t>— </w:t>
      </w:r>
      <w:r>
        <w:rPr>
          <w:rStyle w:val="CharPartText"/>
        </w:rPr>
        <w:t>Redevelopment areas</w:t>
      </w:r>
      <w:bookmarkEnd w:id="18"/>
      <w:bookmarkEnd w:id="19"/>
      <w:bookmarkEnd w:id="20"/>
    </w:p>
    <w:p>
      <w:pPr>
        <w:pStyle w:val="Heading5"/>
      </w:pPr>
      <w:bookmarkStart w:id="21" w:name="_Toc102388932"/>
      <w:r>
        <w:rPr>
          <w:rStyle w:val="CharSectno"/>
        </w:rPr>
        <w:t>10</w:t>
      </w:r>
      <w:r>
        <w:t>.</w:t>
      </w:r>
      <w:r>
        <w:tab/>
        <w:t>Armadale redevelopment area</w:t>
      </w:r>
      <w:bookmarkEnd w:id="21"/>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2021”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 SL 2020/250 r. 4; SL 2022/52 r. 4.]</w:t>
      </w:r>
    </w:p>
    <w:p>
      <w:pPr>
        <w:pStyle w:val="Heading5"/>
      </w:pPr>
      <w:bookmarkStart w:id="22" w:name="_Toc102388933"/>
      <w:r>
        <w:rPr>
          <w:rStyle w:val="CharSectno"/>
        </w:rPr>
        <w:t>11</w:t>
      </w:r>
      <w:r>
        <w:t>.</w:t>
      </w:r>
      <w:r>
        <w:tab/>
        <w:t>Central Perth redevelopment area</w:t>
      </w:r>
      <w:bookmarkEnd w:id="22"/>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2021” held at the office of the Authority, that plan being certified by the Minister as the plan prepared for the purpose of defining the Central Perth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Central Perth redevelopment area.</w:t>
      </w:r>
    </w:p>
    <w:p>
      <w:pPr>
        <w:pStyle w:val="Subsection"/>
        <w:keepNext/>
      </w:pPr>
      <w:r>
        <w:tab/>
        <w:t>(4)</w:t>
      </w:r>
      <w:r>
        <w:tab/>
        <w:t>For guidance, a plan depicting the Central Perth redevelopment area is set out in Schedule 2.</w:t>
      </w:r>
    </w:p>
    <w:p>
      <w:pPr>
        <w:pStyle w:val="Footnotesection"/>
      </w:pPr>
      <w:r>
        <w:tab/>
        <w:t>[Regulation 11 amended: SL 2020/250 r. 5; SL 2022/52 r. 5.]</w:t>
      </w:r>
    </w:p>
    <w:p>
      <w:pPr>
        <w:pStyle w:val="Heading5"/>
      </w:pPr>
      <w:bookmarkStart w:id="23" w:name="_Toc102388934"/>
      <w:r>
        <w:rPr>
          <w:rStyle w:val="CharSectno"/>
        </w:rPr>
        <w:lastRenderedPageBreak/>
        <w:t>12</w:t>
      </w:r>
      <w:r>
        <w:t>.</w:t>
      </w:r>
      <w:r>
        <w:tab/>
        <w:t>Midland redevelopment area</w:t>
      </w:r>
      <w:bookmarkEnd w:id="23"/>
    </w:p>
    <w:p>
      <w:pPr>
        <w:pStyle w:val="Subsection"/>
        <w:keepNext/>
      </w:pPr>
      <w:r>
        <w:tab/>
        <w:t>(1)</w:t>
      </w:r>
      <w:r>
        <w:tab/>
        <w:t xml:space="preserve">In this regulation — </w:t>
      </w:r>
    </w:p>
    <w:p>
      <w:pPr>
        <w:pStyle w:val="Defstart"/>
      </w:pPr>
      <w:r>
        <w:tab/>
      </w:r>
      <w:r>
        <w:rPr>
          <w:rStyle w:val="CharDefText"/>
        </w:rPr>
        <w:t>relevant plans</w:t>
      </w:r>
      <w:r>
        <w:t xml:space="preserve"> means the following plans held at the office of the Authority, each of those plans being certified by the Minister as a plan prepared for the purpose of defining the Midland redevelopment area — </w:t>
      </w:r>
    </w:p>
    <w:p>
      <w:pPr>
        <w:pStyle w:val="Defpara"/>
      </w:pPr>
      <w:r>
        <w:tab/>
        <w:t>(a)</w:t>
      </w:r>
      <w:r>
        <w:tab/>
        <w:t>the plan entitled “Midland redevelopment area (METRONET East — Midland project area)”;</w:t>
      </w:r>
    </w:p>
    <w:p>
      <w:pPr>
        <w:pStyle w:val="Defpara"/>
      </w:pPr>
      <w:r>
        <w:tab/>
        <w:t>(b)</w:t>
      </w:r>
      <w:r>
        <w:tab/>
        <w:t>the plan entitled “Midland redevelopment area (METRONET East — Bayswater project area)”;</w:t>
      </w:r>
    </w:p>
    <w:p>
      <w:pPr>
        <w:pStyle w:val="Defpara"/>
      </w:pPr>
      <w:r>
        <w:tab/>
        <w:t>(c)</w:t>
      </w:r>
      <w:r>
        <w:tab/>
        <w:t>the plan entitled “Midland redevelopment area (METRONET East — Forrestfield project area)”.</w:t>
      </w:r>
    </w:p>
    <w:p>
      <w:pPr>
        <w:pStyle w:val="Subsection"/>
      </w:pPr>
      <w:r>
        <w:tab/>
        <w:t>(2)</w:t>
      </w:r>
      <w:r>
        <w:tab/>
        <w:t>All of the land in the area outlined in bold on each of the relevant plans is declared to be a redevelopment area.</w:t>
      </w:r>
    </w:p>
    <w:p>
      <w:pPr>
        <w:pStyle w:val="Subsection"/>
      </w:pPr>
      <w:r>
        <w:tab/>
        <w:t>(3)</w:t>
      </w:r>
      <w:r>
        <w:tab/>
        <w:t>The name of the redevelopment area is the Midland redevelopment area.</w:t>
      </w:r>
    </w:p>
    <w:p>
      <w:pPr>
        <w:pStyle w:val="Subsection"/>
      </w:pPr>
      <w:r>
        <w:tab/>
        <w:t>(4)</w:t>
      </w:r>
      <w:r>
        <w:tab/>
        <w:t>For guidance, a plan depicting the Midland redevelopment area is set out in Schedule 3.</w:t>
      </w:r>
    </w:p>
    <w:p>
      <w:pPr>
        <w:pStyle w:val="Footnotesection"/>
      </w:pPr>
      <w:r>
        <w:tab/>
        <w:t>[Regulation 12 amended: Gazette 16 Dec 2014 p. 4763; SL 2020/14 r. 4.]</w:t>
      </w:r>
    </w:p>
    <w:p>
      <w:pPr>
        <w:pStyle w:val="Heading5"/>
      </w:pPr>
      <w:bookmarkStart w:id="24" w:name="_Toc102388935"/>
      <w:r>
        <w:rPr>
          <w:rStyle w:val="CharSectno"/>
        </w:rPr>
        <w:t>13</w:t>
      </w:r>
      <w:r>
        <w:t>.</w:t>
      </w:r>
      <w:r>
        <w:tab/>
        <w:t>Subiaco redevelopment area</w:t>
      </w:r>
      <w:bookmarkEnd w:id="24"/>
    </w:p>
    <w:p>
      <w:pPr>
        <w:pStyle w:val="Subsection"/>
        <w:keepNext/>
      </w:pPr>
      <w:r>
        <w:tab/>
        <w:t>(1)</w:t>
      </w:r>
      <w:r>
        <w:tab/>
        <w:t xml:space="preserve">In this regulation — </w:t>
      </w:r>
    </w:p>
    <w:p>
      <w:pPr>
        <w:pStyle w:val="Defstart"/>
      </w:pPr>
      <w:r>
        <w:tab/>
      </w:r>
      <w:r>
        <w:rPr>
          <w:rStyle w:val="CharDefText"/>
        </w:rPr>
        <w:t>relevant plan</w:t>
      </w:r>
      <w:r>
        <w:t xml:space="preserve"> means the plan entitled “Subiaco redevelopment area 2020”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lastRenderedPageBreak/>
        <w:tab/>
        <w:t>(4)</w:t>
      </w:r>
      <w:r>
        <w:tab/>
        <w:t>For guidance, a plan depicting the Subiaco redevelopment area is set out in Schedule 4.</w:t>
      </w:r>
    </w:p>
    <w:p>
      <w:pPr>
        <w:pStyle w:val="Footnotesection"/>
      </w:pPr>
      <w:r>
        <w:tab/>
        <w:t>[Regulation 13 amended: Gazette 7 Feb 2017 p. 1171; 4 Aug 2017 p. 4315; SL 2020/250 r. 6.]</w:t>
      </w:r>
    </w:p>
    <w:p>
      <w:pPr>
        <w:pStyle w:val="Heading5"/>
      </w:pPr>
      <w:bookmarkStart w:id="25" w:name="_Toc102388936"/>
      <w:r>
        <w:rPr>
          <w:rStyle w:val="CharSectno"/>
        </w:rPr>
        <w:t>14A</w:t>
      </w:r>
      <w:r>
        <w:t>.</w:t>
      </w:r>
      <w:r>
        <w:tab/>
        <w:t>Scarborough redevelopment area</w:t>
      </w:r>
      <w:bookmarkEnd w:id="25"/>
    </w:p>
    <w:p>
      <w:pPr>
        <w:pStyle w:val="Subsection"/>
        <w:keepNext/>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Gazette 30 Aug 2013 p. 4102.]</w:t>
      </w:r>
    </w:p>
    <w:p>
      <w:pPr>
        <w:pStyle w:val="Heading5"/>
      </w:pPr>
      <w:bookmarkStart w:id="26" w:name="_Toc102388937"/>
      <w:r>
        <w:rPr>
          <w:rStyle w:val="CharSectno"/>
        </w:rPr>
        <w:t>14</w:t>
      </w:r>
      <w:r>
        <w:t>.</w:t>
      </w:r>
      <w:r>
        <w:tab/>
        <w:t>Redevelopment area objectives: s. 30(5)(c)</w:t>
      </w:r>
      <w:bookmarkEnd w:id="26"/>
    </w:p>
    <w:p>
      <w:pPr>
        <w:pStyle w:val="Subsection"/>
        <w:keepNext/>
      </w:pPr>
      <w:r>
        <w:tab/>
      </w:r>
      <w:r>
        <w:tab/>
        <w:t xml:space="preserve">The objectives of each redevelopment area are as follows — </w:t>
      </w:r>
    </w:p>
    <w:p>
      <w:pPr>
        <w:pStyle w:val="Indenta"/>
      </w:pPr>
      <w:r>
        <w:tab/>
        <w:t>(a)</w:t>
      </w:r>
      <w:r>
        <w:tab/>
        <w:t>to build a sense of place by supporting high</w:t>
      </w:r>
      <w:r>
        <w:noBreakHyphen/>
        <w:t>quality urban design, heritage protection, public art and cultural activities that respond to Perth’s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lastRenderedPageBreak/>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5"/>
      </w:pPr>
      <w:bookmarkStart w:id="27" w:name="_Toc102388938"/>
      <w:r>
        <w:rPr>
          <w:rStyle w:val="CharSectno"/>
        </w:rPr>
        <w:t>14B</w:t>
      </w:r>
      <w:r>
        <w:t>.</w:t>
      </w:r>
      <w:r>
        <w:tab/>
        <w:t>Saving of rights where land removed from redevelopment area</w:t>
      </w:r>
      <w:bookmarkEnd w:id="27"/>
    </w:p>
    <w:p>
      <w:pPr>
        <w:pStyle w:val="Subsection"/>
      </w:pPr>
      <w:r>
        <w:tab/>
        <w:t>(1)</w:t>
      </w:r>
      <w:r>
        <w:tab/>
        <w:t xml:space="preserve">In this regulation — </w:t>
      </w:r>
    </w:p>
    <w:p>
      <w:pPr>
        <w:pStyle w:val="Defstart"/>
      </w:pPr>
      <w:r>
        <w:tab/>
      </w:r>
      <w:r>
        <w:rPr>
          <w:rStyle w:val="CharDefText"/>
        </w:rPr>
        <w:t>removal day</w:t>
      </w:r>
      <w:r>
        <w:t>, in relation to land removed from a redevelopment area, means the day on which the regulation made under section 31(1)(b) removing the land from the redevelopment area comes into operation.</w:t>
      </w:r>
    </w:p>
    <w:p>
      <w:pPr>
        <w:pStyle w:val="Subsection"/>
      </w:pPr>
      <w:r>
        <w:tab/>
        <w:t>(2)</w:t>
      </w:r>
      <w:r>
        <w:tab/>
        <w:t>This regulation applies if land is removed from a redevelopment area by a regulation made under section 31(1)(b).</w:t>
      </w:r>
    </w:p>
    <w:p>
      <w:pPr>
        <w:pStyle w:val="Subsection"/>
      </w:pPr>
      <w:r>
        <w:tab/>
        <w:t>(3)</w:t>
      </w:r>
      <w:r>
        <w:tab/>
        <w:t xml:space="preserve">The removal of the land from the redevelopment area does not affect — </w:t>
      </w:r>
    </w:p>
    <w:p>
      <w:pPr>
        <w:pStyle w:val="Indenta"/>
      </w:pPr>
      <w:r>
        <w:tab/>
        <w:t>(a)</w:t>
      </w:r>
      <w:r>
        <w:tab/>
        <w:t>any right to use the land for the purpose for which the land was being lawfully used immediately before removal day; or</w:t>
      </w:r>
    </w:p>
    <w:p>
      <w:pPr>
        <w:pStyle w:val="Indenta"/>
      </w:pPr>
      <w:r>
        <w:tab/>
        <w:t>(b)</w:t>
      </w:r>
      <w:r>
        <w:tab/>
        <w:t>any right to undertake any development on the land that was being lawfully undertaken on the land immediately before removal day.</w:t>
      </w:r>
    </w:p>
    <w:p>
      <w:pPr>
        <w:pStyle w:val="Subsection"/>
        <w:keepNext/>
      </w:pPr>
      <w:r>
        <w:tab/>
        <w:t>(4)</w:t>
      </w:r>
      <w:r>
        <w:tab/>
        <w:t>This regulation has effect subject to any provision of the approved redevelopment scheme for the redevelopment area relating to non</w:t>
      </w:r>
      <w:r>
        <w:noBreakHyphen/>
        <w:t>conforming uses.</w:t>
      </w:r>
    </w:p>
    <w:p>
      <w:pPr>
        <w:pStyle w:val="Footnotesection"/>
      </w:pPr>
      <w:r>
        <w:tab/>
        <w:t>[Regulation 14B inserted: SL 2020/250 r. 7.]</w:t>
      </w:r>
    </w:p>
    <w:p>
      <w:pPr>
        <w:pStyle w:val="Heading2"/>
      </w:pPr>
      <w:bookmarkStart w:id="28" w:name="_Toc102384779"/>
      <w:bookmarkStart w:id="29" w:name="_Toc102385363"/>
      <w:bookmarkStart w:id="30" w:name="_Toc102388939"/>
      <w:r>
        <w:rPr>
          <w:rStyle w:val="CharPartNo"/>
        </w:rPr>
        <w:lastRenderedPageBreak/>
        <w:t>Part 4</w:t>
      </w:r>
      <w:r>
        <w:rPr>
          <w:rStyle w:val="CharDivNo"/>
        </w:rPr>
        <w:t> </w:t>
      </w:r>
      <w:r>
        <w:t>—</w:t>
      </w:r>
      <w:r>
        <w:rPr>
          <w:rStyle w:val="CharDivText"/>
        </w:rPr>
        <w:t> </w:t>
      </w:r>
      <w:r>
        <w:rPr>
          <w:rStyle w:val="CharPartText"/>
        </w:rPr>
        <w:t>Development applications</w:t>
      </w:r>
      <w:bookmarkEnd w:id="28"/>
      <w:bookmarkEnd w:id="29"/>
      <w:bookmarkEnd w:id="30"/>
    </w:p>
    <w:p>
      <w:pPr>
        <w:pStyle w:val="Heading5"/>
      </w:pPr>
      <w:bookmarkStart w:id="31" w:name="_Toc102388940"/>
      <w:r>
        <w:rPr>
          <w:rStyle w:val="CharSectno"/>
        </w:rPr>
        <w:t>15</w:t>
      </w:r>
      <w:r>
        <w:t>.</w:t>
      </w:r>
      <w:r>
        <w:tab/>
        <w:t>Criteria for determining whether development application is standard or major application: s. 63(1)</w:t>
      </w:r>
      <w:bookmarkEnd w:id="31"/>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32" w:name="_Toc102388941"/>
      <w:r>
        <w:rPr>
          <w:rStyle w:val="CharSectno"/>
        </w:rPr>
        <w:t>16</w:t>
      </w:r>
      <w:r>
        <w:t>.</w:t>
      </w:r>
      <w:r>
        <w:tab/>
        <w:t>Development application</w:t>
      </w:r>
      <w:bookmarkEnd w:id="32"/>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33" w:name="_Toc102388942"/>
      <w:r>
        <w:rPr>
          <w:rStyle w:val="CharSectno"/>
        </w:rPr>
        <w:t>17</w:t>
      </w:r>
      <w:r>
        <w:t>.</w:t>
      </w:r>
      <w:r>
        <w:tab/>
        <w:t>Plans to accompany development application</w:t>
      </w:r>
      <w:bookmarkEnd w:id="33"/>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 xml:space="preserve">the location, design and dimensions of all car parking spaces proposed to be provided, together with access details and any specific allocation of </w:t>
      </w:r>
      <w:r>
        <w:lastRenderedPageBreak/>
        <w:t>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lastRenderedPageBreak/>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34" w:name="_Toc102388943"/>
      <w:r>
        <w:rPr>
          <w:rStyle w:val="CharSectno"/>
        </w:rPr>
        <w:t>18</w:t>
      </w:r>
      <w:r>
        <w:t>.</w:t>
      </w:r>
      <w:r>
        <w:tab/>
        <w:t>Statements to accompany development application</w:t>
      </w:r>
      <w:bookmarkEnd w:id="34"/>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lastRenderedPageBreak/>
        <w:tab/>
        <w:t>(f)</w:t>
      </w:r>
      <w:r>
        <w:tab/>
        <w:t>if the proposed development relates to a place entered in the Register of Heritage Places — a statement about the effect of the proposed development on the heritage values of the place.</w:t>
      </w:r>
    </w:p>
    <w:p>
      <w:pPr>
        <w:pStyle w:val="Footnotesection"/>
      </w:pPr>
      <w:r>
        <w:tab/>
        <w:t>[Regulation 18 amended: Gazette 16 Dec 2016 p. 5707.]</w:t>
      </w:r>
    </w:p>
    <w:p>
      <w:pPr>
        <w:pStyle w:val="Heading5"/>
      </w:pPr>
      <w:bookmarkStart w:id="35" w:name="_Toc102388944"/>
      <w:r>
        <w:rPr>
          <w:rStyle w:val="CharSectno"/>
        </w:rPr>
        <w:t>19</w:t>
      </w:r>
      <w:r>
        <w:t>.</w:t>
      </w:r>
      <w:r>
        <w:tab/>
        <w:t>Other material to accompany development application</w:t>
      </w:r>
      <w:bookmarkEnd w:id="35"/>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36" w:name="_Toc102388945"/>
      <w:r>
        <w:rPr>
          <w:rStyle w:val="CharSectno"/>
        </w:rPr>
        <w:t>20</w:t>
      </w:r>
      <w:r>
        <w:t>.</w:t>
      </w:r>
      <w:r>
        <w:tab/>
        <w:t>Electronic lodgment under regulation 17, 18 or 19</w:t>
      </w:r>
      <w:bookmarkEnd w:id="36"/>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37" w:name="_Toc102388946"/>
      <w:r>
        <w:rPr>
          <w:rStyle w:val="CharSectno"/>
        </w:rPr>
        <w:t>21</w:t>
      </w:r>
      <w:r>
        <w:t>.</w:t>
      </w:r>
      <w:r>
        <w:tab/>
        <w:t>Authority may request additional information</w:t>
      </w:r>
      <w:bookmarkEnd w:id="37"/>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38" w:name="_Toc102388947"/>
      <w:r>
        <w:rPr>
          <w:rStyle w:val="CharSectno"/>
        </w:rPr>
        <w:lastRenderedPageBreak/>
        <w:t>22</w:t>
      </w:r>
      <w:r>
        <w:t>.</w:t>
      </w:r>
      <w:r>
        <w:tab/>
        <w:t>Amending development approval on application</w:t>
      </w:r>
      <w:bookmarkEnd w:id="38"/>
    </w:p>
    <w:p>
      <w:pPr>
        <w:pStyle w:val="Subsection"/>
        <w:keepNext/>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lastRenderedPageBreak/>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39" w:name="_Toc102388948"/>
      <w:r>
        <w:rPr>
          <w:rStyle w:val="CharSectno"/>
        </w:rPr>
        <w:t>23</w:t>
      </w:r>
      <w:r>
        <w:t>.</w:t>
      </w:r>
      <w:r>
        <w:tab/>
        <w:t>Review of Authority’s decision by SAT</w:t>
      </w:r>
      <w:bookmarkEnd w:id="39"/>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40" w:name="_Toc102384789"/>
      <w:bookmarkStart w:id="41" w:name="_Toc102385373"/>
      <w:bookmarkStart w:id="42" w:name="_Toc102388949"/>
      <w:r>
        <w:rPr>
          <w:rStyle w:val="CharPartNo"/>
        </w:rPr>
        <w:lastRenderedPageBreak/>
        <w:t>Part 5</w:t>
      </w:r>
      <w:r>
        <w:rPr>
          <w:rStyle w:val="CharDivNo"/>
        </w:rPr>
        <w:t> </w:t>
      </w:r>
      <w:r>
        <w:t>—</w:t>
      </w:r>
      <w:r>
        <w:rPr>
          <w:rStyle w:val="CharDivText"/>
        </w:rPr>
        <w:t> </w:t>
      </w:r>
      <w:r>
        <w:rPr>
          <w:rStyle w:val="CharPartText"/>
        </w:rPr>
        <w:t>Functions of Authority</w:t>
      </w:r>
      <w:bookmarkEnd w:id="40"/>
      <w:bookmarkEnd w:id="41"/>
      <w:bookmarkEnd w:id="42"/>
    </w:p>
    <w:p>
      <w:pPr>
        <w:pStyle w:val="Heading5"/>
      </w:pPr>
      <w:bookmarkStart w:id="43" w:name="_Toc102388950"/>
      <w:r>
        <w:rPr>
          <w:rStyle w:val="CharSectno"/>
        </w:rPr>
        <w:t>24</w:t>
      </w:r>
      <w:r>
        <w:t>.</w:t>
      </w:r>
      <w:r>
        <w:tab/>
        <w:t>Delegation: s. 14</w:t>
      </w:r>
      <w:bookmarkEnd w:id="43"/>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44" w:name="_Toc102388951"/>
      <w:r>
        <w:rPr>
          <w:rStyle w:val="CharSectno"/>
        </w:rPr>
        <w:t>25</w:t>
      </w:r>
      <w:r>
        <w:t>.</w:t>
      </w:r>
      <w:r>
        <w:tab/>
        <w:t>Value of land acquired or disposed of: s. 18</w:t>
      </w:r>
      <w:bookmarkEnd w:id="44"/>
    </w:p>
    <w:p>
      <w:pPr>
        <w:pStyle w:val="Subsection"/>
      </w:pPr>
      <w:r>
        <w:tab/>
      </w:r>
      <w:r>
        <w:tab/>
        <w:t>For the purposes of section 18(2), the amount prescribed is $5 million.</w:t>
      </w:r>
    </w:p>
    <w:p>
      <w:pPr>
        <w:pStyle w:val="Heading5"/>
      </w:pPr>
      <w:bookmarkStart w:id="45" w:name="_Toc102388952"/>
      <w:r>
        <w:rPr>
          <w:rStyle w:val="CharSectno"/>
        </w:rPr>
        <w:t>26</w:t>
      </w:r>
      <w:r>
        <w:t>.</w:t>
      </w:r>
      <w:r>
        <w:tab/>
        <w:t>Business plans: s. 113</w:t>
      </w:r>
      <w:bookmarkEnd w:id="45"/>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lastRenderedPageBreak/>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46" w:name="_Toc102388953"/>
      <w:r>
        <w:rPr>
          <w:rStyle w:val="CharSectno"/>
        </w:rPr>
        <w:t>27</w:t>
      </w:r>
      <w:r>
        <w:t>.</w:t>
      </w:r>
      <w:r>
        <w:tab/>
        <w:t>Operational plans: s. 113</w:t>
      </w:r>
      <w:bookmarkEnd w:id="46"/>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keepNext/>
      </w:pPr>
      <w:r>
        <w:lastRenderedPageBreak/>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47" w:name="_Toc102384794"/>
      <w:bookmarkStart w:id="48" w:name="_Toc102385378"/>
      <w:bookmarkStart w:id="49" w:name="_Toc102388954"/>
      <w:r>
        <w:rPr>
          <w:rStyle w:val="CharPartNo"/>
        </w:rPr>
        <w:lastRenderedPageBreak/>
        <w:t>Part 6</w:t>
      </w:r>
      <w:r>
        <w:t> — </w:t>
      </w:r>
      <w:r>
        <w:rPr>
          <w:rStyle w:val="CharPartText"/>
        </w:rPr>
        <w:t>Fees and charges</w:t>
      </w:r>
      <w:bookmarkEnd w:id="47"/>
      <w:bookmarkEnd w:id="48"/>
      <w:bookmarkEnd w:id="49"/>
    </w:p>
    <w:p>
      <w:pPr>
        <w:pStyle w:val="Heading3"/>
      </w:pPr>
      <w:bookmarkStart w:id="50" w:name="_Toc102384795"/>
      <w:bookmarkStart w:id="51" w:name="_Toc102385379"/>
      <w:bookmarkStart w:id="52" w:name="_Toc102388955"/>
      <w:r>
        <w:rPr>
          <w:rStyle w:val="CharDivNo"/>
        </w:rPr>
        <w:t>Division 1</w:t>
      </w:r>
      <w:r>
        <w:t> — </w:t>
      </w:r>
      <w:r>
        <w:rPr>
          <w:rStyle w:val="CharDivText"/>
        </w:rPr>
        <w:t>General</w:t>
      </w:r>
      <w:bookmarkEnd w:id="50"/>
      <w:bookmarkEnd w:id="51"/>
      <w:bookmarkEnd w:id="52"/>
    </w:p>
    <w:p>
      <w:pPr>
        <w:pStyle w:val="Heading5"/>
      </w:pPr>
      <w:bookmarkStart w:id="53" w:name="_Toc102388956"/>
      <w:r>
        <w:rPr>
          <w:rStyle w:val="CharSectno"/>
        </w:rPr>
        <w:t>28</w:t>
      </w:r>
      <w:r>
        <w:t>.</w:t>
      </w:r>
      <w:r>
        <w:tab/>
        <w:t>Terms used</w:t>
      </w:r>
      <w:bookmarkEnd w:id="53"/>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54" w:name="_Toc102388957"/>
      <w:r>
        <w:rPr>
          <w:rStyle w:val="CharSectno"/>
        </w:rPr>
        <w:t>29</w:t>
      </w:r>
      <w:r>
        <w:t>.</w:t>
      </w:r>
      <w:r>
        <w:tab/>
        <w:t>Fees for certain services</w:t>
      </w:r>
      <w:bookmarkEnd w:id="54"/>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55" w:name="_Toc102388958"/>
      <w:r>
        <w:rPr>
          <w:rStyle w:val="CharSectno"/>
        </w:rPr>
        <w:t>30</w:t>
      </w:r>
      <w:r>
        <w:t>.</w:t>
      </w:r>
      <w:r>
        <w:tab/>
        <w:t>Fees relating to structure plans and scheme amendments etc.</w:t>
      </w:r>
      <w:bookmarkEnd w:id="55"/>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 xml:space="preserve">the approval or assessment of a plan, diagram or other document in connection with a development approval or </w:t>
      </w:r>
      <w:r>
        <w:lastRenderedPageBreak/>
        <w:t>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lastRenderedPageBreak/>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56" w:name="_Toc102388959"/>
      <w:r>
        <w:rPr>
          <w:rStyle w:val="CharSectno"/>
        </w:rPr>
        <w:t>31</w:t>
      </w:r>
      <w:r>
        <w:t>.</w:t>
      </w:r>
      <w:r>
        <w:tab/>
        <w:t>Additional costs and expenses payable by applicants</w:t>
      </w:r>
      <w:bookmarkEnd w:id="56"/>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lastRenderedPageBreak/>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57" w:name="_Toc102388960"/>
      <w:r>
        <w:rPr>
          <w:rStyle w:val="CharSectno"/>
        </w:rPr>
        <w:t>32</w:t>
      </w:r>
      <w:r>
        <w:t>.</w:t>
      </w:r>
      <w:r>
        <w:tab/>
        <w:t>Itemised account to be provided on request</w:t>
      </w:r>
      <w:bookmarkEnd w:id="57"/>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58" w:name="_Toc102388961"/>
      <w:r>
        <w:rPr>
          <w:rStyle w:val="CharSectno"/>
        </w:rPr>
        <w:t>33</w:t>
      </w:r>
      <w:r>
        <w:t>.</w:t>
      </w:r>
      <w:r>
        <w:tab/>
        <w:t>Dispute as to amount payable</w:t>
      </w:r>
      <w:bookmarkEnd w:id="58"/>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59" w:name="_Toc102388962"/>
      <w:r>
        <w:rPr>
          <w:rStyle w:val="CharSectno"/>
        </w:rPr>
        <w:t>34</w:t>
      </w:r>
      <w:r>
        <w:t>.</w:t>
      </w:r>
      <w:r>
        <w:tab/>
        <w:t>Authority may waive or refund fee</w:t>
      </w:r>
      <w:bookmarkEnd w:id="59"/>
    </w:p>
    <w:p>
      <w:pPr>
        <w:pStyle w:val="Subsection"/>
      </w:pPr>
      <w:r>
        <w:tab/>
      </w:r>
      <w:r>
        <w:tab/>
        <w:t>The Authority may waive or refund, in whole or in part, the payment of a fee imposed under this Division.</w:t>
      </w:r>
    </w:p>
    <w:p>
      <w:pPr>
        <w:pStyle w:val="Heading3"/>
      </w:pPr>
      <w:bookmarkStart w:id="60" w:name="_Toc102384803"/>
      <w:bookmarkStart w:id="61" w:name="_Toc102385387"/>
      <w:bookmarkStart w:id="62" w:name="_Toc102388963"/>
      <w:r>
        <w:rPr>
          <w:rStyle w:val="CharDivNo"/>
        </w:rPr>
        <w:lastRenderedPageBreak/>
        <w:t>Division 2</w:t>
      </w:r>
      <w:r>
        <w:t> — </w:t>
      </w:r>
      <w:r>
        <w:rPr>
          <w:rStyle w:val="CharDivText"/>
        </w:rPr>
        <w:t>Fees Arbitration Panels</w:t>
      </w:r>
      <w:bookmarkEnd w:id="60"/>
      <w:bookmarkEnd w:id="61"/>
      <w:bookmarkEnd w:id="62"/>
    </w:p>
    <w:p>
      <w:pPr>
        <w:pStyle w:val="Heading5"/>
      </w:pPr>
      <w:bookmarkStart w:id="63" w:name="_Toc102388964"/>
      <w:r>
        <w:rPr>
          <w:rStyle w:val="CharSectno"/>
        </w:rPr>
        <w:t>35</w:t>
      </w:r>
      <w:r>
        <w:t>.</w:t>
      </w:r>
      <w:r>
        <w:tab/>
        <w:t>Fees Arbitration Panels</w:t>
      </w:r>
      <w:bookmarkEnd w:id="63"/>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64" w:name="_Toc102388965"/>
      <w:r>
        <w:rPr>
          <w:rStyle w:val="CharSectno"/>
        </w:rPr>
        <w:t>36</w:t>
      </w:r>
      <w:r>
        <w:t>.</w:t>
      </w:r>
      <w:r>
        <w:tab/>
        <w:t>Panel meetings</w:t>
      </w:r>
      <w:bookmarkEnd w:id="64"/>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65" w:name="_Toc102388966"/>
      <w:r>
        <w:rPr>
          <w:rStyle w:val="CharSectno"/>
        </w:rPr>
        <w:t>37</w:t>
      </w:r>
      <w:r>
        <w:t>.</w:t>
      </w:r>
      <w:r>
        <w:tab/>
        <w:t>Decisions of a Panel</w:t>
      </w:r>
      <w:bookmarkEnd w:id="65"/>
    </w:p>
    <w:p>
      <w:pPr>
        <w:pStyle w:val="Subsection"/>
      </w:pPr>
      <w:r>
        <w:tab/>
        <w:t>(1)</w:t>
      </w:r>
      <w:r>
        <w:tab/>
        <w:t>A Panel member, including the chairperson, has a single vote on a decision to be made by the Panel.</w:t>
      </w:r>
    </w:p>
    <w:p>
      <w:pPr>
        <w:pStyle w:val="Subsection"/>
      </w:pPr>
      <w:r>
        <w:lastRenderedPageBreak/>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66" w:name="_Toc102384807"/>
      <w:bookmarkStart w:id="67" w:name="_Toc102385391"/>
      <w:bookmarkStart w:id="68" w:name="_Toc102388967"/>
      <w:r>
        <w:rPr>
          <w:rStyle w:val="CharPartNo"/>
        </w:rPr>
        <w:lastRenderedPageBreak/>
        <w:t>Part 7</w:t>
      </w:r>
      <w:r>
        <w:rPr>
          <w:rStyle w:val="CharDivNo"/>
        </w:rPr>
        <w:t> </w:t>
      </w:r>
      <w:r>
        <w:t>—</w:t>
      </w:r>
      <w:r>
        <w:rPr>
          <w:rStyle w:val="CharDivText"/>
        </w:rPr>
        <w:t> </w:t>
      </w:r>
      <w:r>
        <w:rPr>
          <w:rStyle w:val="CharPartText"/>
        </w:rPr>
        <w:t>Miscellaneous</w:t>
      </w:r>
      <w:bookmarkEnd w:id="66"/>
      <w:bookmarkEnd w:id="67"/>
      <w:bookmarkEnd w:id="68"/>
    </w:p>
    <w:p>
      <w:pPr>
        <w:pStyle w:val="Heading5"/>
      </w:pPr>
      <w:bookmarkStart w:id="69" w:name="_Toc102388968"/>
      <w:r>
        <w:rPr>
          <w:rStyle w:val="CharSectno"/>
        </w:rPr>
        <w:t>38</w:t>
      </w:r>
      <w:r>
        <w:t>.</w:t>
      </w:r>
      <w:r>
        <w:tab/>
        <w:t>Closely associated persons: s. 95</w:t>
      </w:r>
      <w:bookmarkEnd w:id="69"/>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70" w:name="_Toc102388969"/>
      <w:r>
        <w:rPr>
          <w:rStyle w:val="CharSectno"/>
        </w:rPr>
        <w:t>39</w:t>
      </w:r>
      <w:r>
        <w:t>.</w:t>
      </w:r>
      <w:r>
        <w:tab/>
        <w:t>Offences</w:t>
      </w:r>
      <w:bookmarkEnd w:id="70"/>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21"/>
          <w:headerReference w:type="default" r:id="rId22"/>
          <w:headerReference w:type="first" r:id="rId23"/>
          <w:endnotePr>
            <w:numFmt w:val="decimal"/>
          </w:endnotePr>
          <w:pgSz w:w="11907" w:h="16840" w:code="9"/>
          <w:pgMar w:top="2381" w:right="2410" w:bottom="3544" w:left="2410" w:header="720" w:footer="3380" w:gutter="0"/>
          <w:pgNumType w:start="1"/>
          <w:cols w:space="720"/>
          <w:noEndnote/>
          <w:titlePg/>
          <w:docGrid w:linePitch="78"/>
        </w:sectPr>
      </w:pPr>
    </w:p>
    <w:p>
      <w:pPr>
        <w:pStyle w:val="yScheduleHeading"/>
      </w:pPr>
      <w:bookmarkStart w:id="71" w:name="_Toc90887755"/>
      <w:bookmarkStart w:id="72" w:name="_Toc90888056"/>
      <w:bookmarkStart w:id="73" w:name="_Toc101346820"/>
      <w:bookmarkStart w:id="74" w:name="_Toc101449450"/>
      <w:bookmarkStart w:id="75" w:name="_Toc102385394"/>
      <w:bookmarkStart w:id="76" w:name="_Toc102388970"/>
      <w:bookmarkStart w:id="77" w:name="_Toc102384810"/>
      <w:r>
        <w:rPr>
          <w:rStyle w:val="CharSchNo"/>
        </w:rPr>
        <w:lastRenderedPageBreak/>
        <w:t>Schedule 1</w:t>
      </w:r>
      <w:r>
        <w:t> — </w:t>
      </w:r>
      <w:r>
        <w:rPr>
          <w:rStyle w:val="CharSchText"/>
        </w:rPr>
        <w:t>Armadale redevelopment area</w:t>
      </w:r>
      <w:bookmarkEnd w:id="71"/>
      <w:bookmarkEnd w:id="72"/>
      <w:bookmarkEnd w:id="73"/>
      <w:bookmarkEnd w:id="74"/>
      <w:bookmarkEnd w:id="75"/>
      <w:bookmarkEnd w:id="76"/>
    </w:p>
    <w:p>
      <w:pPr>
        <w:pStyle w:val="yShoulderClause"/>
      </w:pPr>
      <w:r>
        <w:t>[r. 10(4)]</w:t>
      </w:r>
    </w:p>
    <w:p>
      <w:pPr>
        <w:pStyle w:val="yFootnoteheading"/>
      </w:pPr>
      <w:r>
        <w:tab/>
        <w:t>[Heading inserted: SL 2022/52 r. 6.]</w:t>
      </w:r>
    </w:p>
    <w:p>
      <w:pPr>
        <w:pStyle w:val="yMiscellaneousBody"/>
      </w:pPr>
      <w:r>
        <w:rPr>
          <w:noProof/>
        </w:rPr>
        <w:drawing>
          <wp:inline distT="0" distB="0" distL="0" distR="0">
            <wp:extent cx="4533900" cy="3073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adale Redevelopment Area Map 2021_1.jpg"/>
                    <pic:cNvPicPr/>
                  </pic:nvPicPr>
                  <pic:blipFill rotWithShape="1">
                    <a:blip r:embed="rId24" cstate="print">
                      <a:extLst>
                        <a:ext uri="{28A0092B-C50C-407E-A947-70E740481C1C}">
                          <a14:useLocalDpi xmlns:a14="http://schemas.microsoft.com/office/drawing/2010/main" val="0"/>
                        </a:ext>
                      </a:extLst>
                    </a:blip>
                    <a:srcRect l="2751" t="4192" r="3274" b="5688"/>
                    <a:stretch/>
                  </pic:blipFill>
                  <pic:spPr bwMode="auto">
                    <a:xfrm>
                      <a:off x="0" y="0"/>
                      <a:ext cx="4539134" cy="307720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1 inserted: SL 2022/52 r. 6.]</w:t>
      </w:r>
    </w:p>
    <w:p>
      <w:pPr>
        <w:pStyle w:val="yScheduleHeading"/>
      </w:pPr>
      <w:bookmarkStart w:id="78" w:name="_Toc90887756"/>
      <w:bookmarkStart w:id="79" w:name="_Toc90888057"/>
      <w:bookmarkStart w:id="80" w:name="_Toc101346821"/>
      <w:bookmarkStart w:id="81" w:name="_Toc101449451"/>
      <w:bookmarkStart w:id="82" w:name="_Toc102385395"/>
      <w:bookmarkStart w:id="83" w:name="_Toc102388971"/>
      <w:r>
        <w:rPr>
          <w:rStyle w:val="CharSchNo"/>
        </w:rPr>
        <w:lastRenderedPageBreak/>
        <w:t>Schedule 2</w:t>
      </w:r>
      <w:r>
        <w:t> — </w:t>
      </w:r>
      <w:r>
        <w:rPr>
          <w:rStyle w:val="CharSchText"/>
        </w:rPr>
        <w:t>Central Perth redevelopment area</w:t>
      </w:r>
      <w:bookmarkEnd w:id="78"/>
      <w:bookmarkEnd w:id="79"/>
      <w:bookmarkEnd w:id="80"/>
      <w:bookmarkEnd w:id="81"/>
      <w:bookmarkEnd w:id="82"/>
      <w:bookmarkEnd w:id="83"/>
    </w:p>
    <w:p>
      <w:pPr>
        <w:pStyle w:val="yShoulderClause"/>
      </w:pPr>
      <w:r>
        <w:t>[r. 11(4)]</w:t>
      </w:r>
    </w:p>
    <w:p>
      <w:pPr>
        <w:pStyle w:val="yFootnoteheading"/>
      </w:pPr>
      <w:r>
        <w:tab/>
        <w:t>[Heading inserted: SL 2022/52 r. 6.]</w:t>
      </w:r>
    </w:p>
    <w:p>
      <w:pPr>
        <w:pStyle w:val="yMiscellaneousBody"/>
      </w:pPr>
      <w:r>
        <w:rPr>
          <w:noProof/>
        </w:rPr>
        <w:drawing>
          <wp:inline distT="0" distB="0" distL="0" distR="0">
            <wp:extent cx="4714875" cy="316086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al Perth Redevelopment Area 2021 Map_1.jpg"/>
                    <pic:cNvPicPr/>
                  </pic:nvPicPr>
                  <pic:blipFill rotWithShape="1">
                    <a:blip r:embed="rId25" cstate="print">
                      <a:extLst>
                        <a:ext uri="{28A0092B-C50C-407E-A947-70E740481C1C}">
                          <a14:useLocalDpi xmlns:a14="http://schemas.microsoft.com/office/drawing/2010/main" val="0"/>
                        </a:ext>
                      </a:extLst>
                    </a:blip>
                    <a:srcRect l="2752" t="3592" r="2850" b="6887"/>
                    <a:stretch/>
                  </pic:blipFill>
                  <pic:spPr bwMode="auto">
                    <a:xfrm>
                      <a:off x="0" y="0"/>
                      <a:ext cx="4718663" cy="3163408"/>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2 inserted: SL 2022/52 r. 6.]</w:t>
      </w:r>
    </w:p>
    <w:p>
      <w:pPr>
        <w:pStyle w:val="yScheduleHeading"/>
      </w:pPr>
      <w:bookmarkStart w:id="84" w:name="_Toc102384812"/>
      <w:bookmarkStart w:id="85" w:name="_Toc102385396"/>
      <w:bookmarkStart w:id="86" w:name="_Toc102388972"/>
      <w:bookmarkEnd w:id="77"/>
      <w:r>
        <w:rPr>
          <w:rStyle w:val="CharSchNo"/>
        </w:rPr>
        <w:lastRenderedPageBreak/>
        <w:t>Schedule 3</w:t>
      </w:r>
      <w:r>
        <w:t> — </w:t>
      </w:r>
      <w:r>
        <w:rPr>
          <w:rStyle w:val="CharSchText"/>
        </w:rPr>
        <w:t>Midland redevelopment area</w:t>
      </w:r>
      <w:bookmarkEnd w:id="84"/>
      <w:bookmarkEnd w:id="85"/>
      <w:bookmarkEnd w:id="86"/>
    </w:p>
    <w:p>
      <w:pPr>
        <w:pStyle w:val="yShoulderClause"/>
      </w:pPr>
      <w:r>
        <w:t>[r. 12(4)]</w:t>
      </w:r>
    </w:p>
    <w:p>
      <w:pPr>
        <w:pStyle w:val="yFootnoteheading"/>
      </w:pPr>
      <w:r>
        <w:tab/>
        <w:t>[Heading inserted: SL 2020/14 r. 5.]</w:t>
      </w:r>
    </w:p>
    <w:p>
      <w:pPr>
        <w:pStyle w:val="ySubsection"/>
      </w:pPr>
      <w:r>
        <w:rPr>
          <w:noProof/>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6"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3 inserted: SL 2020/14 r. 5.]</w:t>
      </w:r>
    </w:p>
    <w:p>
      <w:pPr>
        <w:pStyle w:val="yScheduleHeading"/>
      </w:pPr>
      <w:bookmarkStart w:id="87" w:name="_Toc102384813"/>
      <w:bookmarkStart w:id="88" w:name="_Toc102385397"/>
      <w:bookmarkStart w:id="89" w:name="_Toc102388973"/>
      <w:r>
        <w:rPr>
          <w:rStyle w:val="CharSchNo"/>
        </w:rPr>
        <w:lastRenderedPageBreak/>
        <w:t>Schedule 4</w:t>
      </w:r>
      <w:r>
        <w:rPr>
          <w:rStyle w:val="CharSDivNo"/>
        </w:rPr>
        <w:t> </w:t>
      </w:r>
      <w:r>
        <w:t>—</w:t>
      </w:r>
      <w:r>
        <w:rPr>
          <w:rStyle w:val="CharSDivText"/>
        </w:rPr>
        <w:t> </w:t>
      </w:r>
      <w:r>
        <w:rPr>
          <w:rStyle w:val="CharSchText"/>
        </w:rPr>
        <w:t>Subiaco redevelopment area</w:t>
      </w:r>
      <w:bookmarkEnd w:id="87"/>
      <w:bookmarkEnd w:id="88"/>
      <w:bookmarkEnd w:id="89"/>
    </w:p>
    <w:p>
      <w:pPr>
        <w:pStyle w:val="yShoulderClause"/>
      </w:pPr>
      <w:r>
        <w:t>[r. 13(4)]</w:t>
      </w:r>
    </w:p>
    <w:p>
      <w:pPr>
        <w:pStyle w:val="yFootnoteheading"/>
      </w:pPr>
      <w:r>
        <w:tab/>
        <w:t>[Heading inserted: SL 2020/250 r. 9.]</w:t>
      </w:r>
    </w:p>
    <w:p>
      <w:pPr>
        <w:pStyle w:val="MiscellaneousBody"/>
        <w:spacing w:before="0"/>
      </w:pPr>
      <w:r>
        <w:rPr>
          <w:noProof/>
        </w:rPr>
        <w:drawing>
          <wp:inline distT="0" distB="0" distL="0" distR="0">
            <wp:extent cx="4476024" cy="445334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 redevelopment area 2020_1.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476024" cy="4453342"/>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4 inserted: SL 2020/250 r. 9.]</w:t>
      </w:r>
    </w:p>
    <w:p>
      <w:pPr>
        <w:pStyle w:val="yScheduleHeading"/>
      </w:pPr>
      <w:bookmarkStart w:id="90" w:name="_Toc102384814"/>
      <w:bookmarkStart w:id="91" w:name="_Toc102385398"/>
      <w:bookmarkStart w:id="92" w:name="_Toc102388974"/>
      <w:r>
        <w:rPr>
          <w:rStyle w:val="CharSchNo"/>
        </w:rPr>
        <w:lastRenderedPageBreak/>
        <w:t>Schedule 5A</w:t>
      </w:r>
      <w:r>
        <w:t> — </w:t>
      </w:r>
      <w:r>
        <w:rPr>
          <w:rStyle w:val="CharSchText"/>
        </w:rPr>
        <w:t>Scarborough redevelopment area</w:t>
      </w:r>
      <w:bookmarkEnd w:id="90"/>
      <w:bookmarkEnd w:id="91"/>
      <w:bookmarkEnd w:id="92"/>
    </w:p>
    <w:p>
      <w:pPr>
        <w:pStyle w:val="yShoulderClause"/>
      </w:pPr>
      <w:r>
        <w:t>[r. 14A(4)]</w:t>
      </w:r>
    </w:p>
    <w:p>
      <w:pPr>
        <w:pStyle w:val="yFootnoteheading"/>
      </w:pPr>
      <w:r>
        <w:tab/>
        <w:t>[Heading inserted: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Gazette 30 Aug 2013 p. 4103.]</w:t>
      </w:r>
    </w:p>
    <w:p>
      <w:pPr>
        <w:pStyle w:val="yScheduleHeading"/>
      </w:pPr>
      <w:bookmarkStart w:id="93" w:name="_Toc102384815"/>
      <w:bookmarkStart w:id="94" w:name="_Toc102385399"/>
      <w:bookmarkStart w:id="95" w:name="_Toc102388975"/>
      <w:r>
        <w:rPr>
          <w:rStyle w:val="CharSchNo"/>
        </w:rPr>
        <w:lastRenderedPageBreak/>
        <w:t>Schedule 5</w:t>
      </w:r>
      <w:r>
        <w:rPr>
          <w:rStyle w:val="CharSDivNo"/>
        </w:rPr>
        <w:t> </w:t>
      </w:r>
      <w:r>
        <w:t>—</w:t>
      </w:r>
      <w:r>
        <w:rPr>
          <w:rStyle w:val="CharSDivText"/>
        </w:rPr>
        <w:t> </w:t>
      </w:r>
      <w:r>
        <w:rPr>
          <w:rStyle w:val="CharSchText"/>
        </w:rPr>
        <w:t>Fees</w:t>
      </w:r>
      <w:bookmarkEnd w:id="93"/>
      <w:bookmarkEnd w:id="94"/>
      <w:bookmarkEnd w:id="95"/>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lastRenderedPageBreak/>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pStyle w:val="CentredBaseLine"/>
        <w:jc w:val="center"/>
      </w:pPr>
      <w:r>
        <w:rPr>
          <w:noProof/>
        </w:rPr>
        <w:drawing>
          <wp:inline distT="0" distB="0" distL="0" distR="0">
            <wp:extent cx="933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0"/>
          <w:headerReference w:type="default" r:id="rId31"/>
          <w:pgSz w:w="11907" w:h="16840" w:code="9"/>
          <w:pgMar w:top="2381" w:right="2410" w:bottom="3544" w:left="2410" w:header="720" w:footer="3380" w:gutter="0"/>
          <w:cols w:space="720"/>
          <w:docGrid w:linePitch="78"/>
        </w:sectPr>
      </w:pPr>
    </w:p>
    <w:p>
      <w:pPr>
        <w:pStyle w:val="nHeading2"/>
      </w:pPr>
      <w:bookmarkStart w:id="97" w:name="_Toc102384816"/>
      <w:bookmarkStart w:id="98" w:name="_Toc102385400"/>
      <w:bookmarkStart w:id="99" w:name="_Toc102388976"/>
      <w:r>
        <w:lastRenderedPageBreak/>
        <w:t>Notes</w:t>
      </w:r>
      <w:bookmarkEnd w:id="97"/>
      <w:bookmarkEnd w:id="98"/>
      <w:bookmarkEnd w:id="99"/>
    </w:p>
    <w:p>
      <w:pPr>
        <w:pStyle w:val="nStatement"/>
      </w:pPr>
      <w:r>
        <w:t xml:space="preserve">This is a compilation of the </w:t>
      </w:r>
      <w:r>
        <w:rPr>
          <w:i/>
          <w:noProof/>
        </w:rPr>
        <w:t>Metropolitan Redevelopment Authority Regulations 2011</w:t>
      </w:r>
      <w:r>
        <w:t xml:space="preserve"> and includes amendments made by other written laws. For provisions that have come into operation see the compilation table. </w:t>
      </w:r>
    </w:p>
    <w:p>
      <w:pPr>
        <w:pStyle w:val="nHeading3"/>
      </w:pPr>
      <w:bookmarkStart w:id="100" w:name="_Toc102388977"/>
      <w:r>
        <w:t>Compilation table</w:t>
      </w:r>
      <w:bookmarkEnd w:id="100"/>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75"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75"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75"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75" w:type="dxa"/>
            <w:tcBorders>
              <w:top w:val="nil"/>
              <w:bottom w:val="nil"/>
            </w:tcBorders>
            <w:shd w:val="clear" w:color="auto" w:fill="auto"/>
          </w:tcPr>
          <w:p>
            <w:pPr>
              <w:pStyle w:val="nTable"/>
              <w:spacing w:after="40"/>
            </w:pPr>
            <w:r>
              <w:rPr>
                <w:bCs/>
                <w:snapToGrid w:val="0"/>
                <w:spacing w:val="-2"/>
              </w:rPr>
              <w:t>r. 1 and 2: 16 Dec 2014 (see r. 2(a));</w:t>
            </w:r>
            <w:r>
              <w:rPr>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4 Aug 2017 (see r. 2(a));</w:t>
            </w:r>
            <w:r>
              <w:rPr>
                <w:bCs/>
                <w:snapToGrid w:val="0"/>
                <w:spacing w:val="-2"/>
              </w:rPr>
              <w:br/>
              <w:t>Regulations other than r. 1 and 2: 5 Aug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pPr>
              <w:pStyle w:val="nTable"/>
              <w:spacing w:after="40"/>
            </w:pPr>
            <w:r>
              <w:t>31 May 2019 p. 1715-16</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tc>
          <w:tcPr>
            <w:tcW w:w="3118" w:type="dxa"/>
            <w:tcBorders>
              <w:top w:val="nil"/>
              <w:bottom w:val="nil"/>
            </w:tcBorders>
          </w:tcPr>
          <w:p>
            <w:pPr>
              <w:pStyle w:val="nTable"/>
              <w:spacing w:after="40"/>
              <w:rPr>
                <w:i/>
              </w:rPr>
            </w:pPr>
            <w:r>
              <w:rPr>
                <w:i/>
              </w:rPr>
              <w:t>Metropolitan Redevelopment Authority Amendment Regulations 2020</w:t>
            </w:r>
          </w:p>
        </w:tc>
        <w:tc>
          <w:tcPr>
            <w:tcW w:w="1276" w:type="dxa"/>
            <w:tcBorders>
              <w:top w:val="nil"/>
              <w:bottom w:val="nil"/>
            </w:tcBorders>
          </w:tcPr>
          <w:p>
            <w:pPr>
              <w:pStyle w:val="nTable"/>
              <w:keepLines/>
              <w:spacing w:after="40"/>
            </w:pPr>
            <w:r>
              <w:t>SL 2020/14</w:t>
            </w:r>
            <w:r>
              <w:br/>
              <w:t>3 Mar 2020</w:t>
            </w:r>
          </w:p>
        </w:tc>
        <w:tc>
          <w:tcPr>
            <w:tcW w:w="2675" w:type="dxa"/>
            <w:tcBorders>
              <w:top w:val="nil"/>
              <w:bottom w:val="nil"/>
            </w:tcBorders>
          </w:tcPr>
          <w:p>
            <w:pPr>
              <w:pStyle w:val="nTable"/>
              <w:keepLines/>
              <w:spacing w:after="40"/>
              <w:rPr>
                <w:bCs/>
                <w:snapToGrid w:val="0"/>
                <w:spacing w:val="-2"/>
              </w:rPr>
            </w:pPr>
            <w:r>
              <w:rPr>
                <w:bCs/>
                <w:snapToGrid w:val="0"/>
                <w:spacing w:val="-2"/>
              </w:rPr>
              <w:t>r. 1 and 2: 3 Mar 2020 (see r. 2(a));</w:t>
            </w:r>
            <w:r>
              <w:rPr>
                <w:bCs/>
                <w:snapToGrid w:val="0"/>
                <w:spacing w:val="-2"/>
              </w:rPr>
              <w:br/>
              <w:t>Regulations other than r. 1 and 2: 4 Mar 2020 (see r. 2(b))</w:t>
            </w:r>
          </w:p>
        </w:tc>
      </w:tr>
      <w:tr>
        <w:tc>
          <w:tcPr>
            <w:tcW w:w="3118" w:type="dxa"/>
            <w:tcBorders>
              <w:top w:val="nil"/>
              <w:bottom w:val="nil"/>
            </w:tcBorders>
          </w:tcPr>
          <w:p>
            <w:pPr>
              <w:pStyle w:val="nTable"/>
              <w:keepNext/>
              <w:spacing w:after="40"/>
              <w:rPr>
                <w:i/>
              </w:rPr>
            </w:pPr>
            <w:r>
              <w:rPr>
                <w:i/>
              </w:rPr>
              <w:lastRenderedPageBreak/>
              <w:t>Metropolitan Redevelopment Authority Amendment Regulations (No. 2) 2020</w:t>
            </w:r>
          </w:p>
        </w:tc>
        <w:tc>
          <w:tcPr>
            <w:tcW w:w="1276" w:type="dxa"/>
            <w:tcBorders>
              <w:top w:val="nil"/>
              <w:bottom w:val="nil"/>
            </w:tcBorders>
          </w:tcPr>
          <w:p>
            <w:pPr>
              <w:pStyle w:val="nTable"/>
              <w:keepNext/>
              <w:keepLines/>
              <w:spacing w:after="40"/>
            </w:pPr>
            <w:r>
              <w:t>SL 2020/250 18 Dec 2020</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18 Dec 2020 (see r. 2(a));</w:t>
            </w:r>
            <w:r>
              <w:br/>
            </w:r>
            <w:r>
              <w:rPr>
                <w:bCs/>
                <w:snapToGrid w:val="0"/>
                <w:spacing w:val="-2"/>
              </w:rPr>
              <w:t>Regulations other than r. 1 and 2: 24 Dec 2020 (see r. 2(b))</w:t>
            </w:r>
          </w:p>
        </w:tc>
      </w:tr>
      <w:tr>
        <w:tc>
          <w:tcPr>
            <w:tcW w:w="3118" w:type="dxa"/>
            <w:tcBorders>
              <w:top w:val="nil"/>
              <w:bottom w:val="single" w:sz="4" w:space="0" w:color="auto"/>
            </w:tcBorders>
          </w:tcPr>
          <w:p>
            <w:pPr>
              <w:pStyle w:val="nTable"/>
              <w:keepNext/>
              <w:spacing w:after="40"/>
              <w:rPr>
                <w:i/>
              </w:rPr>
            </w:pPr>
            <w:r>
              <w:rPr>
                <w:i/>
              </w:rPr>
              <w:t>Metropolitan Redevelopment Authority Amendment Regulations 2022</w:t>
            </w:r>
          </w:p>
        </w:tc>
        <w:tc>
          <w:tcPr>
            <w:tcW w:w="1276" w:type="dxa"/>
            <w:tcBorders>
              <w:top w:val="nil"/>
              <w:bottom w:val="single" w:sz="4" w:space="0" w:color="auto"/>
            </w:tcBorders>
          </w:tcPr>
          <w:p>
            <w:pPr>
              <w:pStyle w:val="nTable"/>
              <w:keepNext/>
              <w:keepLines/>
              <w:spacing w:after="40"/>
            </w:pPr>
            <w:r>
              <w:t>SL 2022/52 22 Apr 2022</w:t>
            </w:r>
          </w:p>
        </w:tc>
        <w:tc>
          <w:tcPr>
            <w:tcW w:w="2675" w:type="dxa"/>
            <w:tcBorders>
              <w:top w:val="nil"/>
              <w:bottom w:val="single" w:sz="4" w:space="0" w:color="auto"/>
            </w:tcBorders>
          </w:tcPr>
          <w:p>
            <w:pPr>
              <w:pStyle w:val="nTable"/>
              <w:keepNext/>
              <w:keepLines/>
              <w:spacing w:after="40"/>
              <w:rPr>
                <w:bCs/>
                <w:snapToGrid w:val="0"/>
                <w:spacing w:val="-2"/>
              </w:rPr>
            </w:pPr>
            <w:r>
              <w:rPr>
                <w:bCs/>
                <w:snapToGrid w:val="0"/>
                <w:spacing w:val="-2"/>
              </w:rPr>
              <w:t xml:space="preserve">r. 1 and 2: </w:t>
            </w:r>
            <w:r>
              <w:t>22 Apr 2022 (see r. 2(a));</w:t>
            </w:r>
            <w:r>
              <w:br/>
            </w:r>
            <w:r>
              <w:rPr>
                <w:bCs/>
                <w:snapToGrid w:val="0"/>
                <w:spacing w:val="-2"/>
              </w:rPr>
              <w:t xml:space="preserve">Regulations other than r. 1 and 2: </w:t>
            </w:r>
            <w:r>
              <w:t>6 May 2022 (see r. 2(b))</w:t>
            </w:r>
          </w:p>
        </w:tc>
      </w:tr>
    </w:tbl>
    <w:p/>
    <w:p>
      <w:pPr>
        <w:sectPr>
          <w:headerReference w:type="even" r:id="rId32"/>
          <w:headerReference w:type="default" r:id="rId33"/>
          <w:pgSz w:w="11907" w:h="16840" w:code="9"/>
          <w:pgMar w:top="2376" w:right="2404" w:bottom="3544" w:left="2404" w:header="720" w:footer="3380" w:gutter="0"/>
          <w:cols w:space="720"/>
          <w:noEndnote/>
          <w:docGrid w:linePitch="326"/>
        </w:sectPr>
      </w:pPr>
    </w:p>
    <w:p>
      <w:pPr>
        <w:pStyle w:val="nHeading2"/>
        <w:rPr>
          <w:sz w:val="28"/>
        </w:rPr>
      </w:pPr>
      <w:bookmarkStart w:id="102" w:name="_Toc102384819"/>
      <w:bookmarkStart w:id="103" w:name="_Toc102385402"/>
      <w:bookmarkStart w:id="104" w:name="_Toc102388978"/>
      <w:r>
        <w:rPr>
          <w:sz w:val="28"/>
        </w:rPr>
        <w:lastRenderedPageBreak/>
        <w:t>Defined terms</w:t>
      </w:r>
      <w:bookmarkEnd w:id="102"/>
      <w:bookmarkEnd w:id="103"/>
      <w:bookmarkEnd w:id="104"/>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applicant</w:t>
      </w:r>
      <w:r>
        <w:tab/>
        <w:t>28</w:t>
      </w:r>
    </w:p>
    <w:p>
      <w:pPr>
        <w:pStyle w:val="DefinedTerms"/>
      </w:pPr>
      <w:r>
        <w:t>Australian Accounting Standards</w:t>
      </w:r>
      <w:r>
        <w:tab/>
        <w:t>26(1)</w:t>
      </w:r>
    </w:p>
    <w:p>
      <w:pPr>
        <w:pStyle w:val="DefinedTerms"/>
      </w:pPr>
      <w:r>
        <w:t>business plan</w:t>
      </w:r>
      <w:r>
        <w:tab/>
        <w:t>26(1)</w:t>
      </w:r>
    </w:p>
    <w:p>
      <w:pPr>
        <w:pStyle w:val="DefinedTerms"/>
      </w:pPr>
      <w:r>
        <w:t>fee</w:t>
      </w:r>
      <w:r>
        <w:tab/>
        <w:t>28</w:t>
      </w:r>
    </w:p>
    <w:p>
      <w:pPr>
        <w:pStyle w:val="DefinedTerms"/>
      </w:pPr>
      <w:r>
        <w:t>ground work</w:t>
      </w:r>
      <w:r>
        <w:tab/>
        <w:t>9(1)</w:t>
      </w:r>
    </w:p>
    <w:p>
      <w:pPr>
        <w:pStyle w:val="DefinedTerms"/>
      </w:pPr>
      <w:r>
        <w:t>Heritage Council</w:t>
      </w:r>
      <w:r>
        <w:tab/>
        <w:t>3</w:t>
      </w:r>
    </w:p>
    <w:p>
      <w:pPr>
        <w:pStyle w:val="DefinedTerms"/>
      </w:pPr>
      <w:r>
        <w:t>heritage inventory</w:t>
      </w:r>
      <w:r>
        <w:tab/>
        <w:t>3</w:t>
      </w:r>
    </w:p>
    <w:p>
      <w:pPr>
        <w:pStyle w:val="DefinedTerms"/>
      </w:pPr>
      <w:r>
        <w:t>heritage place</w:t>
      </w:r>
      <w:r>
        <w:tab/>
        <w:t>3</w:t>
      </w:r>
    </w:p>
    <w:p>
      <w:pPr>
        <w:pStyle w:val="DefinedTerms"/>
      </w:pPr>
      <w:r>
        <w:t>heritage precinct</w:t>
      </w:r>
      <w:r>
        <w:tab/>
        <w:t>3</w:t>
      </w:r>
    </w:p>
    <w:p>
      <w:pPr>
        <w:pStyle w:val="DefinedTerms"/>
      </w:pPr>
      <w:r>
        <w:t>operational plan</w:t>
      </w:r>
      <w:r>
        <w:tab/>
        <w:t>27(1)</w:t>
      </w:r>
    </w:p>
    <w:p>
      <w:pPr>
        <w:pStyle w:val="DefinedTerms"/>
      </w:pPr>
      <w:r>
        <w:t>Panel</w:t>
      </w:r>
      <w:r>
        <w:tab/>
        <w:t>28</w:t>
      </w:r>
    </w:p>
    <w:p>
      <w:pPr>
        <w:pStyle w:val="DefinedTerms"/>
      </w:pPr>
      <w:r>
        <w:t>public work</w:t>
      </w:r>
      <w:r>
        <w:tab/>
        <w:t>3</w:t>
      </w:r>
    </w:p>
    <w:p>
      <w:pPr>
        <w:pStyle w:val="DefinedTerms"/>
      </w:pPr>
      <w:r>
        <w:t>R</w:t>
      </w:r>
      <w:r>
        <w:noBreakHyphen/>
        <w:t>Codes</w:t>
      </w:r>
      <w:r>
        <w:tab/>
        <w:t>3</w:t>
      </w:r>
    </w:p>
    <w:p>
      <w:pPr>
        <w:pStyle w:val="DefinedTerms"/>
      </w:pPr>
      <w:r>
        <w:t>Register of Heritage Places</w:t>
      </w:r>
      <w:r>
        <w:tab/>
        <w:t>3</w:t>
      </w:r>
    </w:p>
    <w:p>
      <w:pPr>
        <w:pStyle w:val="DefinedTerms"/>
      </w:pPr>
      <w:r>
        <w:t>relevant plan</w:t>
      </w:r>
      <w:r>
        <w:tab/>
        <w:t>10(1), 11(1), 13(1), 14A(1)</w:t>
      </w:r>
    </w:p>
    <w:p>
      <w:pPr>
        <w:pStyle w:val="DefinedTerms"/>
      </w:pPr>
      <w:r>
        <w:t>relevant plans</w:t>
      </w:r>
      <w:r>
        <w:tab/>
        <w:t>12(1)</w:t>
      </w:r>
    </w:p>
    <w:p>
      <w:pPr>
        <w:pStyle w:val="DefinedTerms"/>
      </w:pPr>
      <w:r>
        <w:t>removal day</w:t>
      </w:r>
      <w:r>
        <w:tab/>
        <w:t>14B(1)</w:t>
      </w:r>
    </w:p>
    <w:p>
      <w:pPr>
        <w:pStyle w:val="DefinedTerms"/>
      </w:pPr>
      <w:r>
        <w:t>section</w:t>
      </w:r>
      <w:r>
        <w:tab/>
        <w:t>3</w:t>
      </w:r>
    </w:p>
    <w:p>
      <w:pPr>
        <w:pStyle w:val="DefinedTerms"/>
      </w:pPr>
      <w:r>
        <w:t>site</w:t>
      </w:r>
      <w:r>
        <w:tab/>
        <w:t>17(1)</w:t>
      </w:r>
    </w:p>
    <w:p>
      <w:pPr>
        <w:pStyle w:val="DefinedTerms"/>
      </w:pPr>
      <w:r>
        <w:t>statement</w:t>
      </w:r>
      <w:r>
        <w:tab/>
        <w:t>18(1)</w:t>
      </w:r>
    </w:p>
    <w:p>
      <w:pPr>
        <w:pStyle w:val="DefinedTerms"/>
      </w:pPr>
      <w:r>
        <w:t>structure plan</w:t>
      </w:r>
      <w:r>
        <w:tab/>
        <w:t>28</w:t>
      </w:r>
    </w:p>
    <w:p>
      <w:pPr>
        <w:pStyle w:val="DefinedTerms"/>
      </w:pPr>
      <w:r>
        <w:t>subdivision works</w:t>
      </w:r>
      <w:r>
        <w:tab/>
        <w:t>3</w:t>
      </w:r>
    </w:p>
    <w:p>
      <w:pPr>
        <w:pStyle w:val="DefinedTerms"/>
      </w:pPr>
      <w:r>
        <w:t>utility services</w:t>
      </w:r>
      <w:r>
        <w:tab/>
        <w:t>3</w:t>
      </w:r>
    </w:p>
    <w:p/>
    <w:p>
      <w:pPr>
        <w:sectPr>
          <w:headerReference w:type="even" r:id="rId34"/>
          <w:headerReference w:type="default" r:id="rId35"/>
          <w:pgSz w:w="11907" w:h="16840" w:code="9"/>
          <w:pgMar w:top="2381" w:right="2409" w:bottom="3543" w:left="2409" w:header="720" w:footer="3380" w:gutter="0"/>
          <w:cols w:space="720"/>
          <w:noEndnote/>
          <w:docGrid w:linePitch="326"/>
        </w:sectPr>
      </w:pPr>
    </w:p>
    <w:p/>
    <w:sectPr>
      <w:headerReference w:type="even" r:id="rId36"/>
      <w:headerReference w:type="default" r:id="rId37"/>
      <w:footerReference w:type="even" r:id="rId38"/>
      <w:footerReference w:type="default" r:id="rId39"/>
      <w:headerReference w:type="first" r:id="rId40"/>
      <w:footerReference w:type="first" r:id="rId41"/>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00-k0-00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06 May 2022</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06 May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00-k0-00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06 May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00-k0-00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36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00-k0-00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06 May 2022</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06 May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00-k0-00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37</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06 May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00-k0-00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96" w:name="Schedule"/>
    <w:bookmarkEnd w:id="96"/>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01" w:name="Compilation"/>
    <w:bookmarkEnd w:id="101"/>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05" w:name="DefinedTerms"/>
    <w:bookmarkEnd w:id="105"/>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06" w:name="Coversheet"/>
    <w:bookmarkEnd w:id="10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20502115138"/>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 w:name="WAFER_2020121515283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15152830_GUID" w:val="b55ef234-c266-4787-9bf9-edb351e3e887"/>
    <w:docVar w:name="WAFER_202204201255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420125525_GUID" w:val="b7491491-ba98-4461-bdc7-3091e5aeab41"/>
    <w:docVar w:name="WAFER_2022050211513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502115138_GUID" w:val="a9b02a12-7b6e-46c6-b45b-6d550721f5f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61B5C07F-8238-41B0-9656-3FAC22FA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footer" Target="footer8.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7.jpe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3.xml"/><Relationship Id="rId3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F7140-486B-415A-811B-9A1D5EE42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7330</Words>
  <Characters>36726</Characters>
  <Application>Microsoft Office Word</Application>
  <DocSecurity>0</DocSecurity>
  <Lines>1147</Lines>
  <Paragraphs>667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2011 - 00-k0-00</dc:title>
  <dc:subject/>
  <dc:creator/>
  <cp:keywords/>
  <dc:description/>
  <cp:lastModifiedBy>Master Repository Process</cp:lastModifiedBy>
  <cp:revision>4</cp:revision>
  <cp:lastPrinted>2011-12-08T07:54:00Z</cp:lastPrinted>
  <dcterms:created xsi:type="dcterms:W3CDTF">2022-05-05T00:43:00Z</dcterms:created>
  <dcterms:modified xsi:type="dcterms:W3CDTF">2022-05-05T00:43:00Z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AsAtDate">
    <vt:lpwstr>06 May 2022</vt:lpwstr>
  </property>
  <property fmtid="{D5CDD505-2E9C-101B-9397-08002B2CF9AE}" pid="5" name="Suffix">
    <vt:lpwstr>00-k0-00</vt:lpwstr>
  </property>
  <property fmtid="{D5CDD505-2E9C-101B-9397-08002B2CF9AE}" pid="6" name="CommencementDate">
    <vt:lpwstr>20220506</vt:lpwstr>
  </property>
</Properties>
</file>