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_Toc103863933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_Toc103863934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_Toc103863935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_Toc103863936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 to give licences, permits and approvals</w:t>
      </w:r>
      <w:r>
        <w:tab/>
      </w:r>
      <w:r>
        <w:fldChar w:fldCharType="begin"/>
      </w:r>
      <w:r>
        <w:instrText xml:space="preserve"> PAGEREF _Toc103863937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_Toc103863938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_Toc103863939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_Toc103863940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_Toc103863941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_Toc103863942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_Toc103863943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_Toc103863944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_Toc103863945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_Toc103863946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_Toc103863947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_Toc103863948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w:t>
      </w:r>
      <w:r>
        <w:tab/>
      </w:r>
      <w:r>
        <w:fldChar w:fldCharType="begin"/>
      </w:r>
      <w:r>
        <w:instrText xml:space="preserve"> PAGEREF _Toc103863949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_Toc103863950 \h </w:instrText>
      </w:r>
      <w:r>
        <w:fldChar w:fldCharType="separate"/>
      </w:r>
      <w:r>
        <w:t>17</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_Toc103863951 \h </w:instrText>
      </w:r>
      <w:r>
        <w:fldChar w:fldCharType="separate"/>
      </w:r>
      <w:r>
        <w:t>19</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_Toc103863952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_Toc103863953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Possession of firearms by security officers</w:t>
      </w:r>
      <w:r>
        <w:tab/>
      </w:r>
      <w:r>
        <w:fldChar w:fldCharType="begin"/>
      </w:r>
      <w:r>
        <w:instrText xml:space="preserve"> PAGEREF _Toc103863954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_Toc103863955 \h </w:instrText>
      </w:r>
      <w:r>
        <w:fldChar w:fldCharType="separate"/>
      </w:r>
      <w:r>
        <w:t>23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_Toc103863956 \h </w:instrText>
      </w:r>
      <w:r>
        <w:fldChar w:fldCharType="separate"/>
      </w:r>
      <w:r>
        <w:t>24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silencers</w:t>
      </w:r>
      <w:r>
        <w:tab/>
      </w:r>
      <w:r>
        <w:fldChar w:fldCharType="begin"/>
      </w:r>
      <w:r>
        <w:instrText xml:space="preserve"> PAGEREF _Toc103863957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Licensing procedure</w:t>
      </w:r>
      <w:r>
        <w:tab/>
      </w:r>
      <w:r>
        <w:fldChar w:fldCharType="begin"/>
      </w:r>
      <w:r>
        <w:instrText xml:space="preserve"> PAGEREF _Toc103863958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_Toc103863959 \h </w:instrText>
      </w:r>
      <w:r>
        <w:fldChar w:fldCharType="separate"/>
      </w:r>
      <w:r>
        <w:t>31</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_Toc103863960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_Toc103863961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_Toc103863962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_Toc103863963 \h </w:instrText>
      </w:r>
      <w:r>
        <w:fldChar w:fldCharType="separate"/>
      </w:r>
      <w:r>
        <w:t>39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_Toc103863964 \h </w:instrText>
      </w:r>
      <w:r>
        <w:fldChar w:fldCharType="separate"/>
      </w:r>
      <w:r>
        <w:t>39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_Toc103863965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Reviews by SAT</w:t>
      </w:r>
      <w:r>
        <w:tab/>
      </w:r>
      <w:r>
        <w:fldChar w:fldCharType="begin"/>
      </w:r>
      <w:r>
        <w:instrText xml:space="preserve"> PAGEREF _Toc103863966 \h </w:instrText>
      </w:r>
      <w:r>
        <w:fldChar w:fldCharType="separate"/>
      </w:r>
      <w:r>
        <w:t>43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_Toc103863967 \h </w:instrText>
      </w:r>
      <w:r>
        <w:fldChar w:fldCharType="separate"/>
      </w:r>
      <w:r>
        <w:t>43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_Toc103863968 \h </w:instrText>
      </w:r>
      <w:r>
        <w:fldChar w:fldCharType="separate"/>
      </w:r>
      <w:r>
        <w:t>45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_Toc103863969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_Toc103863970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_Toc103863971 \h </w:instrText>
      </w:r>
      <w:r>
        <w:fldChar w:fldCharType="separate"/>
      </w:r>
      <w:r>
        <w:t>52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_Toc103863972 \h </w:instrText>
      </w:r>
      <w:r>
        <w:fldChar w:fldCharType="separate"/>
      </w:r>
      <w:r>
        <w:t>52</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_Toc103863973 \h </w:instrText>
      </w:r>
      <w:r>
        <w:fldChar w:fldCharType="separate"/>
      </w:r>
      <w:r>
        <w:t>53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_Toc103863974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_Toc103863975 \h </w:instrText>
      </w:r>
      <w:r>
        <w:fldChar w:fldCharType="separate"/>
      </w:r>
      <w:r>
        <w:t>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_Toc103863976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_Toc103863977 \h </w:instrText>
      </w:r>
      <w:r>
        <w:fldChar w:fldCharType="separate"/>
      </w:r>
      <w:r>
        <w:t>58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_Toc103863978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_Toc103863979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_Toc103863980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_Toc103863981 \h </w:instrText>
      </w:r>
      <w:r>
        <w:fldChar w:fldCharType="separate"/>
      </w:r>
      <w:r>
        <w:t>61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w:t>
      </w:r>
      <w:r>
        <w:tab/>
      </w:r>
      <w:r>
        <w:fldChar w:fldCharType="begin"/>
      </w:r>
      <w:r>
        <w:instrText xml:space="preserve"> PAGEREF _Toc103863982 \h </w:instrText>
      </w:r>
      <w:r>
        <w:fldChar w:fldCharType="separate"/>
      </w:r>
      <w:r>
        <w:t>62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_Toc103863983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_Toc103863984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_Toc103863985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Disposal of firearms</w:t>
      </w:r>
      <w:r>
        <w:tab/>
      </w:r>
      <w:r>
        <w:fldChar w:fldCharType="begin"/>
      </w:r>
      <w:r>
        <w:instrText xml:space="preserve"> PAGEREF _Toc103863986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_Toc103863987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_Toc103863989 \h </w:instrText>
      </w:r>
      <w:r>
        <w:fldChar w:fldCharType="separate"/>
      </w:r>
      <w:r>
        <w:t>69</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_Toc103863990 \h </w:instrText>
      </w:r>
      <w:r>
        <w:fldChar w:fldCharType="separate"/>
      </w:r>
      <w:r>
        <w:t>72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_Toc103863991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1</w:t>
      </w:r>
      <w:r>
        <w:rPr>
          <w:snapToGrid w:val="0"/>
        </w:rPr>
        <w:t>, and for incidental and other purposes.</w:t>
      </w:r>
    </w:p>
    <w:p>
      <w:pPr>
        <w:pStyle w:val="Heading5"/>
        <w:spacing w:before="480"/>
        <w:rPr>
          <w:snapToGrid w:val="0"/>
        </w:rPr>
      </w:pPr>
      <w:bookmarkStart w:id="3" w:name="_Toc10386393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w:t>
      </w:r>
    </w:p>
    <w:p>
      <w:pPr>
        <w:pStyle w:val="Heading5"/>
        <w:spacing w:before="240"/>
        <w:rPr>
          <w:snapToGrid w:val="0"/>
        </w:rPr>
      </w:pPr>
      <w:bookmarkStart w:id="4" w:name="_Toc10386393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bCs/>
        </w:rPr>
        <w:t>3</w:t>
      </w:r>
      <w:r>
        <w:rPr>
          <w:b/>
        </w:rPr>
        <w:t>.</w:t>
      </w:r>
      <w:r>
        <w:tab/>
        <w:t>Omitted under the Reprints Act 1984 s. 7(4)(f).]</w:t>
      </w:r>
    </w:p>
    <w:p>
      <w:pPr>
        <w:pStyle w:val="Heading5"/>
        <w:spacing w:before="240"/>
        <w:rPr>
          <w:snapToGrid w:val="0"/>
        </w:rPr>
      </w:pPr>
      <w:bookmarkStart w:id="5" w:name="_Toc103863935"/>
      <w:r>
        <w:rPr>
          <w:rStyle w:val="CharSectno"/>
        </w:rPr>
        <w:t>4</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lastRenderedPageBreak/>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lastRenderedPageBreak/>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No. 59 of 1996 s. 4 and 40; No. 18 of 1999 s. 21; No. 69 of 2004 s. 4 and 8(1); No. 22 of 2008 Sch. 3 cl. 20; No. 35 of 2010 s. 64.]</w:t>
      </w:r>
    </w:p>
    <w:p>
      <w:pPr>
        <w:pStyle w:val="Heading5"/>
        <w:rPr>
          <w:snapToGrid w:val="0"/>
        </w:rPr>
      </w:pPr>
      <w:bookmarkStart w:id="6" w:name="_Toc103863936"/>
      <w:r>
        <w:rPr>
          <w:rStyle w:val="CharSectno"/>
        </w:rPr>
        <w:t>5</w:t>
      </w:r>
      <w:r>
        <w:rPr>
          <w:snapToGrid w:val="0"/>
        </w:rPr>
        <w:t>.</w:t>
      </w:r>
      <w:r>
        <w:rPr>
          <w:snapToGrid w:val="0"/>
        </w:rPr>
        <w:tab/>
        <w:t>Administration</w:t>
      </w:r>
      <w:bookmarkEnd w:id="6"/>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lastRenderedPageBreak/>
        <w:tab/>
        <w:t>[Section 5 amended: No. 98 of 1985 s. 3; No. 69 of 2004 s. 8(2); No. 77 of 2006 Sch. 1 cl. 66.]</w:t>
      </w:r>
    </w:p>
    <w:p>
      <w:pPr>
        <w:pStyle w:val="Heading5"/>
        <w:rPr>
          <w:snapToGrid w:val="0"/>
        </w:rPr>
      </w:pPr>
      <w:bookmarkStart w:id="7" w:name="_Toc103863937"/>
      <w:r>
        <w:rPr>
          <w:rStyle w:val="CharSectno"/>
        </w:rPr>
        <w:t>5A</w:t>
      </w:r>
      <w:r>
        <w:rPr>
          <w:snapToGrid w:val="0"/>
        </w:rPr>
        <w:t>.</w:t>
      </w:r>
      <w:r>
        <w:rPr>
          <w:snapToGrid w:val="0"/>
        </w:rPr>
        <w:tab/>
        <w:t>Delegation of Commissioner’s power to give licences, permits and approvals</w:t>
      </w:r>
      <w:bookmarkEnd w:id="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No. 59 of 1996 s. 5(1).]</w:t>
      </w:r>
    </w:p>
    <w:p>
      <w:pPr>
        <w:pStyle w:val="Ednotesection"/>
      </w:pPr>
      <w:r>
        <w:t>[</w:t>
      </w:r>
      <w:r>
        <w:rPr>
          <w:b/>
        </w:rPr>
        <w:t>5B.</w:t>
      </w:r>
      <w:r>
        <w:rPr>
          <w:b/>
        </w:rPr>
        <w:tab/>
      </w:r>
      <w:r>
        <w:t>Deleted: No. 69 of 2004 s. 9.]</w:t>
      </w:r>
    </w:p>
    <w:p>
      <w:pPr>
        <w:pStyle w:val="Heading5"/>
        <w:rPr>
          <w:snapToGrid w:val="0"/>
        </w:rPr>
      </w:pPr>
      <w:bookmarkStart w:id="8" w:name="_Toc103863938"/>
      <w:r>
        <w:rPr>
          <w:rStyle w:val="CharSectno"/>
        </w:rPr>
        <w:t>6</w:t>
      </w:r>
      <w:r>
        <w:rPr>
          <w:snapToGrid w:val="0"/>
        </w:rPr>
        <w:t>.</w:t>
      </w:r>
      <w:r>
        <w:rPr>
          <w:snapToGrid w:val="0"/>
        </w:rPr>
        <w:tab/>
        <w:t>Prohibition</w:t>
      </w:r>
      <w:bookmarkEnd w:id="8"/>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 xml:space="preserve">except upon and subject to such conditions, restrictions, and limitations, for such purpose or purposes, and in </w:t>
      </w:r>
      <w:r>
        <w:rPr>
          <w:snapToGrid w:val="0"/>
        </w:rPr>
        <w:lastRenderedPageBreak/>
        <w:t>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lastRenderedPageBreak/>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No. 35 of 1980 s. 3; No. 70 of 1987 s. 4; No. 59 of 1996 s. 7 and 45; No. 4 of 2004 s. 58; No. 69 of 2004 s. 10.]</w:t>
      </w:r>
    </w:p>
    <w:p>
      <w:pPr>
        <w:pStyle w:val="Heading5"/>
        <w:rPr>
          <w:snapToGrid w:val="0"/>
        </w:rPr>
      </w:pPr>
      <w:bookmarkStart w:id="9" w:name="_Toc103863939"/>
      <w:r>
        <w:rPr>
          <w:rStyle w:val="CharSectno"/>
        </w:rPr>
        <w:t>7</w:t>
      </w:r>
      <w:r>
        <w:rPr>
          <w:snapToGrid w:val="0"/>
        </w:rPr>
        <w:t>.</w:t>
      </w:r>
      <w:r>
        <w:rPr>
          <w:snapToGrid w:val="0"/>
        </w:rPr>
        <w:tab/>
        <w:t>Governor may order delivery of firearms by dealers and manufacturers in cases of emergency</w:t>
      </w:r>
      <w:bookmarkEnd w:id="9"/>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No. 70 of 1987 s. 5; No. 59 of 1996 s. 46; No. 4 of 2004 s. 58.]</w:t>
      </w:r>
    </w:p>
    <w:p>
      <w:pPr>
        <w:pStyle w:val="Heading5"/>
        <w:rPr>
          <w:snapToGrid w:val="0"/>
        </w:rPr>
      </w:pPr>
      <w:bookmarkStart w:id="10" w:name="_Toc103863940"/>
      <w:r>
        <w:rPr>
          <w:rStyle w:val="CharSectno"/>
        </w:rPr>
        <w:lastRenderedPageBreak/>
        <w:t>8</w:t>
      </w:r>
      <w:r>
        <w:rPr>
          <w:snapToGrid w:val="0"/>
        </w:rPr>
        <w:t>.</w:t>
      </w:r>
      <w:r>
        <w:rPr>
          <w:snapToGrid w:val="0"/>
        </w:rPr>
        <w:tab/>
        <w:t>Exemptions from licensing requirements</w:t>
      </w:r>
      <w:bookmarkEnd w:id="10"/>
    </w:p>
    <w:p>
      <w:pPr>
        <w:pStyle w:val="Subsection"/>
        <w:keepNext/>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lastRenderedPageBreak/>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lastRenderedPageBreak/>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lastRenderedPageBreak/>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No. 59 of 1996 s. 8; No. 28 of 2003 s. 59; No. 69 of 2004 s. 5, 8(3) and 11.]</w:t>
      </w:r>
    </w:p>
    <w:p>
      <w:pPr>
        <w:pStyle w:val="Heading5"/>
        <w:rPr>
          <w:snapToGrid w:val="0"/>
        </w:rPr>
      </w:pPr>
      <w:bookmarkStart w:id="11" w:name="_Toc103863941"/>
      <w:r>
        <w:rPr>
          <w:rStyle w:val="CharSectno"/>
        </w:rPr>
        <w:t>9</w:t>
      </w:r>
      <w:r>
        <w:rPr>
          <w:snapToGrid w:val="0"/>
        </w:rPr>
        <w:t>.</w:t>
      </w:r>
      <w:r>
        <w:rPr>
          <w:snapToGrid w:val="0"/>
        </w:rPr>
        <w:tab/>
        <w:t>Licences, permits, approvals not transferable</w:t>
      </w:r>
      <w:bookmarkEnd w:id="11"/>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12" w:name="_Toc103863942"/>
      <w:r>
        <w:rPr>
          <w:rStyle w:val="CharSectno"/>
        </w:rPr>
        <w:t>9A</w:t>
      </w:r>
      <w:r>
        <w:rPr>
          <w:snapToGrid w:val="0"/>
        </w:rPr>
        <w:t>.</w:t>
      </w:r>
      <w:r>
        <w:rPr>
          <w:snapToGrid w:val="0"/>
        </w:rPr>
        <w:tab/>
        <w:t>Duration and renewal of licences</w:t>
      </w:r>
      <w:bookmarkEnd w:id="1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w:t>
      </w:r>
      <w:r>
        <w:lastRenderedPageBreak/>
        <w:t xml:space="preserve">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No. 59 of 1996 s. 9; amended: No. 69 of 2004 s. 12.]</w:t>
      </w:r>
    </w:p>
    <w:p>
      <w:pPr>
        <w:pStyle w:val="Heading5"/>
        <w:rPr>
          <w:snapToGrid w:val="0"/>
        </w:rPr>
      </w:pPr>
      <w:bookmarkStart w:id="13" w:name="_Toc103863943"/>
      <w:r>
        <w:rPr>
          <w:rStyle w:val="CharSectno"/>
        </w:rPr>
        <w:t>10</w:t>
      </w:r>
      <w:r>
        <w:rPr>
          <w:snapToGrid w:val="0"/>
        </w:rPr>
        <w:t>.</w:t>
      </w:r>
      <w:r>
        <w:rPr>
          <w:snapToGrid w:val="0"/>
        </w:rPr>
        <w:tab/>
        <w:t>Minimum age of licensee or permit holder</w:t>
      </w:r>
      <w:bookmarkEnd w:id="13"/>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No. 59 of 1996 s. 10.]</w:t>
      </w:r>
    </w:p>
    <w:p>
      <w:pPr>
        <w:pStyle w:val="Heading5"/>
        <w:rPr>
          <w:snapToGrid w:val="0"/>
        </w:rPr>
      </w:pPr>
      <w:bookmarkStart w:id="14" w:name="_Toc103863944"/>
      <w:r>
        <w:rPr>
          <w:rStyle w:val="CharSectno"/>
        </w:rPr>
        <w:lastRenderedPageBreak/>
        <w:t>10A</w:t>
      </w:r>
      <w:r>
        <w:rPr>
          <w:snapToGrid w:val="0"/>
        </w:rPr>
        <w:t>.</w:t>
      </w:r>
      <w:r>
        <w:rPr>
          <w:snapToGrid w:val="0"/>
        </w:rPr>
        <w:tab/>
        <w:t>Training courses</w:t>
      </w:r>
      <w:bookmarkEnd w:id="14"/>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No. 59 of 1996 s. 11.]</w:t>
      </w:r>
    </w:p>
    <w:p>
      <w:pPr>
        <w:pStyle w:val="Heading5"/>
        <w:rPr>
          <w:snapToGrid w:val="0"/>
        </w:rPr>
      </w:pPr>
      <w:bookmarkStart w:id="15" w:name="_Toc103863945"/>
      <w:r>
        <w:rPr>
          <w:rStyle w:val="CharSectno"/>
        </w:rPr>
        <w:t>11</w:t>
      </w:r>
      <w:r>
        <w:rPr>
          <w:snapToGrid w:val="0"/>
        </w:rPr>
        <w:t>.</w:t>
      </w:r>
      <w:r>
        <w:rPr>
          <w:snapToGrid w:val="0"/>
        </w:rPr>
        <w:tab/>
        <w:t>Exercise of Commissioner’s discretion</w:t>
      </w:r>
      <w:bookmarkEnd w:id="15"/>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lastRenderedPageBreak/>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 xml:space="preserve">The Commissioner may form an opinion that a person is a fit and proper person to hold an approval, permit or licence under </w:t>
      </w:r>
      <w:r>
        <w:rPr>
          <w:snapToGrid w:val="0"/>
        </w:rPr>
        <w:lastRenderedPageBreak/>
        <w:t>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lastRenderedPageBreak/>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No. 59 of 1996 s. 12; amended: No. 69 of 2004 s. 13.]</w:t>
      </w:r>
    </w:p>
    <w:p>
      <w:pPr>
        <w:pStyle w:val="Heading5"/>
        <w:rPr>
          <w:snapToGrid w:val="0"/>
        </w:rPr>
      </w:pPr>
      <w:bookmarkStart w:id="16" w:name="_Toc103863946"/>
      <w:r>
        <w:rPr>
          <w:rStyle w:val="CharSectno"/>
        </w:rPr>
        <w:t>11A</w:t>
      </w:r>
      <w:r>
        <w:rPr>
          <w:snapToGrid w:val="0"/>
        </w:rPr>
        <w:t>.</w:t>
      </w:r>
      <w:r>
        <w:rPr>
          <w:snapToGrid w:val="0"/>
        </w:rPr>
        <w:tab/>
        <w:t>Genuine reason required in all cases</w:t>
      </w:r>
      <w:bookmarkEnd w:id="16"/>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 xml:space="preserve">A person does not have a genuine reason for acquiring or possessing a firearm or ammunition of a particular kind unless the Commissioner is satisfied not only as to the person’s reason </w:t>
      </w:r>
      <w:r>
        <w:rPr>
          <w:snapToGrid w:val="0"/>
        </w:rPr>
        <w:lastRenderedPageBreak/>
        <w:t>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No. 59 of 1996 s. 12; amended: No. 69 of 2004 s. 6 and 14.]</w:t>
      </w:r>
    </w:p>
    <w:p>
      <w:pPr>
        <w:pStyle w:val="Heading5"/>
        <w:rPr>
          <w:snapToGrid w:val="0"/>
        </w:rPr>
      </w:pPr>
      <w:bookmarkStart w:id="17" w:name="_Toc103863947"/>
      <w:r>
        <w:rPr>
          <w:rStyle w:val="CharSectno"/>
        </w:rPr>
        <w:t>11B</w:t>
      </w:r>
      <w:r>
        <w:rPr>
          <w:snapToGrid w:val="0"/>
        </w:rPr>
        <w:t>.</w:t>
      </w:r>
      <w:r>
        <w:rPr>
          <w:snapToGrid w:val="0"/>
        </w:rPr>
        <w:tab/>
        <w:t>Genuine need required in some cases</w:t>
      </w:r>
      <w:bookmarkEnd w:id="1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No. 59 of 1996 s. 12.]</w:t>
      </w:r>
    </w:p>
    <w:p>
      <w:pPr>
        <w:pStyle w:val="Heading5"/>
        <w:rPr>
          <w:snapToGrid w:val="0"/>
        </w:rPr>
      </w:pPr>
      <w:bookmarkStart w:id="18" w:name="_Toc103863948"/>
      <w:r>
        <w:rPr>
          <w:rStyle w:val="CharSectno"/>
        </w:rPr>
        <w:t>11C</w:t>
      </w:r>
      <w:r>
        <w:rPr>
          <w:snapToGrid w:val="0"/>
        </w:rPr>
        <w:t>.</w:t>
      </w:r>
      <w:r>
        <w:rPr>
          <w:snapToGrid w:val="0"/>
        </w:rPr>
        <w:tab/>
        <w:t>Other restrictions</w:t>
      </w:r>
      <w:bookmarkEnd w:id="18"/>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No. 59 of 1996 s. 12.]</w:t>
      </w:r>
    </w:p>
    <w:p>
      <w:pPr>
        <w:pStyle w:val="Heading5"/>
        <w:rPr>
          <w:snapToGrid w:val="0"/>
        </w:rPr>
      </w:pPr>
      <w:bookmarkStart w:id="19" w:name="_Toc103863949"/>
      <w:r>
        <w:rPr>
          <w:rStyle w:val="CharSectno"/>
        </w:rPr>
        <w:lastRenderedPageBreak/>
        <w:t>12</w:t>
      </w:r>
      <w:r>
        <w:rPr>
          <w:snapToGrid w:val="0"/>
        </w:rPr>
        <w:t>.</w:t>
      </w:r>
      <w:r>
        <w:rPr>
          <w:snapToGrid w:val="0"/>
        </w:rPr>
        <w:tab/>
        <w:t>Unsafe or unserviceable firearms</w:t>
      </w:r>
      <w:bookmarkEnd w:id="19"/>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No. 59 of 1996 s. 13.]</w:t>
      </w:r>
    </w:p>
    <w:p>
      <w:pPr>
        <w:pStyle w:val="Ednotesection"/>
      </w:pPr>
      <w:r>
        <w:t>[</w:t>
      </w:r>
      <w:r>
        <w:rPr>
          <w:b/>
        </w:rPr>
        <w:t>13, 14.</w:t>
      </w:r>
      <w:r>
        <w:tab/>
        <w:t>Deleted: No. 59 of 1996 s. 5(2).]</w:t>
      </w:r>
    </w:p>
    <w:p>
      <w:pPr>
        <w:pStyle w:val="Heading5"/>
        <w:rPr>
          <w:snapToGrid w:val="0"/>
        </w:rPr>
      </w:pPr>
      <w:bookmarkStart w:id="20" w:name="_Toc103863950"/>
      <w:r>
        <w:rPr>
          <w:rStyle w:val="CharSectno"/>
        </w:rPr>
        <w:t>15</w:t>
      </w:r>
      <w:r>
        <w:rPr>
          <w:snapToGrid w:val="0"/>
        </w:rPr>
        <w:t>.</w:t>
      </w:r>
      <w:r>
        <w:rPr>
          <w:snapToGrid w:val="0"/>
        </w:rPr>
        <w:tab/>
        <w:t>Firearm collections</w:t>
      </w:r>
      <w:bookmarkEnd w:id="20"/>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lastRenderedPageBreak/>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lastRenderedPageBreak/>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No. 59 of 1996 s. 14; amended: No. 69 of 2004 s. 15(1) and (2).]</w:t>
      </w:r>
    </w:p>
    <w:p>
      <w:pPr>
        <w:pStyle w:val="Heading5"/>
      </w:pPr>
      <w:bookmarkStart w:id="21" w:name="_Toc103863951"/>
      <w:r>
        <w:rPr>
          <w:rStyle w:val="CharSectno"/>
        </w:rPr>
        <w:t>15A</w:t>
      </w:r>
      <w:r>
        <w:t>.</w:t>
      </w:r>
      <w:r>
        <w:tab/>
        <w:t>Accredited societies of collectors</w:t>
      </w:r>
      <w:bookmarkEnd w:id="21"/>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No. 69 of 2004 s. 16.]</w:t>
      </w:r>
    </w:p>
    <w:p>
      <w:pPr>
        <w:pStyle w:val="Heading5"/>
        <w:rPr>
          <w:snapToGrid w:val="0"/>
        </w:rPr>
      </w:pPr>
      <w:bookmarkStart w:id="22" w:name="_Toc103863952"/>
      <w:r>
        <w:rPr>
          <w:rStyle w:val="CharSectno"/>
        </w:rPr>
        <w:t>15B</w:t>
      </w:r>
      <w:r>
        <w:t>.</w:t>
      </w:r>
      <w:r>
        <w:tab/>
        <w:t>Information from accredited society of collectors</w:t>
      </w:r>
      <w:bookmarkEnd w:id="2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 xml:space="preserve">The notification may include information that the Commissioner might consider relevant to the question of whether or not the </w:t>
      </w:r>
      <w:r>
        <w:rPr>
          <w:snapToGrid w:val="0"/>
        </w:rPr>
        <w:lastRenderedPageBreak/>
        <w:t>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No. 69 of 2004 s. 16.]</w:t>
      </w:r>
    </w:p>
    <w:p>
      <w:pPr>
        <w:pStyle w:val="Heading5"/>
        <w:rPr>
          <w:snapToGrid w:val="0"/>
        </w:rPr>
      </w:pPr>
      <w:bookmarkStart w:id="23" w:name="_Toc103863953"/>
      <w:r>
        <w:rPr>
          <w:rStyle w:val="CharSectno"/>
        </w:rPr>
        <w:t>16</w:t>
      </w:r>
      <w:r>
        <w:rPr>
          <w:snapToGrid w:val="0"/>
        </w:rPr>
        <w:t>.</w:t>
      </w:r>
      <w:r>
        <w:rPr>
          <w:snapToGrid w:val="0"/>
        </w:rPr>
        <w:tab/>
        <w:t>Licences</w:t>
      </w:r>
      <w:bookmarkEnd w:id="2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 xml:space="preserve">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w:t>
      </w:r>
      <w:r>
        <w:rPr>
          <w:snapToGrid w:val="0"/>
        </w:rPr>
        <w:lastRenderedPageBreak/>
        <w:t>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 xml:space="preserve">a Manufacturer’s Licence, which entitles the holder to manufacture firearms or ammunition of the kind specified in that licence on the premises named and identified in that licence and to sell and dispose of such </w:t>
      </w:r>
      <w:r>
        <w:rPr>
          <w:snapToGrid w:val="0"/>
        </w:rPr>
        <w:lastRenderedPageBreak/>
        <w:t>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No. 59 of 1996 s. 15; No. 27 of 1996 s. 96.]</w:t>
      </w:r>
    </w:p>
    <w:p>
      <w:pPr>
        <w:pStyle w:val="Heading5"/>
        <w:rPr>
          <w:snapToGrid w:val="0"/>
        </w:rPr>
      </w:pPr>
      <w:bookmarkStart w:id="24" w:name="_Toc103863954"/>
      <w:r>
        <w:rPr>
          <w:rStyle w:val="CharSectno"/>
        </w:rPr>
        <w:lastRenderedPageBreak/>
        <w:t>16A</w:t>
      </w:r>
      <w:r>
        <w:rPr>
          <w:snapToGrid w:val="0"/>
        </w:rPr>
        <w:t>.</w:t>
      </w:r>
      <w:r>
        <w:rPr>
          <w:snapToGrid w:val="0"/>
        </w:rPr>
        <w:tab/>
        <w:t>Possession of firearms by security officers</w:t>
      </w:r>
      <w:bookmarkEnd w:id="24"/>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No. 27 of 1996 s. 96; amended: No. 59 of 1996 s. 16; No. 4 of 2008 s. 81.]</w:t>
      </w:r>
    </w:p>
    <w:p>
      <w:pPr>
        <w:pStyle w:val="Heading5"/>
        <w:rPr>
          <w:snapToGrid w:val="0"/>
        </w:rPr>
      </w:pPr>
      <w:bookmarkStart w:id="25" w:name="_Toc103863955"/>
      <w:r>
        <w:rPr>
          <w:rStyle w:val="CharSectno"/>
        </w:rPr>
        <w:t>17</w:t>
      </w:r>
      <w:r>
        <w:rPr>
          <w:snapToGrid w:val="0"/>
        </w:rPr>
        <w:t>.</w:t>
      </w:r>
      <w:r>
        <w:rPr>
          <w:snapToGrid w:val="0"/>
        </w:rPr>
        <w:tab/>
        <w:t>Temporary permits</w:t>
      </w:r>
      <w:bookmarkEnd w:id="25"/>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lastRenderedPageBreak/>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No. 59 of 2004 s. 141.]</w:t>
      </w:r>
    </w:p>
    <w:p>
      <w:pPr>
        <w:pStyle w:val="Heading5"/>
        <w:rPr>
          <w:snapToGrid w:val="0"/>
        </w:rPr>
      </w:pPr>
      <w:bookmarkStart w:id="26" w:name="_Toc103863956"/>
      <w:r>
        <w:rPr>
          <w:rStyle w:val="CharSectno"/>
        </w:rPr>
        <w:t>17A</w:t>
      </w:r>
      <w:r>
        <w:rPr>
          <w:snapToGrid w:val="0"/>
        </w:rPr>
        <w:t>.</w:t>
      </w:r>
      <w:r>
        <w:rPr>
          <w:snapToGrid w:val="0"/>
        </w:rPr>
        <w:tab/>
        <w:t>Interstate group permits</w:t>
      </w:r>
      <w:bookmarkEnd w:id="26"/>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lastRenderedPageBreak/>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No. 61 of 1976 s. 2.]</w:t>
      </w:r>
    </w:p>
    <w:p>
      <w:pPr>
        <w:pStyle w:val="Heading5"/>
        <w:spacing w:before="240"/>
        <w:rPr>
          <w:snapToGrid w:val="0"/>
        </w:rPr>
      </w:pPr>
      <w:bookmarkStart w:id="27" w:name="_Toc103863957"/>
      <w:r>
        <w:rPr>
          <w:rStyle w:val="CharSectno"/>
        </w:rPr>
        <w:t>17B</w:t>
      </w:r>
      <w:r>
        <w:rPr>
          <w:snapToGrid w:val="0"/>
        </w:rPr>
        <w:t>.</w:t>
      </w:r>
      <w:r>
        <w:rPr>
          <w:snapToGrid w:val="0"/>
        </w:rPr>
        <w:tab/>
        <w:t>Minister may authorise agriculture inspector to possess, carry and use silencers</w:t>
      </w:r>
      <w:bookmarkEnd w:id="27"/>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 xml:space="preserve">shall comply with such directions as are from time to time given to him in connection with silencers by a </w:t>
      </w:r>
      <w:r>
        <w:rPr>
          <w:snapToGrid w:val="0"/>
        </w:rPr>
        <w:lastRenderedPageBreak/>
        <w:t>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lastRenderedPageBreak/>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No. 3 of 1983 s. 2; amended: No. 59 of 1996 s. 17; No. 24 of 2007 s. 30A (as inserted: No. 46 of 2010 s. 59); No. 46 of 2010 s. 69.]</w:t>
      </w:r>
    </w:p>
    <w:p>
      <w:pPr>
        <w:pStyle w:val="Heading5"/>
        <w:spacing w:before="240"/>
        <w:rPr>
          <w:snapToGrid w:val="0"/>
        </w:rPr>
      </w:pPr>
      <w:bookmarkStart w:id="28" w:name="_Toc103863958"/>
      <w:r>
        <w:rPr>
          <w:rStyle w:val="CharSectno"/>
        </w:rPr>
        <w:t>18</w:t>
      </w:r>
      <w:r>
        <w:rPr>
          <w:snapToGrid w:val="0"/>
        </w:rPr>
        <w:t>.</w:t>
      </w:r>
      <w:r>
        <w:rPr>
          <w:snapToGrid w:val="0"/>
        </w:rPr>
        <w:tab/>
        <w:t>Licensing procedure</w:t>
      </w:r>
      <w:bookmarkEnd w:id="28"/>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lastRenderedPageBreak/>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 xml:space="preserve">The evidence that the Commissioner may require before being satisfied that the person meets standards of mental or physical </w:t>
      </w:r>
      <w:r>
        <w:rPr>
          <w:snapToGrid w:val="0"/>
        </w:rPr>
        <w:lastRenderedPageBreak/>
        <w:t>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lastRenderedPageBreak/>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lastRenderedPageBreak/>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No. 61 of 1976 s. 3; No. 59 of 1996 s. 18; No. 69 of 2004 s. 17.]</w:t>
      </w:r>
    </w:p>
    <w:p>
      <w:pPr>
        <w:pStyle w:val="Heading5"/>
        <w:rPr>
          <w:snapToGrid w:val="0"/>
        </w:rPr>
      </w:pPr>
      <w:bookmarkStart w:id="29" w:name="_Toc103863959"/>
      <w:r>
        <w:rPr>
          <w:rStyle w:val="CharSectno"/>
        </w:rPr>
        <w:t>19</w:t>
      </w:r>
      <w:r>
        <w:rPr>
          <w:snapToGrid w:val="0"/>
        </w:rPr>
        <w:t>.</w:t>
      </w:r>
      <w:r>
        <w:rPr>
          <w:snapToGrid w:val="0"/>
        </w:rPr>
        <w:tab/>
        <w:t>Licensing offences</w:t>
      </w:r>
      <w:bookmarkEnd w:id="2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lastRenderedPageBreak/>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lastRenderedPageBreak/>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lastRenderedPageBreak/>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No. 54 of 1978 s. 2; No. 70 of 1987 s. 6; No. 59 of 1996 s. 19, 47 and 50(1); No. 50 of 2003 s. 62(2); No. 4 of 2004 s.  58; No. 69 of 2004 s. 18 and 31.]</w:t>
      </w:r>
    </w:p>
    <w:p>
      <w:pPr>
        <w:pStyle w:val="Heading5"/>
        <w:keepNext w:val="0"/>
        <w:keepLines w:val="0"/>
        <w:pageBreakBefore/>
        <w:spacing w:before="0"/>
      </w:pPr>
      <w:bookmarkStart w:id="30" w:name="_Toc103863960"/>
      <w:r>
        <w:rPr>
          <w:rStyle w:val="CharSectno"/>
        </w:rPr>
        <w:lastRenderedPageBreak/>
        <w:t>19AA</w:t>
      </w:r>
      <w:r>
        <w:t>.</w:t>
      </w:r>
      <w:r>
        <w:tab/>
        <w:t>Certain offences of lesser severity</w:t>
      </w:r>
      <w:bookmarkEnd w:id="30"/>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No. 69 of 2004 s. 19; amended: No. 8 of 2009 s. 58.]</w:t>
      </w:r>
    </w:p>
    <w:p>
      <w:pPr>
        <w:pStyle w:val="Heading5"/>
        <w:rPr>
          <w:snapToGrid w:val="0"/>
        </w:rPr>
      </w:pPr>
      <w:bookmarkStart w:id="31" w:name="_Toc103863961"/>
      <w:r>
        <w:rPr>
          <w:rStyle w:val="CharSectno"/>
        </w:rPr>
        <w:t>19A</w:t>
      </w:r>
      <w:r>
        <w:rPr>
          <w:snapToGrid w:val="0"/>
        </w:rPr>
        <w:t>.</w:t>
      </w:r>
      <w:r>
        <w:rPr>
          <w:snapToGrid w:val="0"/>
        </w:rPr>
        <w:tab/>
        <w:t>Infringement notice</w:t>
      </w:r>
      <w:bookmarkEnd w:id="31"/>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 xml:space="preserve">proceedings shall not be brought against the person for any offence against this Act which was committed by him between </w:t>
      </w:r>
      <w:r>
        <w:rPr>
          <w:snapToGrid w:val="0"/>
        </w:rPr>
        <w:lastRenderedPageBreak/>
        <w:t>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lastRenderedPageBreak/>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No. 61 of 1976 s. 4; amended: No. 35 of 1980 s. 4; No. 59 of 1996 s. 20; No. 84 of 2004 s. 80.]</w:t>
      </w:r>
    </w:p>
    <w:p>
      <w:pPr>
        <w:pStyle w:val="Heading5"/>
        <w:rPr>
          <w:snapToGrid w:val="0"/>
        </w:rPr>
      </w:pPr>
      <w:bookmarkStart w:id="32" w:name="_Toc103863962"/>
      <w:r>
        <w:rPr>
          <w:rStyle w:val="CharSectno"/>
        </w:rPr>
        <w:t>20</w:t>
      </w:r>
      <w:r>
        <w:rPr>
          <w:snapToGrid w:val="0"/>
        </w:rPr>
        <w:t>.</w:t>
      </w:r>
      <w:r>
        <w:rPr>
          <w:snapToGrid w:val="0"/>
        </w:rPr>
        <w:tab/>
        <w:t>Revocation, cancellation, refusal to renew and variation</w:t>
      </w:r>
      <w:bookmarkEnd w:id="3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lastRenderedPageBreak/>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lastRenderedPageBreak/>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No. 90 of 1994 s. 4; No. 59 of 1996 s. 21.]</w:t>
      </w:r>
    </w:p>
    <w:p>
      <w:pPr>
        <w:pStyle w:val="Heading5"/>
        <w:spacing w:before="180"/>
        <w:rPr>
          <w:snapToGrid w:val="0"/>
        </w:rPr>
      </w:pPr>
      <w:bookmarkStart w:id="33" w:name="_Toc103863963"/>
      <w:r>
        <w:rPr>
          <w:rStyle w:val="CharSectno"/>
        </w:rPr>
        <w:t>21</w:t>
      </w:r>
      <w:r>
        <w:rPr>
          <w:snapToGrid w:val="0"/>
        </w:rPr>
        <w:t>.</w:t>
      </w:r>
      <w:r>
        <w:rPr>
          <w:snapToGrid w:val="0"/>
        </w:rPr>
        <w:tab/>
        <w:t>Restrictions, limitations and conditions</w:t>
      </w:r>
      <w:bookmarkEnd w:id="33"/>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No. 70 of 1987 s. 7; No. 59 of 1996 s. 22 and 50(3); No. 69 of 2004 s. 20.]</w:t>
      </w:r>
    </w:p>
    <w:p>
      <w:pPr>
        <w:pStyle w:val="Heading5"/>
        <w:spacing w:before="180"/>
        <w:rPr>
          <w:snapToGrid w:val="0"/>
        </w:rPr>
      </w:pPr>
      <w:bookmarkStart w:id="34" w:name="_Toc103863964"/>
      <w:r>
        <w:rPr>
          <w:rStyle w:val="CharSectno"/>
        </w:rPr>
        <w:t>21A</w:t>
      </w:r>
      <w:r>
        <w:rPr>
          <w:snapToGrid w:val="0"/>
        </w:rPr>
        <w:t>.</w:t>
      </w:r>
      <w:r>
        <w:rPr>
          <w:snapToGrid w:val="0"/>
        </w:rPr>
        <w:tab/>
        <w:t>Supervision and management</w:t>
      </w:r>
      <w:bookmarkEnd w:id="34"/>
    </w:p>
    <w:p>
      <w:pPr>
        <w:pStyle w:val="Subsection"/>
        <w:spacing w:before="120"/>
        <w:rPr>
          <w:snapToGrid w:val="0"/>
        </w:rPr>
      </w:pPr>
      <w:r>
        <w:rPr>
          <w:snapToGrid w:val="0"/>
        </w:rPr>
        <w:tab/>
        <w:t>(1)</w:t>
      </w:r>
      <w:r>
        <w:rPr>
          <w:snapToGrid w:val="0"/>
        </w:rPr>
        <w:tab/>
        <w:t xml:space="preserve">The conduct of business under a Dealer’s Licence, a Repairer’s Licence or a Manufacturer’s Licence is always the responsibility </w:t>
      </w:r>
      <w:r>
        <w:rPr>
          <w:snapToGrid w:val="0"/>
        </w:rPr>
        <w:lastRenderedPageBreak/>
        <w:t>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lastRenderedPageBreak/>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No. 59 of 1996 s. 23; amended: No. 84 of 2004 s. 80.]</w:t>
      </w:r>
    </w:p>
    <w:p>
      <w:pPr>
        <w:pStyle w:val="Heading5"/>
        <w:rPr>
          <w:snapToGrid w:val="0"/>
        </w:rPr>
      </w:pPr>
      <w:bookmarkStart w:id="35" w:name="_Toc103863965"/>
      <w:r>
        <w:rPr>
          <w:rStyle w:val="CharSectno"/>
        </w:rPr>
        <w:t>21B</w:t>
      </w:r>
      <w:r>
        <w:rPr>
          <w:snapToGrid w:val="0"/>
        </w:rPr>
        <w:t>.</w:t>
      </w:r>
      <w:r>
        <w:rPr>
          <w:snapToGrid w:val="0"/>
        </w:rPr>
        <w:tab/>
        <w:t>Offences by bodies corporate and partnerships</w:t>
      </w:r>
      <w:bookmarkEnd w:id="35"/>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an offence against this Act was not committed, the person responsible to the body corporate for the management of </w:t>
      </w:r>
      <w:r>
        <w:rPr>
          <w:snapToGrid w:val="0"/>
        </w:rPr>
        <w:lastRenderedPageBreak/>
        <w:t>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No. 59 of 1996 s. 23; amended: No. 10 of 2001 s. 220; No. 84 of 2004 s. 80.]</w:t>
      </w:r>
    </w:p>
    <w:p>
      <w:pPr>
        <w:pStyle w:val="Heading5"/>
        <w:keepNext w:val="0"/>
        <w:keepLines w:val="0"/>
        <w:pageBreakBefore/>
        <w:spacing w:before="0"/>
        <w:rPr>
          <w:snapToGrid w:val="0"/>
        </w:rPr>
      </w:pPr>
      <w:bookmarkStart w:id="36" w:name="_Toc103863966"/>
      <w:r>
        <w:rPr>
          <w:rStyle w:val="CharSectno"/>
        </w:rPr>
        <w:lastRenderedPageBreak/>
        <w:t>22</w:t>
      </w:r>
      <w:r>
        <w:rPr>
          <w:snapToGrid w:val="0"/>
        </w:rPr>
        <w:t>.</w:t>
      </w:r>
      <w:r>
        <w:rPr>
          <w:snapToGrid w:val="0"/>
        </w:rPr>
        <w:tab/>
        <w:t>Reviews by SAT</w:t>
      </w:r>
      <w:bookmarkEnd w:id="36"/>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No. 59 of 1996 s. 24; amended: No. 55 of 2004 s. 369.]</w:t>
      </w:r>
    </w:p>
    <w:p>
      <w:pPr>
        <w:pStyle w:val="Ednotesection"/>
      </w:pPr>
      <w:r>
        <w:t>[</w:t>
      </w:r>
      <w:r>
        <w:rPr>
          <w:b/>
        </w:rPr>
        <w:t>22AA.</w:t>
      </w:r>
      <w:r>
        <w:tab/>
        <w:t>Deleted: No. 69 of 2004 s. 21(2).]</w:t>
      </w:r>
    </w:p>
    <w:p>
      <w:pPr>
        <w:pStyle w:val="Heading5"/>
        <w:rPr>
          <w:snapToGrid w:val="0"/>
        </w:rPr>
      </w:pPr>
      <w:bookmarkStart w:id="37" w:name="_Toc103863967"/>
      <w:r>
        <w:rPr>
          <w:rStyle w:val="CharSectno"/>
        </w:rPr>
        <w:t>22A</w:t>
      </w:r>
      <w:r>
        <w:rPr>
          <w:snapToGrid w:val="0"/>
        </w:rPr>
        <w:t>.</w:t>
      </w:r>
      <w:r>
        <w:rPr>
          <w:snapToGrid w:val="0"/>
        </w:rPr>
        <w:tab/>
        <w:t>Firearms Act Extract of Licence</w:t>
      </w:r>
      <w:bookmarkEnd w:id="37"/>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lastRenderedPageBreak/>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lastRenderedPageBreak/>
        <w:tab/>
        <w:t>(d)</w:t>
      </w:r>
      <w:r>
        <w:rPr>
          <w:snapToGrid w:val="0"/>
        </w:rPr>
        <w:tab/>
        <w:t>limit the application of this section to prescribed circumstances, or in relation to any specified case or class of case.</w:t>
      </w:r>
    </w:p>
    <w:p>
      <w:pPr>
        <w:pStyle w:val="Footnotesection"/>
      </w:pPr>
      <w:r>
        <w:tab/>
        <w:t>[Section 22A inserted: No. 59 of 1996 s. 41.]</w:t>
      </w:r>
    </w:p>
    <w:p>
      <w:pPr>
        <w:pStyle w:val="Heading5"/>
        <w:rPr>
          <w:snapToGrid w:val="0"/>
        </w:rPr>
      </w:pPr>
      <w:bookmarkStart w:id="38" w:name="_Toc103863968"/>
      <w:r>
        <w:rPr>
          <w:rStyle w:val="CharSectno"/>
        </w:rPr>
        <w:t>22B</w:t>
      </w:r>
      <w:r>
        <w:rPr>
          <w:snapToGrid w:val="0"/>
        </w:rPr>
        <w:t>.</w:t>
      </w:r>
      <w:r>
        <w:rPr>
          <w:snapToGrid w:val="0"/>
        </w:rPr>
        <w:tab/>
        <w:t>Return of Extract of Licence</w:t>
      </w:r>
      <w:bookmarkEnd w:id="38"/>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No. 59 of 1996 s. 41.]</w:t>
      </w:r>
    </w:p>
    <w:p>
      <w:pPr>
        <w:pStyle w:val="Heading5"/>
        <w:rPr>
          <w:snapToGrid w:val="0"/>
        </w:rPr>
      </w:pPr>
      <w:bookmarkStart w:id="39" w:name="_Toc103863969"/>
      <w:r>
        <w:rPr>
          <w:rStyle w:val="CharSectno"/>
        </w:rPr>
        <w:t>22C</w:t>
      </w:r>
      <w:r>
        <w:rPr>
          <w:snapToGrid w:val="0"/>
        </w:rPr>
        <w:t>.</w:t>
      </w:r>
      <w:r>
        <w:rPr>
          <w:snapToGrid w:val="0"/>
        </w:rPr>
        <w:tab/>
        <w:t>Offences relating to Extract of Licence, licences, permits, approvals or authorisations</w:t>
      </w:r>
      <w:bookmarkEnd w:id="39"/>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 xml:space="preserve">uses, or has in their possession, an Extract of Licence, licence, permit, approval or authorisation to which this </w:t>
      </w:r>
      <w:r>
        <w:rPr>
          <w:snapToGrid w:val="0"/>
        </w:rPr>
        <w:lastRenderedPageBreak/>
        <w:t>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No. 59 of 1996 s. 41.]</w:t>
      </w:r>
    </w:p>
    <w:p>
      <w:pPr>
        <w:pStyle w:val="Heading5"/>
        <w:spacing w:before="180"/>
        <w:rPr>
          <w:snapToGrid w:val="0"/>
        </w:rPr>
      </w:pPr>
      <w:bookmarkStart w:id="40" w:name="_Toc103863970"/>
      <w:r>
        <w:rPr>
          <w:rStyle w:val="CharSectno"/>
        </w:rPr>
        <w:t>23</w:t>
      </w:r>
      <w:r>
        <w:rPr>
          <w:snapToGrid w:val="0"/>
        </w:rPr>
        <w:t>.</w:t>
      </w:r>
      <w:r>
        <w:rPr>
          <w:snapToGrid w:val="0"/>
        </w:rPr>
        <w:tab/>
        <w:t>General offences</w:t>
      </w:r>
      <w:bookmarkEnd w:id="40"/>
    </w:p>
    <w:p>
      <w:pPr>
        <w:pStyle w:val="Subsection"/>
        <w:rPr>
          <w:snapToGrid w:val="0"/>
        </w:rPr>
      </w:pPr>
      <w:r>
        <w:rPr>
          <w:snapToGrid w:val="0"/>
        </w:rPr>
        <w:tab/>
        <w:t>(1)</w:t>
      </w:r>
      <w:r>
        <w:rPr>
          <w:snapToGrid w:val="0"/>
        </w:rPr>
        <w:tab/>
        <w:t xml:space="preserve">A person who permits possession of any firearm or ammunition to be taken by another person where there are reasonable grounds for believing that he knows, or ought to know, that the other person is affected by alcohol or drugs, or alcohol and </w:t>
      </w:r>
      <w:r>
        <w:rPr>
          <w:snapToGrid w:val="0"/>
        </w:rPr>
        <w:lastRenderedPageBreak/>
        <w:t>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lastRenderedPageBreak/>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lastRenderedPageBreak/>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lastRenderedPageBreak/>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lastRenderedPageBreak/>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 xml:space="preserve">[Section 23 amended: No. 54 of 1978 s. 3; No. 3 of 1983 s. 3; No. 70 of 1987 s. 8; No. 59 of 1996 s. 25, 48 and 50(1), (3), (4) </w:t>
      </w:r>
      <w:r>
        <w:lastRenderedPageBreak/>
        <w:t>and (5); No. 50 of 2003 s. 62(3); No. 4 of 2004 s. 58; No. 69 of 2004 s. 7, 8(3), 22 and 31; No. 24 of 2016 s. 316.]</w:t>
      </w:r>
    </w:p>
    <w:p>
      <w:pPr>
        <w:pStyle w:val="Heading5"/>
        <w:spacing w:before="180"/>
        <w:rPr>
          <w:snapToGrid w:val="0"/>
        </w:rPr>
      </w:pPr>
      <w:bookmarkStart w:id="41" w:name="_Toc103863971"/>
      <w:r>
        <w:rPr>
          <w:rStyle w:val="CharSectno"/>
        </w:rPr>
        <w:t>23A</w:t>
      </w:r>
      <w:r>
        <w:rPr>
          <w:snapToGrid w:val="0"/>
        </w:rPr>
        <w:t>.</w:t>
      </w:r>
      <w:r>
        <w:rPr>
          <w:snapToGrid w:val="0"/>
        </w:rPr>
        <w:tab/>
        <w:t>Limitation periods</w:t>
      </w:r>
      <w:bookmarkEnd w:id="41"/>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No. 59 of 1996 s. 26; amended: No. 69 of 2004 s. 23; No. 84 of 2004 s. 80.]</w:t>
      </w:r>
    </w:p>
    <w:p>
      <w:pPr>
        <w:pStyle w:val="Heading5"/>
        <w:spacing w:before="180"/>
        <w:rPr>
          <w:snapToGrid w:val="0"/>
        </w:rPr>
      </w:pPr>
      <w:bookmarkStart w:id="42" w:name="_Toc103863972"/>
      <w:r>
        <w:rPr>
          <w:rStyle w:val="CharSectno"/>
        </w:rPr>
        <w:t>23B</w:t>
      </w:r>
      <w:r>
        <w:rPr>
          <w:snapToGrid w:val="0"/>
        </w:rPr>
        <w:t>.</w:t>
      </w:r>
      <w:r>
        <w:rPr>
          <w:snapToGrid w:val="0"/>
        </w:rPr>
        <w:tab/>
        <w:t>Disclosure by health professionals of certain information</w:t>
      </w:r>
      <w:bookmarkEnd w:id="4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(Western Australia)</w:t>
      </w:r>
      <w:r>
        <w:t xml:space="preserve"> in the psychology profession; or</w:t>
      </w:r>
    </w:p>
    <w:p>
      <w:pPr>
        <w:pStyle w:val="Defpara"/>
      </w:pPr>
      <w:r>
        <w:lastRenderedPageBreak/>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ind w:left="890" w:hanging="890"/>
      </w:pPr>
      <w:r>
        <w:tab/>
        <w:t>[Section 23B inserted: No. 59 of 1996 s. 26; amended: No. 69 of 2004 s. 24; No. 28 of 2005 Sch. 3 cl. 4; No. 50 of 2006 Sch. 3 cl. 8; No. 35 of 2010 s. 65; No. 4 of 2018 s. 110.]</w:t>
      </w:r>
    </w:p>
    <w:p>
      <w:pPr>
        <w:pStyle w:val="Heading5"/>
        <w:spacing w:before="240"/>
      </w:pPr>
      <w:bookmarkStart w:id="43" w:name="_Toc103863973"/>
      <w:r>
        <w:rPr>
          <w:rStyle w:val="CharSectno"/>
        </w:rPr>
        <w:t>23BA</w:t>
      </w:r>
      <w:r>
        <w:t>.</w:t>
      </w:r>
      <w:r>
        <w:tab/>
        <w:t>Disclosure of certain information by approved club and organisation members</w:t>
      </w:r>
      <w:bookmarkEnd w:id="43"/>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 xml:space="preserve">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w:t>
      </w:r>
      <w:r>
        <w:lastRenderedPageBreak/>
        <w:t>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No. 69 of 2004 s. 25.]</w:t>
      </w:r>
    </w:p>
    <w:p>
      <w:pPr>
        <w:pStyle w:val="Heading5"/>
        <w:rPr>
          <w:snapToGrid w:val="0"/>
        </w:rPr>
      </w:pPr>
      <w:bookmarkStart w:id="44" w:name="_Toc103863974"/>
      <w:r>
        <w:rPr>
          <w:rStyle w:val="CharSectno"/>
        </w:rPr>
        <w:t>23C</w:t>
      </w:r>
      <w:r>
        <w:rPr>
          <w:snapToGrid w:val="0"/>
        </w:rPr>
        <w:t>.</w:t>
      </w:r>
      <w:r>
        <w:rPr>
          <w:snapToGrid w:val="0"/>
        </w:rPr>
        <w:tab/>
        <w:t>Persons concerned in commission of offences</w:t>
      </w:r>
      <w:bookmarkEnd w:id="4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No. 59 of 1996 s. 49.]</w:t>
      </w:r>
    </w:p>
    <w:p>
      <w:pPr>
        <w:pStyle w:val="Ednotesection"/>
      </w:pPr>
      <w:r>
        <w:lastRenderedPageBreak/>
        <w:t>[</w:t>
      </w:r>
      <w:r>
        <w:rPr>
          <w:b/>
        </w:rPr>
        <w:t>23D.</w:t>
      </w:r>
      <w:r>
        <w:tab/>
        <w:t>Deleted: No. 4 of 2004 s. 58.]</w:t>
      </w:r>
    </w:p>
    <w:p>
      <w:pPr>
        <w:pStyle w:val="Heading5"/>
        <w:rPr>
          <w:snapToGrid w:val="0"/>
        </w:rPr>
      </w:pPr>
      <w:bookmarkStart w:id="45" w:name="_Toc103863975"/>
      <w:r>
        <w:rPr>
          <w:rStyle w:val="CharSectno"/>
        </w:rPr>
        <w:t>24</w:t>
      </w:r>
      <w:r>
        <w:rPr>
          <w:snapToGrid w:val="0"/>
        </w:rPr>
        <w:t>.</w:t>
      </w:r>
      <w:r>
        <w:rPr>
          <w:snapToGrid w:val="0"/>
        </w:rPr>
        <w:tab/>
        <w:t>Powers of police</w:t>
      </w:r>
      <w:bookmarkEnd w:id="45"/>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lastRenderedPageBreak/>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 xml:space="preserve">refuses or fails to produce any licence or permit held by him under this Act, or any firearm in respect of which any such licence or permit is issued, or any Extract of </w:t>
      </w:r>
      <w:r>
        <w:rPr>
          <w:snapToGrid w:val="0"/>
        </w:rPr>
        <w:lastRenderedPageBreak/>
        <w:t>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46" w:name="_Toc103863976"/>
      <w:r>
        <w:rPr>
          <w:rStyle w:val="CharSectno"/>
        </w:rPr>
        <w:lastRenderedPageBreak/>
        <w:t>25</w:t>
      </w:r>
      <w:r>
        <w:rPr>
          <w:snapToGrid w:val="0"/>
        </w:rPr>
        <w:t>.</w:t>
      </w:r>
      <w:r>
        <w:rPr>
          <w:snapToGrid w:val="0"/>
        </w:rPr>
        <w:tab/>
        <w:t>Constructive possession</w:t>
      </w:r>
      <w:bookmarkEnd w:id="46"/>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47" w:name="_Toc103863977"/>
      <w:r>
        <w:rPr>
          <w:rStyle w:val="CharSectno"/>
        </w:rPr>
        <w:t>26</w:t>
      </w:r>
      <w:r>
        <w:rPr>
          <w:snapToGrid w:val="0"/>
        </w:rPr>
        <w:t>.</w:t>
      </w:r>
      <w:r>
        <w:rPr>
          <w:snapToGrid w:val="0"/>
        </w:rPr>
        <w:tab/>
        <w:t>Search warrant</w:t>
      </w:r>
      <w:bookmarkEnd w:id="47"/>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No. 59 of 1996 s. 28; amended: No. 59 of 2006 s. 73.]</w:t>
      </w:r>
    </w:p>
    <w:p>
      <w:pPr>
        <w:pStyle w:val="Ednotesection"/>
      </w:pPr>
      <w:r>
        <w:lastRenderedPageBreak/>
        <w:t>[</w:t>
      </w:r>
      <w:r>
        <w:rPr>
          <w:b/>
        </w:rPr>
        <w:t>27.</w:t>
      </w:r>
      <w:r>
        <w:tab/>
        <w:t>Deleted: No. 78 of 1995 s. 46.]</w:t>
      </w:r>
    </w:p>
    <w:p>
      <w:pPr>
        <w:pStyle w:val="Heading5"/>
        <w:rPr>
          <w:snapToGrid w:val="0"/>
        </w:rPr>
      </w:pPr>
      <w:bookmarkStart w:id="48" w:name="_Toc103863978"/>
      <w:r>
        <w:rPr>
          <w:rStyle w:val="CharSectno"/>
        </w:rPr>
        <w:t>27A</w:t>
      </w:r>
      <w:r>
        <w:rPr>
          <w:snapToGrid w:val="0"/>
        </w:rPr>
        <w:t>.</w:t>
      </w:r>
      <w:r>
        <w:rPr>
          <w:snapToGrid w:val="0"/>
        </w:rPr>
        <w:tab/>
        <w:t>Disqualification by court imposing violence restraining order</w:t>
      </w:r>
      <w:bookmarkEnd w:id="48"/>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No. 59 of 1996 s. 29; amended: No. 19 of 1997 s. 84.]</w:t>
      </w:r>
    </w:p>
    <w:p>
      <w:pPr>
        <w:pStyle w:val="Heading5"/>
        <w:spacing w:before="240"/>
        <w:rPr>
          <w:snapToGrid w:val="0"/>
        </w:rPr>
      </w:pPr>
      <w:bookmarkStart w:id="49" w:name="_Toc103863979"/>
      <w:r>
        <w:rPr>
          <w:rStyle w:val="CharSectno"/>
        </w:rPr>
        <w:t>28</w:t>
      </w:r>
      <w:r>
        <w:rPr>
          <w:snapToGrid w:val="0"/>
        </w:rPr>
        <w:t>.</w:t>
      </w:r>
      <w:r>
        <w:rPr>
          <w:snapToGrid w:val="0"/>
        </w:rPr>
        <w:tab/>
        <w:t>Court may order forfeiture on conviction of offender</w:t>
      </w:r>
      <w:bookmarkEnd w:id="49"/>
    </w:p>
    <w:p>
      <w:pPr>
        <w:pStyle w:val="Subsection"/>
        <w:spacing w:before="180"/>
        <w:rPr>
          <w:snapToGrid w:val="0"/>
        </w:rPr>
      </w:pPr>
      <w:r>
        <w:rPr>
          <w:snapToGrid w:val="0"/>
        </w:rPr>
        <w:tab/>
      </w:r>
      <w:r>
        <w:rPr>
          <w:snapToGrid w:val="0"/>
        </w:rPr>
        <w:tab/>
        <w:t xml:space="preserve">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w:t>
      </w:r>
      <w:r>
        <w:rPr>
          <w:snapToGrid w:val="0"/>
        </w:rPr>
        <w:lastRenderedPageBreak/>
        <w:t>order the firearm or ammunition, silencer or other thing to which this Act applies to be delivered to that other person.</w:t>
      </w:r>
    </w:p>
    <w:p>
      <w:pPr>
        <w:pStyle w:val="Footnotesection"/>
        <w:spacing w:before="80"/>
        <w:ind w:left="890" w:hanging="890"/>
      </w:pPr>
      <w:r>
        <w:tab/>
        <w:t>[Section 28 amended: No. 59 of 1996 s. 30.]</w:t>
      </w:r>
    </w:p>
    <w:p>
      <w:pPr>
        <w:pStyle w:val="Heading5"/>
        <w:spacing w:before="180"/>
        <w:rPr>
          <w:snapToGrid w:val="0"/>
        </w:rPr>
      </w:pPr>
      <w:bookmarkStart w:id="50" w:name="_Toc103863980"/>
      <w:r>
        <w:rPr>
          <w:rStyle w:val="CharSectno"/>
        </w:rPr>
        <w:t>29</w:t>
      </w:r>
      <w:r>
        <w:rPr>
          <w:snapToGrid w:val="0"/>
        </w:rPr>
        <w:t>.</w:t>
      </w:r>
      <w:r>
        <w:rPr>
          <w:snapToGrid w:val="0"/>
        </w:rPr>
        <w:tab/>
        <w:t>Evidence</w:t>
      </w:r>
      <w:bookmarkEnd w:id="50"/>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lastRenderedPageBreak/>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No. 59 of 1996 s. 31 and 43; No. 84 of 2004 s. 80.]</w:t>
      </w:r>
    </w:p>
    <w:p>
      <w:pPr>
        <w:pStyle w:val="Heading5"/>
        <w:spacing w:before="180"/>
        <w:rPr>
          <w:snapToGrid w:val="0"/>
        </w:rPr>
      </w:pPr>
      <w:bookmarkStart w:id="51" w:name="_Toc103863981"/>
      <w:r>
        <w:rPr>
          <w:rStyle w:val="CharSectno"/>
        </w:rPr>
        <w:t>30</w:t>
      </w:r>
      <w:r>
        <w:rPr>
          <w:snapToGrid w:val="0"/>
        </w:rPr>
        <w:t>.</w:t>
      </w:r>
      <w:r>
        <w:rPr>
          <w:snapToGrid w:val="0"/>
        </w:rPr>
        <w:tab/>
        <w:t>Ammunition sales</w:t>
      </w:r>
      <w:bookmarkEnd w:id="51"/>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 xml:space="preserve">At the time of any transaction authorised under subsection (1) or subsection (2) the dealer shall make an entry in the prescribed manner in the record kept for the purposes of this section and shall cause verification of that transaction to be entered in, or </w:t>
      </w:r>
      <w:r>
        <w:rPr>
          <w:snapToGrid w:val="0"/>
        </w:rPr>
        <w:lastRenderedPageBreak/>
        <w:t>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No. 54 of 1978 s. 5; No. 70 of 1987 s. 10; No. 59 of 1996 s. 32, 44 and 50(1); No. 69 of 2004 s. 31.]</w:t>
      </w:r>
    </w:p>
    <w:p>
      <w:pPr>
        <w:pStyle w:val="Heading5"/>
        <w:spacing w:before="180"/>
        <w:rPr>
          <w:snapToGrid w:val="0"/>
        </w:rPr>
      </w:pPr>
      <w:bookmarkStart w:id="52" w:name="_Toc103863982"/>
      <w:r>
        <w:rPr>
          <w:rStyle w:val="CharSectno"/>
        </w:rPr>
        <w:t>30A</w:t>
      </w:r>
      <w:r>
        <w:rPr>
          <w:snapToGrid w:val="0"/>
        </w:rPr>
        <w:t>.</w:t>
      </w:r>
      <w:r>
        <w:rPr>
          <w:snapToGrid w:val="0"/>
        </w:rPr>
        <w:tab/>
        <w:t>Sale and disposal of firearms</w:t>
      </w:r>
      <w:bookmarkEnd w:id="52"/>
    </w:p>
    <w:p>
      <w:pPr>
        <w:pStyle w:val="Subsection"/>
        <w:spacing w:before="120"/>
        <w:rPr>
          <w:snapToGrid w:val="0"/>
        </w:rPr>
      </w:pPr>
      <w:r>
        <w:rPr>
          <w:snapToGrid w:val="0"/>
        </w:rPr>
        <w:tab/>
        <w:t>(1)</w:t>
      </w:r>
      <w:r>
        <w:rPr>
          <w:snapToGrid w:val="0"/>
        </w:rPr>
        <w:tab/>
        <w:t xml:space="preserve">A person who, except as described in subsection (2), advertises that a firearm is for sale is required to ensure that the </w:t>
      </w:r>
      <w:r>
        <w:rPr>
          <w:snapToGrid w:val="0"/>
        </w:rPr>
        <w:lastRenderedPageBreak/>
        <w:t>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No. 59 of 1996 s. 33; amended: No. 69 of 2004 s. 31.]</w:t>
      </w:r>
    </w:p>
    <w:p>
      <w:pPr>
        <w:pStyle w:val="Heading5"/>
        <w:keepNext w:val="0"/>
        <w:keepLines w:val="0"/>
        <w:spacing w:before="180"/>
        <w:rPr>
          <w:snapToGrid w:val="0"/>
        </w:rPr>
      </w:pPr>
      <w:bookmarkStart w:id="53" w:name="_Toc103863983"/>
      <w:r>
        <w:rPr>
          <w:rStyle w:val="CharSectno"/>
        </w:rPr>
        <w:t>30B</w:t>
      </w:r>
      <w:r>
        <w:rPr>
          <w:snapToGrid w:val="0"/>
        </w:rPr>
        <w:t>.</w:t>
      </w:r>
      <w:r>
        <w:rPr>
          <w:snapToGrid w:val="0"/>
        </w:rPr>
        <w:tab/>
        <w:t>Loss, theft, destruction, or disposal out of State, to be reported</w:t>
      </w:r>
      <w:bookmarkEnd w:id="53"/>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lastRenderedPageBreak/>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No. 59 of 1996 s. 33; amended: No. 69 of 2004 s. 31.]</w:t>
      </w:r>
    </w:p>
    <w:p>
      <w:pPr>
        <w:pStyle w:val="Heading5"/>
        <w:rPr>
          <w:snapToGrid w:val="0"/>
        </w:rPr>
      </w:pPr>
      <w:bookmarkStart w:id="54" w:name="_Toc103863984"/>
      <w:r>
        <w:rPr>
          <w:rStyle w:val="CharSectno"/>
        </w:rPr>
        <w:t>31</w:t>
      </w:r>
      <w:r>
        <w:rPr>
          <w:snapToGrid w:val="0"/>
        </w:rPr>
        <w:t>.</w:t>
      </w:r>
      <w:r>
        <w:rPr>
          <w:snapToGrid w:val="0"/>
        </w:rPr>
        <w:tab/>
        <w:t>Records</w:t>
      </w:r>
      <w:bookmarkEnd w:id="54"/>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 xml:space="preserve">A member of the Police Force shall be permitted to check the stock of firearms and ammunition on any premises in respect of which records are required to be kept under subsection (2), or </w:t>
      </w:r>
      <w:r>
        <w:rPr>
          <w:snapToGrid w:val="0"/>
        </w:rPr>
        <w:lastRenderedPageBreak/>
        <w:t>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No. 59 of 1996 s. 34; No. 69 of 2004 s. 27 and 31.]</w:t>
      </w:r>
    </w:p>
    <w:p>
      <w:pPr>
        <w:pStyle w:val="Heading5"/>
        <w:rPr>
          <w:snapToGrid w:val="0"/>
        </w:rPr>
      </w:pPr>
      <w:bookmarkStart w:id="55" w:name="_Toc103863985"/>
      <w:r>
        <w:rPr>
          <w:rStyle w:val="CharSectno"/>
        </w:rPr>
        <w:t>32</w:t>
      </w:r>
      <w:r>
        <w:rPr>
          <w:snapToGrid w:val="0"/>
        </w:rPr>
        <w:t>.</w:t>
      </w:r>
      <w:r>
        <w:rPr>
          <w:snapToGrid w:val="0"/>
        </w:rPr>
        <w:tab/>
        <w:t>Safe keeping by traders</w:t>
      </w:r>
      <w:bookmarkEnd w:id="55"/>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No. 59 of 1996 s. 35; No. 69 of 2004 s. 28.]</w:t>
      </w:r>
    </w:p>
    <w:p>
      <w:pPr>
        <w:pStyle w:val="Heading5"/>
        <w:spacing w:before="240"/>
        <w:rPr>
          <w:snapToGrid w:val="0"/>
        </w:rPr>
      </w:pPr>
      <w:bookmarkStart w:id="56" w:name="_Toc103863986"/>
      <w:r>
        <w:rPr>
          <w:rStyle w:val="CharSectno"/>
        </w:rPr>
        <w:t>33</w:t>
      </w:r>
      <w:r>
        <w:rPr>
          <w:snapToGrid w:val="0"/>
        </w:rPr>
        <w:t>.</w:t>
      </w:r>
      <w:r>
        <w:rPr>
          <w:snapToGrid w:val="0"/>
        </w:rPr>
        <w:tab/>
        <w:t>Disposal of firearms</w:t>
      </w:r>
      <w:bookmarkEnd w:id="56"/>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 xml:space="preserve">the owner, not being the holder of a licence relating thereto or otherwise lawfully entitled to possession of it, refuses or fails lawfully to dispose of it within a period of 3 months after notice in writing from the </w:t>
      </w:r>
      <w:r>
        <w:rPr>
          <w:snapToGrid w:val="0"/>
        </w:rPr>
        <w:lastRenderedPageBreak/>
        <w:t>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No. 6 of 1993 s. 11; No. 73 of 1994 s. 4; No. 49 of 1996 s. 64; No. 59 of 1996 s. 36; No. 77 of 2006 s. 4.]</w:t>
      </w:r>
    </w:p>
    <w:p>
      <w:pPr>
        <w:pStyle w:val="Heading5"/>
        <w:rPr>
          <w:snapToGrid w:val="0"/>
        </w:rPr>
      </w:pPr>
      <w:bookmarkStart w:id="57" w:name="_Toc103863987"/>
      <w:r>
        <w:rPr>
          <w:rStyle w:val="CharSectno"/>
        </w:rPr>
        <w:t>34</w:t>
      </w:r>
      <w:r>
        <w:rPr>
          <w:snapToGrid w:val="0"/>
        </w:rPr>
        <w:t>.</w:t>
      </w:r>
      <w:r>
        <w:rPr>
          <w:snapToGrid w:val="0"/>
        </w:rPr>
        <w:tab/>
        <w:t>Regulations</w:t>
      </w:r>
      <w:bookmarkEnd w:id="57"/>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lastRenderedPageBreak/>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lastRenderedPageBreak/>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No. 69 of 2004 s. 30.]</w:t>
      </w:r>
    </w:p>
    <w:p>
      <w:pPr>
        <w:pStyle w:val="yEdnoteschedule"/>
      </w:pPr>
      <w:r>
        <w:rPr>
          <w:sz w:val="24"/>
        </w:rPr>
        <w:t>[Schedule 3 deleted: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8" w:name="_Toc103862503"/>
      <w:bookmarkStart w:id="59" w:name="_Toc103863988"/>
      <w:bookmarkStart w:id="60" w:name="_Toc103862048"/>
      <w:r>
        <w:lastRenderedPageBreak/>
        <w:t>Notes</w:t>
      </w:r>
      <w:bookmarkEnd w:id="58"/>
      <w:bookmarkEnd w:id="59"/>
    </w:p>
    <w:p>
      <w:pPr>
        <w:pStyle w:val="nStatement"/>
      </w:pPr>
      <w:r>
        <w:t xml:space="preserve">This is a compilation of the </w:t>
      </w:r>
      <w:r>
        <w:rPr>
          <w:i/>
          <w:noProof/>
        </w:rPr>
        <w:t>Firearms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1" w:name="_Toc103863989"/>
      <w:r>
        <w:t>Compilation table</w:t>
      </w:r>
      <w:bookmarkEnd w:id="6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1973</w:t>
            </w:r>
          </w:p>
        </w:tc>
        <w:tc>
          <w:tcPr>
            <w:tcW w:w="1134" w:type="dxa"/>
          </w:tcPr>
          <w:p>
            <w:pPr>
              <w:pStyle w:val="nTable"/>
              <w:spacing w:after="40"/>
            </w:pPr>
            <w:r>
              <w:t>36 of 1973</w:t>
            </w:r>
          </w:p>
        </w:tc>
        <w:tc>
          <w:tcPr>
            <w:tcW w:w="1134" w:type="dxa"/>
          </w:tcPr>
          <w:p>
            <w:pPr>
              <w:pStyle w:val="nTable"/>
              <w:spacing w:after="40"/>
            </w:pPr>
            <w:r>
              <w:t>18 Oct 1973</w:t>
            </w:r>
          </w:p>
        </w:tc>
        <w:tc>
          <w:tcPr>
            <w:tcW w:w="2552" w:type="dxa"/>
          </w:tcPr>
          <w:p>
            <w:pPr>
              <w:pStyle w:val="nTable"/>
              <w:spacing w:after="40"/>
            </w:pPr>
            <w:r>
              <w:t>1 Jul 1974 (see s. 2 and </w:t>
            </w:r>
            <w:r>
              <w:rPr>
                <w:i/>
              </w:rPr>
              <w:t>Gazette</w:t>
            </w:r>
            <w:r>
              <w:t xml:space="preserve"> 29 Mar 1974 p. 1027)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1976</w:t>
            </w:r>
          </w:p>
        </w:tc>
        <w:tc>
          <w:tcPr>
            <w:tcW w:w="1134" w:type="dxa"/>
          </w:tcPr>
          <w:p>
            <w:pPr>
              <w:pStyle w:val="nTable"/>
              <w:spacing w:after="40"/>
            </w:pPr>
            <w:r>
              <w:t>61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Act Amendment Act 1978</w:t>
            </w:r>
          </w:p>
        </w:tc>
        <w:tc>
          <w:tcPr>
            <w:tcW w:w="1134" w:type="dxa"/>
          </w:tcPr>
          <w:p>
            <w:pPr>
              <w:pStyle w:val="nTable"/>
              <w:spacing w:after="40"/>
            </w:pPr>
            <w:r>
              <w:t>54 of 1978</w:t>
            </w:r>
          </w:p>
        </w:tc>
        <w:tc>
          <w:tcPr>
            <w:tcW w:w="1134" w:type="dxa"/>
          </w:tcPr>
          <w:p>
            <w:pPr>
              <w:pStyle w:val="nTable"/>
              <w:spacing w:after="40"/>
            </w:pPr>
            <w:r>
              <w:t>6 Sep 1978</w:t>
            </w:r>
          </w:p>
        </w:tc>
        <w:tc>
          <w:tcPr>
            <w:tcW w:w="2552" w:type="dxa"/>
          </w:tcPr>
          <w:p>
            <w:pPr>
              <w:pStyle w:val="nTable"/>
              <w:spacing w:after="40"/>
            </w:pPr>
            <w:r>
              <w:t>6 Sep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1980</w:t>
            </w:r>
          </w:p>
        </w:tc>
        <w:tc>
          <w:tcPr>
            <w:tcW w:w="1134" w:type="dxa"/>
          </w:tcPr>
          <w:p>
            <w:pPr>
              <w:pStyle w:val="nTable"/>
              <w:spacing w:after="40"/>
            </w:pPr>
            <w:r>
              <w:t>35 of 1980</w:t>
            </w:r>
          </w:p>
        </w:tc>
        <w:tc>
          <w:tcPr>
            <w:tcW w:w="1134" w:type="dxa"/>
          </w:tcPr>
          <w:p>
            <w:pPr>
              <w:pStyle w:val="nTable"/>
              <w:spacing w:after="40"/>
            </w:pPr>
            <w:r>
              <w:t>5 Nov 1980</w:t>
            </w:r>
          </w:p>
        </w:tc>
        <w:tc>
          <w:tcPr>
            <w:tcW w:w="2552" w:type="dxa"/>
          </w:tcPr>
          <w:p>
            <w:pPr>
              <w:pStyle w:val="nTable"/>
              <w:spacing w:after="40"/>
            </w:pPr>
            <w:r>
              <w:t xml:space="preserve">24 Jul 1981 (see s. 2 and </w:t>
            </w:r>
            <w:r>
              <w:rPr>
                <w:i/>
              </w:rPr>
              <w:t>Gazette</w:t>
            </w:r>
            <w:r>
              <w:t xml:space="preserve"> 24 Jul 1981 p. 3060)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1983</w:t>
            </w:r>
          </w:p>
        </w:tc>
        <w:tc>
          <w:tcPr>
            <w:tcW w:w="1134" w:type="dxa"/>
          </w:tcPr>
          <w:p>
            <w:pPr>
              <w:pStyle w:val="nTable"/>
              <w:spacing w:after="40"/>
            </w:pPr>
            <w:r>
              <w:t>3 of 1983</w:t>
            </w:r>
          </w:p>
        </w:tc>
        <w:tc>
          <w:tcPr>
            <w:tcW w:w="1134" w:type="dxa"/>
          </w:tcPr>
          <w:p>
            <w:pPr>
              <w:pStyle w:val="nTable"/>
              <w:spacing w:after="40"/>
            </w:pPr>
            <w:r>
              <w:t>1 Aug 1983</w:t>
            </w:r>
          </w:p>
        </w:tc>
        <w:tc>
          <w:tcPr>
            <w:tcW w:w="2552" w:type="dxa"/>
          </w:tcPr>
          <w:p>
            <w:pPr>
              <w:pStyle w:val="nTable"/>
              <w:spacing w:after="40"/>
            </w:pPr>
            <w:r>
              <w:t>1 Aug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(Financial Administration and Audit) Act 1985</w:t>
            </w:r>
            <w:r>
              <w:t xml:space="preserve"> s. 3</w:t>
            </w:r>
            <w:r>
              <w:rPr>
                <w:vertAlign w:val="superscript"/>
              </w:rPr>
              <w:t> 2</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1987</w:t>
            </w:r>
          </w:p>
        </w:tc>
        <w:tc>
          <w:tcPr>
            <w:tcW w:w="1134" w:type="dxa"/>
          </w:tcPr>
          <w:p>
            <w:pPr>
              <w:pStyle w:val="nTable"/>
              <w:spacing w:after="40"/>
            </w:pPr>
            <w:r>
              <w:t>70 of 1987</w:t>
            </w:r>
          </w:p>
        </w:tc>
        <w:tc>
          <w:tcPr>
            <w:tcW w:w="1134" w:type="dxa"/>
          </w:tcPr>
          <w:p>
            <w:pPr>
              <w:pStyle w:val="nTable"/>
              <w:spacing w:after="40"/>
            </w:pPr>
            <w:r>
              <w:t>22 Nov 1987</w:t>
            </w:r>
          </w:p>
        </w:tc>
        <w:tc>
          <w:tcPr>
            <w:tcW w:w="2552" w:type="dxa"/>
          </w:tcPr>
          <w:p>
            <w:pPr>
              <w:pStyle w:val="nTable"/>
              <w:spacing w:after="40"/>
            </w:pPr>
            <w:r>
              <w:t>s. 1 and 2: 22 Nov 1987;</w:t>
            </w:r>
            <w:r>
              <w:br/>
              <w:t xml:space="preserve">Act other than s. 1 and 2: 1 Oct 1989 (see s. 2 and </w:t>
            </w:r>
            <w:r>
              <w:rPr>
                <w:i/>
              </w:rPr>
              <w:t>Gazette</w:t>
            </w:r>
            <w:r>
              <w:t xml:space="preserve"> 29 Sep 1989 p. 3665)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2" w:type="dxa"/>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1994</w:t>
            </w:r>
          </w:p>
        </w:tc>
        <w:tc>
          <w:tcPr>
            <w:tcW w:w="1134" w:type="dxa"/>
          </w:tcPr>
          <w:p>
            <w:pPr>
              <w:pStyle w:val="nTable"/>
              <w:spacing w:after="40"/>
            </w:pPr>
            <w:r>
              <w:t>90 of 1994</w:t>
            </w:r>
          </w:p>
        </w:tc>
        <w:tc>
          <w:tcPr>
            <w:tcW w:w="1134" w:type="dxa"/>
          </w:tcPr>
          <w:p>
            <w:pPr>
              <w:pStyle w:val="nTable"/>
              <w:spacing w:after="40"/>
            </w:pPr>
            <w:r>
              <w:t>5 Jan 1995</w:t>
            </w:r>
          </w:p>
        </w:tc>
        <w:tc>
          <w:tcPr>
            <w:tcW w:w="2552"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Security and Related Activities (Control) Act 1996 </w:t>
            </w:r>
            <w:r>
              <w:t>s. 96</w:t>
            </w:r>
          </w:p>
        </w:tc>
        <w:tc>
          <w:tcPr>
            <w:tcW w:w="1134" w:type="dxa"/>
          </w:tcPr>
          <w:p>
            <w:pPr>
              <w:pStyle w:val="nTable"/>
              <w:spacing w:after="40"/>
            </w:pPr>
            <w:r>
              <w:t>27 of 1996</w:t>
            </w:r>
          </w:p>
        </w:tc>
        <w:tc>
          <w:tcPr>
            <w:tcW w:w="1134"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Firearms Amendment Act 1996</w:t>
            </w:r>
            <w:r>
              <w:rPr>
                <w:i/>
                <w:vertAlign w:val="superscript"/>
              </w:rPr>
              <w:t> </w:t>
            </w:r>
            <w:r>
              <w:rPr>
                <w:vertAlign w:val="superscript"/>
              </w:rPr>
              <w:t>3</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4" w:type="dxa"/>
          </w:tcPr>
          <w:p>
            <w:pPr>
              <w:pStyle w:val="nTable"/>
              <w:spacing w:after="40"/>
            </w:pPr>
            <w:r>
              <w:t>16 Jun 1999</w:t>
            </w:r>
          </w:p>
        </w:tc>
        <w:tc>
          <w:tcPr>
            <w:tcW w:w="2552" w:type="dxa"/>
          </w:tcPr>
          <w:p>
            <w:pPr>
              <w:pStyle w:val="nTable"/>
              <w:spacing w:after="40"/>
            </w:pPr>
            <w:r>
              <w:t xml:space="preserve">1 Sep 1999 (see s. 2(1) and </w:t>
            </w:r>
            <w:r>
              <w:rPr>
                <w:i/>
              </w:rPr>
              <w:t>Gazette</w:t>
            </w:r>
            <w:r>
              <w:t xml:space="preserve"> 31 Aug 1999 p. 4235)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lastRenderedPageBreak/>
              <w:t>State Administrative Tribunal (Conferral of Jurisdiction) Amendment and Repeal Act 2004</w:t>
            </w:r>
            <w:r>
              <w:t xml:space="preserve"> Pt. 2 Div. 49</w:t>
            </w:r>
            <w:r>
              <w:rPr>
                <w:vertAlign w:val="superscript"/>
              </w:rPr>
              <w:t> 5, 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Firearms Amendment Act 2004</w:t>
            </w:r>
            <w:r>
              <w:rPr>
                <w:vertAlign w:val="superscript"/>
              </w:rPr>
              <w:t> 7, 8</w:t>
            </w:r>
          </w:p>
        </w:tc>
        <w:tc>
          <w:tcPr>
            <w:tcW w:w="1134" w:type="dxa"/>
          </w:tcPr>
          <w:p>
            <w:pPr>
              <w:pStyle w:val="nTable"/>
              <w:spacing w:after="40"/>
            </w:pPr>
            <w:r>
              <w:t>69 of 2004 (as amended by No. 8 of 2009 s. 59)</w:t>
            </w:r>
          </w:p>
        </w:tc>
        <w:tc>
          <w:tcPr>
            <w:tcW w:w="1134" w:type="dxa"/>
          </w:tcPr>
          <w:p>
            <w:pPr>
              <w:pStyle w:val="nTable"/>
              <w:spacing w:after="40"/>
            </w:pPr>
            <w:r>
              <w:t>8 Dec 2004</w:t>
            </w:r>
          </w:p>
        </w:tc>
        <w:tc>
          <w:tcPr>
            <w:tcW w:w="2552"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4" w:type="dxa"/>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4"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9</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4" w:type="dxa"/>
            <w:tcBorders>
              <w:top w:val="nil"/>
              <w:left w:val="nil"/>
              <w:bottom w:val="nil"/>
              <w:right w:val="nil"/>
            </w:tcBorders>
          </w:tcPr>
          <w:p>
            <w:pPr>
              <w:pStyle w:val="nTable"/>
              <w:spacing w:after="40"/>
              <w:rPr>
                <w:snapToGrid w:val="0"/>
              </w:rPr>
            </w:pPr>
            <w:r>
              <w:rPr>
                <w:snapToGrid w:val="0"/>
              </w:rPr>
              <w:t>12 Oct 2007</w:t>
            </w:r>
          </w:p>
        </w:tc>
        <w:tc>
          <w:tcPr>
            <w:tcW w:w="2552"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4" w:type="dxa"/>
          </w:tcPr>
          <w:p>
            <w:pPr>
              <w:pStyle w:val="nTable"/>
              <w:spacing w:after="40"/>
              <w:rPr>
                <w:snapToGrid w:val="0"/>
              </w:rPr>
            </w:pPr>
            <w: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Borders>
              <w:top w:val="nil"/>
              <w:bottom w:val="nil"/>
            </w:tcBorders>
          </w:tcPr>
          <w:p>
            <w:pPr>
              <w:pStyle w:val="nTable"/>
              <w:spacing w:after="40"/>
              <w:rPr>
                <w:snapToGrid w:val="0"/>
              </w:rPr>
            </w:pPr>
            <w:r>
              <w:rPr>
                <w:b/>
                <w:bCs/>
                <w:snapToGrid w:val="0"/>
              </w:rPr>
              <w:lastRenderedPageBreak/>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c>
          <w:tcPr>
            <w:tcW w:w="2268"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snapToGrid w:val="0"/>
              </w:rPr>
            </w:pPr>
            <w:r>
              <w:rPr>
                <w:snapToGrid w:val="0"/>
              </w:rPr>
              <w:t>22 May 2009 (see s. 2(b))</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4" w:type="dxa"/>
            <w:tcBorders>
              <w:top w:val="nil"/>
              <w:bottom w:val="nil"/>
            </w:tcBorders>
            <w:shd w:val="clear" w:color="auto" w:fill="auto"/>
          </w:tcPr>
          <w:p>
            <w:pPr>
              <w:pStyle w:val="nTable"/>
              <w:spacing w:after="40"/>
              <w:rPr>
                <w:snapToGrid w:val="0"/>
              </w:rPr>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r>
        <w:tc>
          <w:tcPr>
            <w:tcW w:w="2268" w:type="dxa"/>
            <w:tcBorders>
              <w:top w:val="nil"/>
              <w:bottom w:val="nil"/>
            </w:tcBorders>
            <w:shd w:val="clear" w:color="auto" w:fill="auto"/>
          </w:tcPr>
          <w:p>
            <w:pPr>
              <w:pStyle w:val="nTable"/>
              <w:spacing w:after="40"/>
              <w:rPr>
                <w:i/>
                <w:snapToGrid w:val="0"/>
              </w:rPr>
            </w:pPr>
            <w:r>
              <w:rPr>
                <w:i/>
                <w:snapToGrid w:val="0"/>
              </w:rPr>
              <w:t>Biodiversity Conservation Act 2016</w:t>
            </w:r>
            <w:r>
              <w:rPr>
                <w:snapToGrid w:val="0"/>
              </w:rPr>
              <w:t xml:space="preserve"> s. 316</w:t>
            </w:r>
          </w:p>
        </w:tc>
        <w:tc>
          <w:tcPr>
            <w:tcW w:w="1134" w:type="dxa"/>
            <w:tcBorders>
              <w:top w:val="nil"/>
              <w:bottom w:val="nil"/>
            </w:tcBorders>
            <w:shd w:val="clear" w:color="auto" w:fill="auto"/>
          </w:tcPr>
          <w:p>
            <w:pPr>
              <w:pStyle w:val="nTable"/>
              <w:spacing w:after="40"/>
              <w:rPr>
                <w:snapToGrid w:val="0"/>
              </w:rPr>
            </w:pPr>
            <w:r>
              <w:t>24 of 2016</w:t>
            </w:r>
          </w:p>
        </w:tc>
        <w:tc>
          <w:tcPr>
            <w:tcW w:w="1134" w:type="dxa"/>
            <w:tcBorders>
              <w:top w:val="nil"/>
              <w:bottom w:val="nil"/>
            </w:tcBorders>
            <w:shd w:val="clear" w:color="auto" w:fill="auto"/>
          </w:tcPr>
          <w:p>
            <w:pPr>
              <w:pStyle w:val="nTable"/>
              <w:spacing w:after="40"/>
              <w:rPr>
                <w:snapToGrid w:val="0"/>
              </w:rPr>
            </w:pPr>
            <w:r>
              <w:t>21 Sep 2016</w:t>
            </w:r>
          </w:p>
        </w:tc>
        <w:tc>
          <w:tcPr>
            <w:tcW w:w="2552" w:type="dxa"/>
            <w:tcBorders>
              <w:top w:val="nil"/>
              <w:bottom w:val="nil"/>
            </w:tcBorders>
            <w:shd w:val="clear" w:color="auto" w:fill="auto"/>
          </w:tcPr>
          <w:p>
            <w:pPr>
              <w:pStyle w:val="nTable"/>
              <w:spacing w:after="40"/>
              <w:rPr>
                <w:snapToGrid w:val="0"/>
              </w:rPr>
            </w:pPr>
            <w:r>
              <w:t xml:space="preserve">1 Jan 2019 (see s. 2(b) and </w:t>
            </w:r>
            <w:r>
              <w:rPr>
                <w:i/>
              </w:rPr>
              <w:t>Gazette</w:t>
            </w:r>
            <w:r>
              <w:t xml:space="preserve"> 14 Sep 2018 p. 3305)</w:t>
            </w:r>
          </w:p>
        </w:tc>
      </w:tr>
      <w:tr>
        <w:tc>
          <w:tcPr>
            <w:tcW w:w="2268" w:type="dxa"/>
            <w:tcBorders>
              <w:top w:val="nil"/>
              <w:bottom w:val="single" w:sz="8" w:space="0" w:color="auto"/>
            </w:tcBorders>
            <w:shd w:val="clear" w:color="auto" w:fill="auto"/>
          </w:tcPr>
          <w:p>
            <w:pPr>
              <w:pStyle w:val="nTable"/>
              <w:spacing w:after="40"/>
              <w:rPr>
                <w:i/>
                <w:snapToGrid w:val="0"/>
              </w:rPr>
            </w:pPr>
            <w:r>
              <w:rPr>
                <w:i/>
              </w:rPr>
              <w:t>Health Practitioner Regulation National Law (WA) Amendment Act 2018</w:t>
            </w:r>
            <w:r>
              <w:t xml:space="preserve"> s. 110</w:t>
            </w:r>
          </w:p>
        </w:tc>
        <w:tc>
          <w:tcPr>
            <w:tcW w:w="1134" w:type="dxa"/>
            <w:tcBorders>
              <w:top w:val="nil"/>
              <w:bottom w:val="single" w:sz="8" w:space="0" w:color="auto"/>
            </w:tcBorders>
            <w:shd w:val="clear" w:color="auto" w:fill="auto"/>
          </w:tcPr>
          <w:p>
            <w:pPr>
              <w:pStyle w:val="nTable"/>
              <w:spacing w:after="40"/>
              <w:rPr>
                <w:snapToGrid w:val="0"/>
              </w:rPr>
            </w:pPr>
            <w:r>
              <w:t>4 of 2018</w:t>
            </w:r>
          </w:p>
        </w:tc>
        <w:tc>
          <w:tcPr>
            <w:tcW w:w="1134" w:type="dxa"/>
            <w:tcBorders>
              <w:top w:val="nil"/>
              <w:bottom w:val="single" w:sz="8" w:space="0" w:color="auto"/>
            </w:tcBorders>
            <w:shd w:val="clear" w:color="auto" w:fill="auto"/>
          </w:tcPr>
          <w:p>
            <w:pPr>
              <w:pStyle w:val="nTable"/>
              <w:spacing w:after="40"/>
              <w:rPr>
                <w:snapToGrid w:val="0"/>
              </w:rPr>
            </w:pPr>
            <w:r>
              <w:t>19 Apr 2018</w:t>
            </w:r>
          </w:p>
        </w:tc>
        <w:tc>
          <w:tcPr>
            <w:tcW w:w="2552" w:type="dxa"/>
            <w:tcBorders>
              <w:top w:val="nil"/>
              <w:bottom w:val="single" w:sz="8" w:space="0" w:color="auto"/>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62" w:name="_Toc103863990"/>
      <w:r>
        <w:t>Uncommenced provisions table</w:t>
      </w:r>
      <w:bookmarkEnd w:id="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Firearms Amendment Act 2022</w:t>
            </w:r>
            <w:r>
              <w:t xml:space="preserve"> Pt. 2</w:t>
            </w:r>
          </w:p>
        </w:tc>
        <w:tc>
          <w:tcPr>
            <w:tcW w:w="1134" w:type="dxa"/>
          </w:tcPr>
          <w:p>
            <w:pPr>
              <w:pStyle w:val="nTable"/>
              <w:spacing w:after="40"/>
            </w:pPr>
            <w:r>
              <w:t>13 of 2022</w:t>
            </w:r>
          </w:p>
        </w:tc>
        <w:tc>
          <w:tcPr>
            <w:tcW w:w="1134" w:type="dxa"/>
          </w:tcPr>
          <w:p>
            <w:pPr>
              <w:pStyle w:val="nTable"/>
              <w:spacing w:after="40"/>
            </w:pPr>
            <w:r>
              <w:t>18 May 2022</w:t>
            </w:r>
          </w:p>
        </w:tc>
        <w:tc>
          <w:tcPr>
            <w:tcW w:w="2552" w:type="dxa"/>
          </w:tcPr>
          <w:p>
            <w:pPr>
              <w:pStyle w:val="nTable"/>
              <w:spacing w:after="40"/>
            </w:pPr>
            <w:r>
              <w:t>s. 42(8): 15 Jun 2022 (see s. 2(b));</w:t>
            </w:r>
            <w:r>
              <w:br/>
              <w:t>Pt. 2 other than s. 42(8): to be proclaimed (see s. 2(c))</w:t>
            </w:r>
          </w:p>
        </w:tc>
      </w:tr>
    </w:tbl>
    <w:p>
      <w:pPr>
        <w:pStyle w:val="nHeading3"/>
      </w:pPr>
      <w:bookmarkStart w:id="63" w:name="_Toc103863991"/>
      <w:r>
        <w:t>Other notes</w:t>
      </w:r>
      <w:bookmarkEnd w:id="63"/>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Note"/>
        <w:rPr>
          <w:snapToGrid w:val="0"/>
        </w:rPr>
      </w:pPr>
      <w:r>
        <w:rPr>
          <w:snapToGrid w:val="0"/>
          <w:vertAlign w:val="superscript"/>
        </w:rPr>
        <w:lastRenderedPageBreak/>
        <w:t>3</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Note"/>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Note"/>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Note"/>
      </w:pPr>
      <w:r>
        <w:rPr>
          <w:vertAlign w:val="superscript"/>
        </w:rPr>
        <w:t>7</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Note"/>
        <w:rPr>
          <w:snapToGrid w:val="0"/>
        </w:rPr>
      </w:pPr>
      <w:r>
        <w:rPr>
          <w:snapToGrid w:val="0"/>
          <w:vertAlign w:val="superscript"/>
        </w:rPr>
        <w:t>8</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Note"/>
      </w:pPr>
      <w:r>
        <w:rPr>
          <w:snapToGrid w:val="0"/>
          <w:vertAlign w:val="superscript"/>
        </w:rPr>
        <w:t>9</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5" w:name="_Toc103862507"/>
      <w:bookmarkStart w:id="66" w:name="_Toc103863992"/>
      <w:r>
        <w:rPr>
          <w:sz w:val="28"/>
        </w:rPr>
        <w:lastRenderedPageBreak/>
        <w:t>Defined terms</w:t>
      </w:r>
      <w:bookmarkEnd w:id="60"/>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violence restraining order</w:t>
      </w:r>
      <w:r>
        <w:tab/>
        <w:t>11(4), 27A(2)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EA1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1E1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5840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6E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E1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03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 w:name="WAFER_202205191410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41030_GUID" w:val="d23a3b3b-d781-417f-980e-c1c01b5f06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351D7990-DB91-477A-9BCA-79544793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EF05-71CB-44EA-A47E-0337C172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21134</Words>
  <Characters>98912</Characters>
  <Application>Microsoft Office Word</Application>
  <DocSecurity>0</DocSecurity>
  <Lines>2747</Lines>
  <Paragraphs>1348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1973 - 06-f0-00</dc:title>
  <dc:subject/>
  <dc:creator/>
  <cp:keywords/>
  <dc:description/>
  <cp:lastModifiedBy>Master Repository Process</cp:lastModifiedBy>
  <cp:revision>4</cp:revision>
  <cp:lastPrinted>2015-02-24T07:12:00Z</cp:lastPrinted>
  <dcterms:created xsi:type="dcterms:W3CDTF">2022-05-19T07:21:00Z</dcterms:created>
  <dcterms:modified xsi:type="dcterms:W3CDTF">2022-05-19T07:21:00Z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18 May 2022</vt:lpwstr>
  </property>
  <property fmtid="{D5CDD505-2E9C-101B-9397-08002B2CF9AE}" pid="8" name="Suffix">
    <vt:lpwstr>06-f0-00</vt:lpwstr>
  </property>
  <property fmtid="{D5CDD505-2E9C-101B-9397-08002B2CF9AE}" pid="9" name="CommencementDate">
    <vt:lpwstr>20220518</vt:lpwstr>
  </property>
</Properties>
</file>