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_Toc103776313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_Toc103776314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_Toc103776315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_Toc103776316 \h </w:instrText>
      </w:r>
      <w:r>
        <w:fldChar w:fldCharType="separate"/>
      </w:r>
      <w:r>
        <w:t>5</w:t>
      </w:r>
      <w:r>
        <w:fldChar w:fldCharType="end"/>
      </w:r>
    </w:p>
    <w:p>
      <w:pPr>
        <w:pStyle w:val="TOC8"/>
        <w:rPr>
          <w:rFonts w:asciiTheme="minorHAnsi" w:eastAsiaTheme="minorEastAsia" w:hAnsiTheme="minorHAnsi" w:cstheme="minorBidi"/>
          <w:szCs w:val="22"/>
        </w:rPr>
      </w:pPr>
      <w:r>
        <w:t>4AA.</w:t>
      </w:r>
      <w:r>
        <w:tab/>
        <w:t>Term used: private generating plant</w:t>
      </w:r>
      <w:r>
        <w:tab/>
      </w:r>
      <w:r>
        <w:fldChar w:fldCharType="begin"/>
      </w:r>
      <w:r>
        <w:instrText xml:space="preserve"> PAGEREF _Toc103776317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_Toc103776320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_Toc103776321 \h </w:instrText>
      </w:r>
      <w:r>
        <w:fldChar w:fldCharType="separate"/>
      </w:r>
      <w:r>
        <w:t>8</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_Toc103776322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_Toc103776323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_Toc103776324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_Toc103776325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_Toc103776326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_Toc103776327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_Toc103776328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Functions of Board</w:t>
      </w:r>
      <w:r>
        <w:tab/>
      </w:r>
      <w:r>
        <w:fldChar w:fldCharType="begin"/>
      </w:r>
      <w:r>
        <w:instrText xml:space="preserve"> PAGEREF _Toc103776329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_Toc103776330 \h </w:instrText>
      </w:r>
      <w:r>
        <w:fldChar w:fldCharType="separate"/>
      </w:r>
      <w:r>
        <w:t>17</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_Toc103776331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_Toc103776333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Electrical worker’s licence, types and effect of</w:t>
      </w:r>
      <w:r>
        <w:tab/>
      </w:r>
      <w:r>
        <w:fldChar w:fldCharType="begin"/>
      </w:r>
      <w:r>
        <w:instrText xml:space="preserve"> PAGEREF _Toc103776334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_Toc103776335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_Toc103776336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_Toc103776337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_Toc103776338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_Toc103776339 \h </w:instrText>
      </w:r>
      <w:r>
        <w:fldChar w:fldCharType="separate"/>
      </w:r>
      <w:r>
        <w:t>30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_Toc103776340 \h </w:instrText>
      </w:r>
      <w:r>
        <w:fldChar w:fldCharType="separate"/>
      </w:r>
      <w:r>
        <w:t>31</w:t>
      </w:r>
      <w:r>
        <w:fldChar w:fldCharType="end"/>
      </w:r>
    </w:p>
    <w:p>
      <w:pPr>
        <w:pStyle w:val="TOC8"/>
        <w:rPr>
          <w:rFonts w:asciiTheme="minorHAnsi" w:eastAsiaTheme="minorEastAsia" w:hAnsiTheme="minorHAnsi" w:cstheme="minorBidi"/>
          <w:szCs w:val="22"/>
        </w:rPr>
      </w:pPr>
      <w:r>
        <w:t>28.</w:t>
      </w:r>
      <w:r>
        <w:tab/>
        <w:t>Contact details</w:t>
      </w:r>
      <w:r>
        <w:tab/>
      </w:r>
      <w:r>
        <w:fldChar w:fldCharType="begin"/>
      </w:r>
      <w:r>
        <w:instrText xml:space="preserve"> PAGEREF _Toc103776341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_Toc103776342 \h </w:instrText>
      </w:r>
      <w:r>
        <w:fldChar w:fldCharType="separate"/>
      </w:r>
      <w:r>
        <w:t>32</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_Toc103776343 \h </w:instrText>
      </w:r>
      <w:r>
        <w:fldChar w:fldCharType="separate"/>
      </w:r>
      <w:r>
        <w:t>33</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_Toc103776344 \h </w:instrText>
      </w:r>
      <w:r>
        <w:fldChar w:fldCharType="separate"/>
      </w:r>
      <w:r>
        <w:t>35</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_Toc103776345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_Toc103776346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_Toc103776348 \h </w:instrText>
      </w:r>
      <w:r>
        <w:fldChar w:fldCharType="separate"/>
      </w:r>
      <w:r>
        <w:t>39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_Toc103776349 \h </w:instrText>
      </w:r>
      <w:r>
        <w:fldChar w:fldCharType="separate"/>
      </w:r>
      <w:r>
        <w:t>40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_Toc103776350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_Toc103776351 \h </w:instrText>
      </w:r>
      <w:r>
        <w:fldChar w:fldCharType="separate"/>
      </w:r>
      <w:r>
        <w:t>40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_Toc103776352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_Toc103776353 \h </w:instrText>
      </w:r>
      <w:r>
        <w:fldChar w:fldCharType="separate"/>
      </w:r>
      <w:r>
        <w:t>44</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_Toc103776354 \h </w:instrText>
      </w:r>
      <w:r>
        <w:fldChar w:fldCharType="separate"/>
      </w:r>
      <w:r>
        <w:t>45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_Toc103776355 \h </w:instrText>
      </w:r>
      <w:r>
        <w:fldChar w:fldCharType="separate"/>
      </w:r>
      <w:r>
        <w:t>46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_Toc103776356 \h </w:instrText>
      </w:r>
      <w:r>
        <w:fldChar w:fldCharType="separate"/>
      </w:r>
      <w:r>
        <w:t>46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_Toc103776357 \h </w:instrText>
      </w:r>
      <w:r>
        <w:fldChar w:fldCharType="separate"/>
      </w:r>
      <w:r>
        <w:t>47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_Toc103776358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_Toc103776359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_Toc103776360 \h </w:instrText>
      </w:r>
      <w:r>
        <w:fldChar w:fldCharType="separate"/>
      </w:r>
      <w:r>
        <w:t>48</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_Toc103776361 \h </w:instrText>
      </w:r>
      <w:r>
        <w:fldChar w:fldCharType="separate"/>
      </w:r>
      <w:r>
        <w:t>49</w:t>
      </w:r>
      <w:r>
        <w:fldChar w:fldCharType="end"/>
      </w:r>
    </w:p>
    <w:p>
      <w:pPr>
        <w:pStyle w:val="TOC8"/>
        <w:rPr>
          <w:rFonts w:asciiTheme="minorHAnsi" w:eastAsiaTheme="minorEastAsia" w:hAnsiTheme="minorHAnsi" w:cstheme="minorBidi"/>
          <w:szCs w:val="22"/>
        </w:rPr>
      </w:pPr>
      <w:r>
        <w:lastRenderedPageBreak/>
        <w:t>45</w:t>
      </w:r>
      <w:r>
        <w:rPr>
          <w:snapToGrid w:val="0"/>
        </w:rPr>
        <w:t>.</w:t>
      </w:r>
      <w:r>
        <w:rPr>
          <w:snapToGrid w:val="0"/>
        </w:rPr>
        <w:tab/>
        <w:t>Place of business, display of licence at and change of etc.</w:t>
      </w:r>
      <w:r>
        <w:tab/>
      </w:r>
      <w:r>
        <w:fldChar w:fldCharType="begin"/>
      </w:r>
      <w:r>
        <w:instrText xml:space="preserve"> PAGEREF _Toc103776362 \h </w:instrText>
      </w:r>
      <w:r>
        <w:fldChar w:fldCharType="separate"/>
      </w:r>
      <w:r>
        <w:t>49</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_Toc103776363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_Toc103776364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_Toc103776365 \h </w:instrText>
      </w:r>
      <w:r>
        <w:fldChar w:fldCharType="separate"/>
      </w:r>
      <w:r>
        <w:t>52</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_Toc103776366 \h </w:instrText>
      </w:r>
      <w:r>
        <w:fldChar w:fldCharType="separate"/>
      </w:r>
      <w:r>
        <w:t>54</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_Toc103776367 \h </w:instrText>
      </w:r>
      <w:r>
        <w:fldChar w:fldCharType="separate"/>
      </w:r>
      <w:r>
        <w:t>55</w:t>
      </w:r>
      <w:r>
        <w:fldChar w:fldCharType="end"/>
      </w:r>
    </w:p>
    <w:p>
      <w:pPr>
        <w:pStyle w:val="TOC8"/>
        <w:rPr>
          <w:rFonts w:asciiTheme="minorHAnsi" w:eastAsiaTheme="minorEastAsia" w:hAnsiTheme="minorHAnsi" w:cstheme="minorBidi"/>
          <w:szCs w:val="22"/>
        </w:rPr>
      </w:pPr>
      <w:r>
        <w:t>47C.</w:t>
      </w:r>
      <w:r>
        <w:tab/>
        <w:t>Nominees to be notified of cancellation or suspension of licence</w:t>
      </w:r>
      <w:r>
        <w:tab/>
      </w:r>
      <w:r>
        <w:fldChar w:fldCharType="begin"/>
      </w:r>
      <w:r>
        <w:instrText xml:space="preserve"> PAGEREF _Toc103776368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4"/>
        <w:tabs>
          <w:tab w:val="right" w:leader="dot" w:pos="7077"/>
        </w:tabs>
        <w:rPr>
          <w:rFonts w:asciiTheme="minorHAnsi" w:eastAsiaTheme="minorEastAsia" w:hAnsiTheme="minorHAnsi" w:cstheme="minorBidi"/>
          <w:b w:val="0"/>
          <w:szCs w:val="22"/>
        </w:rPr>
      </w:pPr>
      <w:r>
        <w:t>Division 1 — General regulation of electrical work</w:t>
      </w:r>
    </w:p>
    <w:p>
      <w:pPr>
        <w:pStyle w:val="TOC8"/>
        <w:rPr>
          <w:rFonts w:asciiTheme="minorHAnsi" w:eastAsiaTheme="minorEastAsia" w:hAnsiTheme="minorHAnsi" w:cstheme="minorBidi"/>
          <w:szCs w:val="22"/>
        </w:rPr>
      </w:pPr>
      <w:r>
        <w:t>49</w:t>
      </w:r>
      <w:r>
        <w:rPr>
          <w:snapToGrid w:val="0"/>
        </w:rPr>
        <w:t>.</w:t>
      </w:r>
      <w:r>
        <w:rPr>
          <w:snapToGrid w:val="0"/>
        </w:rPr>
        <w:tab/>
      </w:r>
      <w:r>
        <w:t>Requirements for electrical work</w:t>
      </w:r>
      <w:r>
        <w:tab/>
      </w:r>
      <w:r>
        <w:fldChar w:fldCharType="begin"/>
      </w:r>
      <w:r>
        <w:instrText xml:space="preserve"> PAGEREF _Toc103776371 \h </w:instrText>
      </w:r>
      <w:r>
        <w:fldChar w:fldCharType="separate"/>
      </w:r>
      <w:r>
        <w:t>57</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_Toc103776372 \h </w:instrText>
      </w:r>
      <w:r>
        <w:fldChar w:fldCharType="separate"/>
      </w:r>
      <w:r>
        <w:t>58</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_Toc103776373 \h </w:instrText>
      </w:r>
      <w:r>
        <w:fldChar w:fldCharType="separate"/>
      </w:r>
      <w:r>
        <w:t>59</w:t>
      </w:r>
      <w:r>
        <w:fldChar w:fldCharType="end"/>
      </w:r>
    </w:p>
    <w:p>
      <w:pPr>
        <w:pStyle w:val="TOC8"/>
        <w:rPr>
          <w:rFonts w:asciiTheme="minorHAnsi" w:eastAsiaTheme="minorEastAsia" w:hAnsiTheme="minorHAnsi" w:cstheme="minorBidi"/>
          <w:szCs w:val="22"/>
        </w:rPr>
      </w:pPr>
      <w:r>
        <w:t>49C.</w:t>
      </w:r>
      <w:r>
        <w:tab/>
        <w:t>Supervision of electrical work: interpretation</w:t>
      </w:r>
      <w:r>
        <w:tab/>
      </w:r>
      <w:r>
        <w:fldChar w:fldCharType="begin"/>
      </w:r>
      <w:r>
        <w:instrText xml:space="preserve"> PAGEREF _Toc103776374 \h </w:instrText>
      </w:r>
      <w:r>
        <w:fldChar w:fldCharType="separate"/>
      </w:r>
      <w:r>
        <w:t>59</w:t>
      </w:r>
      <w:r>
        <w:fldChar w:fldCharType="end"/>
      </w:r>
    </w:p>
    <w:p>
      <w:pPr>
        <w:pStyle w:val="TOC8"/>
        <w:rPr>
          <w:rFonts w:asciiTheme="minorHAnsi" w:eastAsiaTheme="minorEastAsia" w:hAnsiTheme="minorHAnsi" w:cstheme="minorBidi"/>
          <w:szCs w:val="22"/>
        </w:rPr>
      </w:pPr>
      <w:r>
        <w:t>49D.</w:t>
      </w:r>
      <w:r>
        <w:tab/>
        <w:t>Supervision of electrical work: levels of supervision</w:t>
      </w:r>
      <w:r>
        <w:tab/>
      </w:r>
      <w:r>
        <w:fldChar w:fldCharType="begin"/>
      </w:r>
      <w:r>
        <w:instrText xml:space="preserve"> PAGEREF _Toc103776375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Supervision of electrical work: requirements</w:t>
      </w:r>
      <w:r>
        <w:tab/>
      </w:r>
      <w:r>
        <w:fldChar w:fldCharType="begin"/>
      </w:r>
      <w:r>
        <w:instrText xml:space="preserve"> PAGEREF _Toc103776376 \h </w:instrText>
      </w:r>
      <w:r>
        <w:fldChar w:fldCharType="separate"/>
      </w:r>
      <w:r>
        <w:t>62</w:t>
      </w:r>
      <w:r>
        <w:fldChar w:fldCharType="end"/>
      </w:r>
    </w:p>
    <w:p>
      <w:pPr>
        <w:pStyle w:val="TOC8"/>
        <w:rPr>
          <w:rFonts w:asciiTheme="minorHAnsi" w:eastAsiaTheme="minorEastAsia" w:hAnsiTheme="minorHAnsi" w:cstheme="minorBidi"/>
          <w:szCs w:val="22"/>
        </w:rPr>
      </w:pPr>
      <w:r>
        <w:t>50AA.</w:t>
      </w:r>
      <w:r>
        <w:tab/>
        <w:t>Supervision of electrical work: informing employer and supervisor of experience of apprentice or trainee</w:t>
      </w:r>
      <w:r>
        <w:tab/>
      </w:r>
      <w:r>
        <w:fldChar w:fldCharType="begin"/>
      </w:r>
      <w:r>
        <w:instrText xml:space="preserve"> PAGEREF _Toc103776377 \h </w:instrText>
      </w:r>
      <w:r>
        <w:fldChar w:fldCharType="separate"/>
      </w:r>
      <w:r>
        <w:t>65</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_Toc103776378 \h </w:instrText>
      </w:r>
      <w:r>
        <w:fldChar w:fldCharType="separate"/>
      </w:r>
      <w:r>
        <w:t>67</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_Toc103776379 \h </w:instrText>
      </w:r>
      <w:r>
        <w:fldChar w:fldCharType="separate"/>
      </w:r>
      <w:r>
        <w:t>67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_Toc103776380 \h </w:instrText>
      </w:r>
      <w:r>
        <w:fldChar w:fldCharType="separate"/>
      </w:r>
      <w:r>
        <w:t>68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_Toc103776381 \h </w:instrText>
      </w:r>
      <w:r>
        <w:fldChar w:fldCharType="separate"/>
      </w:r>
      <w:r>
        <w:t>70</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_Toc103776382 \h </w:instrText>
      </w:r>
      <w:r>
        <w:fldChar w:fldCharType="separate"/>
      </w:r>
      <w:r>
        <w:t>73</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_Toc103776383 \h </w:instrText>
      </w:r>
      <w:r>
        <w:fldChar w:fldCharType="separate"/>
      </w:r>
      <w:r>
        <w:t>74</w:t>
      </w:r>
      <w:r>
        <w:fldChar w:fldCharType="end"/>
      </w:r>
    </w:p>
    <w:p>
      <w:pPr>
        <w:pStyle w:val="TOC8"/>
        <w:rPr>
          <w:rFonts w:asciiTheme="minorHAnsi" w:eastAsiaTheme="minorEastAsia" w:hAnsiTheme="minorHAnsi" w:cstheme="minorBidi"/>
          <w:szCs w:val="22"/>
        </w:rPr>
      </w:pPr>
      <w:r>
        <w:t>52BA.</w:t>
      </w:r>
      <w:r>
        <w:tab/>
        <w:t>Transportable structures: when compliance with regulations 51, 52 and 52B not required</w:t>
      </w:r>
      <w:r>
        <w:tab/>
      </w:r>
      <w:r>
        <w:fldChar w:fldCharType="begin"/>
      </w:r>
      <w:r>
        <w:instrText xml:space="preserve"> PAGEREF _Toc103776384 \h </w:instrText>
      </w:r>
      <w:r>
        <w:fldChar w:fldCharType="separate"/>
      </w:r>
      <w:r>
        <w:t>78</w:t>
      </w:r>
      <w:r>
        <w:fldChar w:fldCharType="end"/>
      </w:r>
    </w:p>
    <w:p>
      <w:pPr>
        <w:pStyle w:val="TOC8"/>
        <w:rPr>
          <w:rFonts w:asciiTheme="minorHAnsi" w:eastAsiaTheme="minorEastAsia" w:hAnsiTheme="minorHAnsi" w:cstheme="minorBidi"/>
          <w:szCs w:val="22"/>
        </w:rPr>
      </w:pPr>
      <w:r>
        <w:lastRenderedPageBreak/>
        <w:t>52BB.</w:t>
      </w:r>
      <w:r>
        <w:tab/>
        <w:t>Notifiable work: modified procedure available for certain construction projects</w:t>
      </w:r>
      <w:r>
        <w:tab/>
      </w:r>
      <w:r>
        <w:fldChar w:fldCharType="begin"/>
      </w:r>
      <w:r>
        <w:instrText xml:space="preserve"> PAGEREF _Toc103776385 \h </w:instrText>
      </w:r>
      <w:r>
        <w:fldChar w:fldCharType="separate"/>
      </w:r>
      <w:r>
        <w:t>79</w:t>
      </w:r>
      <w:r>
        <w:fldChar w:fldCharType="end"/>
      </w:r>
    </w:p>
    <w:p>
      <w:pPr>
        <w:pStyle w:val="TOC8"/>
        <w:rPr>
          <w:rFonts w:asciiTheme="minorHAnsi" w:eastAsiaTheme="minorEastAsia" w:hAnsiTheme="minorHAnsi" w:cstheme="minorBidi"/>
          <w:szCs w:val="22"/>
        </w:rPr>
      </w:pPr>
      <w:r>
        <w:t>52BC.</w:t>
      </w:r>
      <w:r>
        <w:tab/>
        <w:t>Modified procedure: record of electrical installing work</w:t>
      </w:r>
      <w:r>
        <w:tab/>
      </w:r>
      <w:r>
        <w:fldChar w:fldCharType="begin"/>
      </w:r>
      <w:r>
        <w:instrText xml:space="preserve"> PAGEREF _Toc103776386 \h </w:instrText>
      </w:r>
      <w:r>
        <w:fldChar w:fldCharType="separate"/>
      </w:r>
      <w:r>
        <w:t>82</w:t>
      </w:r>
      <w:r>
        <w:fldChar w:fldCharType="end"/>
      </w:r>
    </w:p>
    <w:p>
      <w:pPr>
        <w:pStyle w:val="TOC8"/>
        <w:rPr>
          <w:rFonts w:asciiTheme="minorHAnsi" w:eastAsiaTheme="minorEastAsia" w:hAnsiTheme="minorHAnsi" w:cstheme="minorBidi"/>
          <w:szCs w:val="22"/>
        </w:rPr>
      </w:pPr>
      <w:r>
        <w:t>52BD.</w:t>
      </w:r>
      <w:r>
        <w:tab/>
        <w:t>Modified procedure: notice requirements</w:t>
      </w:r>
      <w:r>
        <w:tab/>
      </w:r>
      <w:r>
        <w:fldChar w:fldCharType="begin"/>
      </w:r>
      <w:r>
        <w:instrText xml:space="preserve"> PAGEREF _Toc103776387 \h </w:instrText>
      </w:r>
      <w:r>
        <w:fldChar w:fldCharType="separate"/>
      </w:r>
      <w:r>
        <w:t>83</w:t>
      </w:r>
      <w:r>
        <w:fldChar w:fldCharType="end"/>
      </w:r>
    </w:p>
    <w:p>
      <w:pPr>
        <w:pStyle w:val="TOC8"/>
        <w:rPr>
          <w:rFonts w:asciiTheme="minorHAnsi" w:eastAsiaTheme="minorEastAsia" w:hAnsiTheme="minorHAnsi" w:cstheme="minorBidi"/>
          <w:szCs w:val="22"/>
        </w:rPr>
      </w:pPr>
      <w:r>
        <w:t>52BE.</w:t>
      </w:r>
      <w:r>
        <w:tab/>
        <w:t>Modified procedure: opting in and ceasing</w:t>
      </w:r>
      <w:r>
        <w:tab/>
      </w:r>
      <w:r>
        <w:fldChar w:fldCharType="begin"/>
      </w:r>
      <w:r>
        <w:instrText xml:space="preserve"> PAGEREF _Toc103776388 \h </w:instrText>
      </w:r>
      <w:r>
        <w:fldChar w:fldCharType="separate"/>
      </w:r>
      <w:r>
        <w:t>84</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_Toc103776389 \h </w:instrText>
      </w:r>
      <w:r>
        <w:fldChar w:fldCharType="separate"/>
      </w:r>
      <w:r>
        <w:t>84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_Toc103776390 \h </w:instrText>
      </w:r>
      <w:r>
        <w:fldChar w:fldCharType="separate"/>
      </w:r>
      <w:r>
        <w:t>85</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Further inspection fee, when payable</w:t>
      </w:r>
      <w:r>
        <w:tab/>
      </w:r>
      <w:r>
        <w:fldChar w:fldCharType="begin"/>
      </w:r>
      <w:r>
        <w:instrText xml:space="preserve"> PAGEREF _Toc103776391 \h </w:instrText>
      </w:r>
      <w:r>
        <w:fldChar w:fldCharType="separate"/>
      </w:r>
      <w:r>
        <w:t>86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_Toc103776392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Regulation of electrical work on energised electrical installations</w:t>
      </w:r>
    </w:p>
    <w:p>
      <w:pPr>
        <w:pStyle w:val="TOC8"/>
        <w:rPr>
          <w:rFonts w:asciiTheme="minorHAnsi" w:eastAsiaTheme="minorEastAsia" w:hAnsiTheme="minorHAnsi" w:cstheme="minorBidi"/>
          <w:szCs w:val="22"/>
        </w:rPr>
      </w:pPr>
      <w:r>
        <w:t>54A.</w:t>
      </w:r>
      <w:r>
        <w:tab/>
        <w:t>Interpretation</w:t>
      </w:r>
      <w:r>
        <w:tab/>
      </w:r>
      <w:r>
        <w:fldChar w:fldCharType="begin"/>
      </w:r>
      <w:r>
        <w:instrText xml:space="preserve"> PAGEREF _Toc103776394 \h </w:instrText>
      </w:r>
      <w:r>
        <w:fldChar w:fldCharType="separate"/>
      </w:r>
      <w:r>
        <w:t>88</w:t>
      </w:r>
      <w:r>
        <w:fldChar w:fldCharType="end"/>
      </w:r>
    </w:p>
    <w:p>
      <w:pPr>
        <w:pStyle w:val="TOC8"/>
        <w:rPr>
          <w:rFonts w:asciiTheme="minorHAnsi" w:eastAsiaTheme="minorEastAsia" w:hAnsiTheme="minorHAnsi" w:cstheme="minorBidi"/>
          <w:szCs w:val="22"/>
        </w:rPr>
      </w:pPr>
      <w:r>
        <w:t>54B.</w:t>
      </w:r>
      <w:r>
        <w:tab/>
        <w:t>Application of regulation 55 in relation to certain network operators</w:t>
      </w:r>
      <w:r>
        <w:tab/>
      </w:r>
      <w:r>
        <w:fldChar w:fldCharType="begin"/>
      </w:r>
      <w:r>
        <w:instrText xml:space="preserve"> PAGEREF _Toc103776395 \h </w:instrText>
      </w:r>
      <w:r>
        <w:fldChar w:fldCharType="separate"/>
      </w:r>
      <w:r>
        <w:t>89</w:t>
      </w:r>
      <w:r>
        <w:fldChar w:fldCharType="end"/>
      </w:r>
    </w:p>
    <w:p>
      <w:pPr>
        <w:pStyle w:val="TOC8"/>
        <w:rPr>
          <w:rFonts w:asciiTheme="minorHAnsi" w:eastAsiaTheme="minorEastAsia" w:hAnsiTheme="minorHAnsi" w:cstheme="minorBidi"/>
          <w:szCs w:val="22"/>
        </w:rPr>
      </w:pPr>
      <w:r>
        <w:t>55.</w:t>
      </w:r>
      <w:r>
        <w:tab/>
        <w:t>Electrical work on or near energised electrical installations</w:t>
      </w:r>
      <w:r>
        <w:tab/>
      </w:r>
      <w:r>
        <w:fldChar w:fldCharType="begin"/>
      </w:r>
      <w:r>
        <w:instrText xml:space="preserve"> PAGEREF _Toc103776396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_Toc103776398 \h </w:instrText>
      </w:r>
      <w:r>
        <w:fldChar w:fldCharType="separate"/>
      </w:r>
      <w:r>
        <w:t>92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_Toc103776399 \h </w:instrText>
      </w:r>
      <w:r>
        <w:fldChar w:fldCharType="separate"/>
      </w:r>
      <w:r>
        <w:t>92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_Toc103776400 \h </w:instrText>
      </w:r>
      <w:r>
        <w:fldChar w:fldCharType="separate"/>
      </w:r>
      <w:r>
        <w:t>93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_Toc103776401 \h </w:instrText>
      </w:r>
      <w:r>
        <w:fldChar w:fldCharType="separate"/>
      </w:r>
      <w:r>
        <w:t>93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_Toc103776402 \h </w:instrText>
      </w:r>
      <w:r>
        <w:fldChar w:fldCharType="separate"/>
      </w:r>
      <w:r>
        <w:t>94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_Toc103776403 \h </w:instrText>
      </w:r>
      <w:r>
        <w:fldChar w:fldCharType="separate"/>
      </w:r>
      <w:r>
        <w:t>95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_Toc103776404 \h </w:instrText>
      </w:r>
      <w:r>
        <w:fldChar w:fldCharType="separate"/>
      </w:r>
      <w:r>
        <w:t>95</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_Toc103776405 \h </w:instrText>
      </w:r>
      <w:r>
        <w:fldChar w:fldCharType="separate"/>
      </w:r>
      <w:r>
        <w:t>96</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Interfering with scene of electrical accident</w:t>
      </w:r>
      <w:r>
        <w:tab/>
      </w:r>
      <w:r>
        <w:fldChar w:fldCharType="begin"/>
      </w:r>
      <w:r>
        <w:instrText xml:space="preserve"> PAGEREF _Toc103776406 \h </w:instrText>
      </w:r>
      <w:r>
        <w:fldChar w:fldCharType="separate"/>
      </w:r>
      <w:r>
        <w:t>97</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_Toc103776407 \h </w:instrText>
      </w:r>
      <w:r>
        <w:fldChar w:fldCharType="separate"/>
      </w:r>
      <w:r>
        <w:t>98</w:t>
      </w:r>
      <w:r>
        <w:fldChar w:fldCharType="end"/>
      </w:r>
    </w:p>
    <w:p>
      <w:pPr>
        <w:pStyle w:val="TOC8"/>
        <w:rPr>
          <w:rFonts w:asciiTheme="minorHAnsi" w:eastAsiaTheme="minorEastAsia" w:hAnsiTheme="minorHAnsi" w:cstheme="minorBidi"/>
          <w:szCs w:val="22"/>
        </w:rPr>
      </w:pPr>
      <w:r>
        <w:t>63C.</w:t>
      </w:r>
      <w:r>
        <w:tab/>
        <w:t>Delegation by Board</w:t>
      </w:r>
      <w:r>
        <w:tab/>
      </w:r>
      <w:r>
        <w:fldChar w:fldCharType="begin"/>
      </w:r>
      <w:r>
        <w:instrText xml:space="preserve"> PAGEREF _Toc103776408 \h </w:instrText>
      </w:r>
      <w:r>
        <w:fldChar w:fldCharType="separate"/>
      </w:r>
      <w:r>
        <w:t>98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_Toc103776409 \h </w:instrText>
      </w:r>
      <w:r>
        <w:fldChar w:fldCharType="separate"/>
      </w:r>
      <w:r>
        <w:t>99</w:t>
      </w:r>
      <w:r>
        <w:fldChar w:fldCharType="end"/>
      </w:r>
    </w:p>
    <w:p>
      <w:pPr>
        <w:pStyle w:val="TOC8"/>
        <w:rPr>
          <w:rFonts w:asciiTheme="minorHAnsi" w:eastAsiaTheme="minorEastAsia" w:hAnsiTheme="minorHAnsi" w:cstheme="minorBidi"/>
          <w:szCs w:val="22"/>
        </w:rPr>
      </w:pPr>
      <w:r>
        <w:t>64A.</w:t>
      </w:r>
      <w:r>
        <w:tab/>
        <w:t>Refund of registration fee</w:t>
      </w:r>
      <w:r>
        <w:tab/>
      </w:r>
      <w:r>
        <w:fldChar w:fldCharType="begin"/>
      </w:r>
      <w:r>
        <w:instrText xml:space="preserve"> PAGEREF _Toc103776410 \h </w:instrText>
      </w:r>
      <w:r>
        <w:fldChar w:fldCharType="separate"/>
      </w:r>
      <w:r>
        <w:t>99</w:t>
      </w:r>
      <w:r>
        <w:fldChar w:fldCharType="end"/>
      </w:r>
    </w:p>
    <w:p>
      <w:pPr>
        <w:pStyle w:val="TOC8"/>
        <w:rPr>
          <w:rFonts w:asciiTheme="minorHAnsi" w:eastAsiaTheme="minorEastAsia" w:hAnsiTheme="minorHAnsi" w:cstheme="minorBidi"/>
          <w:szCs w:val="22"/>
        </w:rPr>
      </w:pPr>
      <w:r>
        <w:lastRenderedPageBreak/>
        <w:t>65</w:t>
      </w:r>
      <w:r>
        <w:rPr>
          <w:snapToGrid w:val="0"/>
        </w:rPr>
        <w:t>.</w:t>
      </w:r>
      <w:r>
        <w:rPr>
          <w:snapToGrid w:val="0"/>
        </w:rPr>
        <w:tab/>
        <w:t>General offence and penalty</w:t>
      </w:r>
      <w:r>
        <w:tab/>
      </w:r>
      <w:r>
        <w:fldChar w:fldCharType="begin"/>
      </w:r>
      <w:r>
        <w:instrText xml:space="preserve"> PAGEREF _Toc103776411 \h </w:instrText>
      </w:r>
      <w:r>
        <w:fldChar w:fldCharType="separate"/>
      </w:r>
      <w:r>
        <w:t>99</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_Toc103776412 \h </w:instrText>
      </w:r>
      <w:r>
        <w:fldChar w:fldCharType="separate"/>
      </w:r>
      <w:r>
        <w:t>100</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_Toc103776413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_Toc103776417 \h </w:instrText>
      </w:r>
      <w:r>
        <w:fldChar w:fldCharType="separate"/>
      </w:r>
      <w:r>
        <w:t>107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_Toc103776418 \h </w:instrText>
      </w:r>
      <w:r>
        <w:fldChar w:fldCharType="separate"/>
      </w:r>
      <w:r>
        <w:t>111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_Toc103776419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Electricity Act 1945</w:t>
      </w:r>
    </w:p>
    <w:p>
      <w:pPr>
        <w:pStyle w:val="NameofActReg"/>
        <w:spacing w:after="720"/>
      </w:pPr>
      <w:r>
        <w:t>Electricity (Licensing) Regulations 1991</w:t>
      </w:r>
    </w:p>
    <w:p>
      <w:pPr>
        <w:pStyle w:val="Heading2"/>
        <w:keepNext w:val="0"/>
        <w:pageBreakBefore w:val="0"/>
        <w:spacing w:before="240"/>
      </w:pPr>
      <w:bookmarkStart w:id="3" w:name="_Toc103760307"/>
      <w:bookmarkStart w:id="4" w:name="_Toc103760652"/>
      <w:bookmarkStart w:id="5" w:name="_Toc103760761"/>
      <w:bookmarkStart w:id="6" w:name="_Toc103776312"/>
      <w:r>
        <w:rPr>
          <w:rStyle w:val="CharPartNo"/>
        </w:rPr>
        <w:t>Part 1</w:t>
      </w:r>
      <w:r>
        <w:rPr>
          <w:rStyle w:val="CharDivNo"/>
        </w:rPr>
        <w:t> </w:t>
      </w:r>
      <w:r>
        <w:t>— </w:t>
      </w:r>
      <w:r>
        <w:rPr>
          <w:rStyle w:val="CharPartText"/>
        </w:rPr>
        <w:t>Preliminary</w:t>
      </w:r>
      <w:bookmarkEnd w:id="3"/>
      <w:bookmarkEnd w:id="4"/>
      <w:bookmarkEnd w:id="5"/>
      <w:bookmarkEnd w:id="6"/>
    </w:p>
    <w:p>
      <w:pPr>
        <w:pStyle w:val="Heading5"/>
        <w:spacing w:before="180"/>
        <w:rPr>
          <w:snapToGrid w:val="0"/>
        </w:rPr>
      </w:pPr>
      <w:bookmarkStart w:id="7" w:name="_Toc103776313"/>
      <w:r>
        <w:rPr>
          <w:rStyle w:val="CharSectno"/>
        </w:rPr>
        <w:t>1</w:t>
      </w:r>
      <w:r>
        <w:rPr>
          <w:snapToGrid w:val="0"/>
        </w:rPr>
        <w:t>.</w:t>
      </w:r>
      <w:r>
        <w:rPr>
          <w:snapToGrid w:val="0"/>
        </w:rPr>
        <w:tab/>
        <w:t>Citation</w:t>
      </w:r>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pPr>
        <w:pStyle w:val="Heading5"/>
        <w:spacing w:before="180"/>
        <w:rPr>
          <w:snapToGrid w:val="0"/>
        </w:rPr>
      </w:pPr>
      <w:bookmarkStart w:id="8" w:name="_Toc103776314"/>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9" w:name="_Toc103776315"/>
      <w:r>
        <w:rPr>
          <w:rStyle w:val="CharSectno"/>
        </w:rPr>
        <w:t>3</w:t>
      </w:r>
      <w:r>
        <w:rPr>
          <w:snapToGrid w:val="0"/>
        </w:rPr>
        <w:t>.</w:t>
      </w:r>
      <w:r>
        <w:rPr>
          <w:snapToGrid w:val="0"/>
        </w:rPr>
        <w:tab/>
        <w:t>Terms used</w:t>
      </w:r>
      <w:bookmarkEnd w:id="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apprentice</w:t>
      </w:r>
      <w:r>
        <w:t xml:space="preserve"> has the meaning given in the </w:t>
      </w:r>
      <w:r>
        <w:rPr>
          <w:i/>
          <w:iCs/>
        </w:rPr>
        <w:t>Vocational Education and Training Act 1996</w:t>
      </w:r>
      <w:r>
        <w:t xml:space="preserve"> section 60A;</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tab/>
      </w:r>
      <w:r>
        <w:rPr>
          <w:rStyle w:val="CharDefText"/>
        </w:rPr>
        <w:t>chairperson</w:t>
      </w:r>
      <w:r>
        <w:t xml:space="preserve"> means the person appointed under regulation 5(1)(a) to be chairperson of the Board;</w:t>
      </w:r>
    </w:p>
    <w:p>
      <w:pPr>
        <w:pStyle w:val="Defstart"/>
      </w:pPr>
      <w:r>
        <w:lastRenderedPageBreak/>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keepNex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lastRenderedPageBreak/>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xml:space="preserve">, in relation to any wire or other object, means having, under normal conditions of operation, a potential difference between </w:t>
      </w:r>
      <w:r>
        <w:lastRenderedPageBreak/>
        <w:t>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tab/>
      </w:r>
      <w:r>
        <w:rPr>
          <w:rStyle w:val="CharDefText"/>
        </w:rPr>
        <w:t xml:space="preserve">mine </w:t>
      </w:r>
      <w:r>
        <w:t xml:space="preserve">has the meaning given in the </w:t>
      </w:r>
      <w:r>
        <w:rPr>
          <w:i/>
        </w:rPr>
        <w:t>Work Health and Safety (Mines) Regulations 2022</w:t>
      </w:r>
      <w:r>
        <w:t xml:space="preserve"> regulation 5A;</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keepLines/>
      </w:pPr>
      <w:r>
        <w:tab/>
      </w:r>
      <w:r>
        <w:rPr>
          <w:rStyle w:val="CharDefText"/>
        </w:rPr>
        <w:t>prescribed policy of insurance</w:t>
      </w:r>
      <w:r>
        <w:t xml:space="preserve"> means the policy of insurance required to be held under regulation 36(1)(c), (2)(c) and (3)(c);</w:t>
      </w:r>
    </w:p>
    <w:p>
      <w:pPr>
        <w:pStyle w:val="Defstart"/>
      </w:pPr>
      <w:r>
        <w:rPr>
          <w:b/>
        </w:rPr>
        <w:lastRenderedPageBreak/>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SL 2020/196 r. 22; SL 2021/86 r. 28; SL 2022/26 r. 9; SL 2022/36 r. 4.] </w:t>
      </w:r>
    </w:p>
    <w:p>
      <w:pPr>
        <w:pStyle w:val="Heading5"/>
        <w:spacing w:before="180"/>
      </w:pPr>
      <w:bookmarkStart w:id="10" w:name="_Toc103776316"/>
      <w:r>
        <w:rPr>
          <w:rStyle w:val="CharSectno"/>
        </w:rPr>
        <w:t>4A</w:t>
      </w:r>
      <w:r>
        <w:t>.</w:t>
      </w:r>
      <w:r>
        <w:tab/>
        <w:t>Term used: electrical work</w:t>
      </w:r>
      <w:bookmarkEnd w:id="10"/>
    </w:p>
    <w:p>
      <w:pPr>
        <w:pStyle w:val="Subsection"/>
        <w:keepNext/>
      </w:pPr>
      <w:r>
        <w:tab/>
        <w:t>(1)</w:t>
      </w:r>
      <w:r>
        <w:tab/>
        <w:t xml:space="preserve">In these regulations — </w:t>
      </w:r>
    </w:p>
    <w:p>
      <w:pPr>
        <w:pStyle w:val="Defstart"/>
        <w:keepNext/>
      </w:pPr>
      <w:r>
        <w:tab/>
      </w:r>
      <w:r>
        <w:rPr>
          <w:rStyle w:val="CharDefText"/>
        </w:rPr>
        <w:t>electrical work</w:t>
      </w:r>
      <w:r>
        <w:t xml:space="preserve"> means —</w:t>
      </w:r>
    </w:p>
    <w:p>
      <w:pPr>
        <w:pStyle w:val="Defpara"/>
        <w:keepNext/>
      </w:pPr>
      <w:r>
        <w:tab/>
        <w:t>(a)</w:t>
      </w:r>
      <w:r>
        <w:tab/>
        <w:t xml:space="preserve">work — </w:t>
      </w:r>
    </w:p>
    <w:p>
      <w:pPr>
        <w:pStyle w:val="Defsubpara"/>
      </w:pPr>
      <w:r>
        <w:tab/>
        <w:t>(i)</w:t>
      </w:r>
      <w:r>
        <w:tab/>
        <w:t>on electrical machines or instruments; or</w:t>
      </w:r>
    </w:p>
    <w:p>
      <w:pPr>
        <w:pStyle w:val="Defsubpara"/>
      </w:pPr>
      <w:r>
        <w:lastRenderedPageBreak/>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11" w:name="_Toc103776317"/>
      <w:r>
        <w:rPr>
          <w:rStyle w:val="CharSectno"/>
        </w:rPr>
        <w:t>4AA</w:t>
      </w:r>
      <w:r>
        <w:t>.</w:t>
      </w:r>
      <w:r>
        <w:tab/>
        <w:t>Term used: private generating plant</w:t>
      </w:r>
      <w:bookmarkEnd w:id="11"/>
    </w:p>
    <w:p>
      <w:pPr>
        <w:pStyle w:val="Subsection"/>
      </w:pPr>
      <w:r>
        <w:rPr>
          <w:b/>
        </w:rPr>
        <w:tab/>
      </w:r>
      <w:r>
        <w:t>(1)</w:t>
      </w:r>
      <w:r>
        <w:rPr>
          <w:b/>
        </w:rPr>
        <w:tab/>
      </w:r>
      <w:r>
        <w:t xml:space="preserve">In these regulations — </w:t>
      </w:r>
    </w:p>
    <w:p>
      <w:pPr>
        <w:pStyle w:val="Defstart"/>
        <w:keepNext/>
      </w:pPr>
      <w:r>
        <w:tab/>
      </w:r>
      <w:r>
        <w:rPr>
          <w:rStyle w:val="CharDefText"/>
        </w:rPr>
        <w:t>private generating plant</w:t>
      </w:r>
      <w:r>
        <w:t xml:space="preserve"> means generating works that are for the generation of electricity at a nominal pressure exceeding </w:t>
      </w:r>
      <w:r>
        <w:lastRenderedPageBreak/>
        <w:t xml:space="preserve">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12" w:name="_Toc103760313"/>
      <w:bookmarkStart w:id="13" w:name="_Toc103760658"/>
      <w:bookmarkStart w:id="14" w:name="_Toc103760767"/>
      <w:bookmarkStart w:id="15" w:name="_Toc103776318"/>
      <w:r>
        <w:rPr>
          <w:rStyle w:val="CharPartNo"/>
        </w:rPr>
        <w:lastRenderedPageBreak/>
        <w:t>Part 2</w:t>
      </w:r>
      <w:r>
        <w:t> — </w:t>
      </w:r>
      <w:r>
        <w:rPr>
          <w:rStyle w:val="CharPartText"/>
        </w:rPr>
        <w:t>The Electrical Licensing Board</w:t>
      </w:r>
      <w:bookmarkEnd w:id="12"/>
      <w:bookmarkEnd w:id="13"/>
      <w:bookmarkEnd w:id="14"/>
      <w:bookmarkEnd w:id="15"/>
      <w:r>
        <w:rPr>
          <w:rStyle w:val="CharPartText"/>
        </w:rPr>
        <w:t xml:space="preserve"> </w:t>
      </w:r>
    </w:p>
    <w:p>
      <w:pPr>
        <w:pStyle w:val="Heading3"/>
        <w:rPr>
          <w:snapToGrid w:val="0"/>
        </w:rPr>
      </w:pPr>
      <w:bookmarkStart w:id="16" w:name="_Toc103760314"/>
      <w:bookmarkStart w:id="17" w:name="_Toc103760659"/>
      <w:bookmarkStart w:id="18" w:name="_Toc103760768"/>
      <w:bookmarkStart w:id="19" w:name="_Toc103776319"/>
      <w:r>
        <w:rPr>
          <w:rStyle w:val="CharDivNo"/>
        </w:rPr>
        <w:t>Division 1</w:t>
      </w:r>
      <w:r>
        <w:rPr>
          <w:snapToGrid w:val="0"/>
        </w:rPr>
        <w:t> — </w:t>
      </w:r>
      <w:r>
        <w:rPr>
          <w:rStyle w:val="CharDivText"/>
        </w:rPr>
        <w:t>The Board</w:t>
      </w:r>
      <w:bookmarkEnd w:id="16"/>
      <w:bookmarkEnd w:id="17"/>
      <w:bookmarkEnd w:id="18"/>
      <w:bookmarkEnd w:id="19"/>
      <w:r>
        <w:rPr>
          <w:rStyle w:val="CharDivText"/>
        </w:rPr>
        <w:t xml:space="preserve"> </w:t>
      </w:r>
    </w:p>
    <w:p>
      <w:pPr>
        <w:pStyle w:val="Heading5"/>
        <w:rPr>
          <w:snapToGrid w:val="0"/>
        </w:rPr>
      </w:pPr>
      <w:bookmarkStart w:id="20" w:name="_Toc103776320"/>
      <w:r>
        <w:rPr>
          <w:rStyle w:val="CharSectno"/>
        </w:rPr>
        <w:t>4</w:t>
      </w:r>
      <w:r>
        <w:rPr>
          <w:snapToGrid w:val="0"/>
        </w:rPr>
        <w:t>.</w:t>
      </w:r>
      <w:r>
        <w:rPr>
          <w:snapToGrid w:val="0"/>
        </w:rPr>
        <w:tab/>
        <w:t>Board established</w:t>
      </w:r>
      <w:bookmarkEnd w:id="20"/>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21" w:name="_Toc103776321"/>
      <w:r>
        <w:rPr>
          <w:rStyle w:val="CharSectno"/>
        </w:rPr>
        <w:t>5</w:t>
      </w:r>
      <w:r>
        <w:rPr>
          <w:snapToGrid w:val="0"/>
        </w:rPr>
        <w:t>.</w:t>
      </w:r>
      <w:r>
        <w:rPr>
          <w:snapToGrid w:val="0"/>
        </w:rPr>
        <w:tab/>
        <w:t>Membership</w:t>
      </w:r>
      <w:bookmarkEnd w:id="21"/>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 xml:space="preserve">one shall be a person appointed to be </w:t>
      </w:r>
      <w:r>
        <w:t>chairperson;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keepNext/>
      </w:pPr>
      <w:r>
        <w:lastRenderedPageBreak/>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tab/>
        <w:t>(d)</w:t>
      </w:r>
      <w:r>
        <w:tab/>
      </w:r>
      <w:r>
        <w:rPr>
          <w:snapToGrid w:val="0"/>
        </w:rPr>
        <w:t>a person shall not be appointed under subregulation (1)(d) unless that person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keepNext/>
        <w:spacing w:before="60"/>
      </w:pPr>
      <w:r>
        <w:lastRenderedPageBreak/>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Subsection"/>
        <w:keepNext/>
      </w:pPr>
      <w:r>
        <w:tab/>
        <w:t>(3)</w:t>
      </w:r>
      <w:r>
        <w:tab/>
        <w:t>For the purposes of subregulation (2)(d)(ii) —</w:t>
      </w:r>
    </w:p>
    <w:p>
      <w:pPr>
        <w:pStyle w:val="Indenta"/>
      </w:pPr>
      <w:r>
        <w:tab/>
        <w:t>(a)</w:t>
      </w:r>
      <w:r>
        <w:tab/>
        <w:t>a person is taken to be the holder of a licence issued under Part 4 if the person is a partner in a firm, or an officer of a body corporate, that holds a licence issued under Part 4; and</w:t>
      </w:r>
    </w:p>
    <w:p>
      <w:pPr>
        <w:pStyle w:val="Indenta"/>
        <w:keepNext/>
      </w:pPr>
      <w:r>
        <w:tab/>
        <w:t>(b)</w:t>
      </w:r>
      <w:r>
        <w:tab/>
        <w:t>a person is taken to have been the holder of a licence issued under Part 4 if the person was a partner in a firm, or an officer of a body corporate, at a time when the firm or body corporate held a licence under Part 4.</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 xml:space="preserve">4; SL 2022/36 r. 5.] </w:t>
      </w:r>
    </w:p>
    <w:p>
      <w:pPr>
        <w:pStyle w:val="Heading5"/>
        <w:spacing w:before="180"/>
      </w:pPr>
      <w:bookmarkStart w:id="22" w:name="_Toc103776322"/>
      <w:r>
        <w:rPr>
          <w:rStyle w:val="CharSectno"/>
        </w:rPr>
        <w:t>6</w:t>
      </w:r>
      <w:r>
        <w:t>.</w:t>
      </w:r>
      <w:r>
        <w:tab/>
        <w:t>Appointments under r. 5(1)(b) to (fa), procedure for making</w:t>
      </w:r>
      <w:bookmarkEnd w:id="22"/>
    </w:p>
    <w:p>
      <w:pPr>
        <w:pStyle w:val="Subsection"/>
        <w:keepNext/>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lastRenderedPageBreak/>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keepNext/>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keepNext/>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23" w:name="_Toc103776323"/>
      <w:r>
        <w:rPr>
          <w:rStyle w:val="CharSectno"/>
        </w:rPr>
        <w:lastRenderedPageBreak/>
        <w:t>7</w:t>
      </w:r>
      <w:r>
        <w:rPr>
          <w:snapToGrid w:val="0"/>
        </w:rPr>
        <w:t>.</w:t>
      </w:r>
      <w:r>
        <w:rPr>
          <w:snapToGrid w:val="0"/>
        </w:rPr>
        <w:tab/>
        <w:t>Term of office</w:t>
      </w:r>
      <w:bookmarkEnd w:id="23"/>
      <w:r>
        <w:rPr>
          <w:snapToGrid w:val="0"/>
        </w:rPr>
        <w:t xml:space="preserve"> </w:t>
      </w:r>
    </w:p>
    <w:p>
      <w:pPr>
        <w:pStyle w:val="Subsection"/>
        <w:spacing w:before="120"/>
        <w:rPr>
          <w:snapToGrid w:val="0"/>
        </w:rPr>
      </w:pPr>
      <w:r>
        <w:rPr>
          <w:snapToGrid w:val="0"/>
        </w:rPr>
        <w:tab/>
      </w:r>
      <w:r>
        <w:t>(1)</w:t>
      </w:r>
      <w:r>
        <w:tab/>
        <w:t xml:space="preserve">Subject </w:t>
      </w:r>
      <w:r>
        <w:rPr>
          <w:snapToGrid w:val="0"/>
        </w:rPr>
        <w:t xml:space="preserve">to these regulations a member of the Board holds office for such period not exceeding 3 years as is specified in the instrument of </w:t>
      </w:r>
      <w:r>
        <w:t xml:space="preserve">their </w:t>
      </w:r>
      <w:r>
        <w:rPr>
          <w:snapToGrid w:val="0"/>
        </w:rPr>
        <w:t xml:space="preserve">appointment and is eligible for </w:t>
      </w:r>
      <w:r>
        <w:t>reappointment.</w:t>
      </w:r>
    </w:p>
    <w:p>
      <w:pPr>
        <w:pStyle w:val="Subsection"/>
        <w:keepNext/>
        <w:rPr>
          <w:snapToGrid w:val="0"/>
        </w:rPr>
      </w:pPr>
      <w:r>
        <w:rPr>
          <w:snapToGrid w:val="0"/>
        </w:rPr>
        <w:tab/>
        <w:t>(2)</w:t>
      </w:r>
      <w:r>
        <w:rPr>
          <w:snapToGrid w:val="0"/>
        </w:rPr>
        <w:tab/>
        <w:t>If the term of office of a member of the Board expires by effluxion of time without a person having been appointed to fill the vacancy, the member continues in office until the earlier of the following —</w:t>
      </w:r>
    </w:p>
    <w:p>
      <w:pPr>
        <w:pStyle w:val="Indenta"/>
        <w:rPr>
          <w:snapToGrid w:val="0"/>
        </w:rPr>
      </w:pPr>
      <w:r>
        <w:rPr>
          <w:snapToGrid w:val="0"/>
        </w:rPr>
        <w:tab/>
        <w:t>(a)</w:t>
      </w:r>
      <w:r>
        <w:rPr>
          <w:snapToGrid w:val="0"/>
        </w:rPr>
        <w:tab/>
        <w:t>the end of the period of 6 months immediately following the expiry of the term of office;</w:t>
      </w:r>
    </w:p>
    <w:p>
      <w:pPr>
        <w:pStyle w:val="Indenta"/>
        <w:rPr>
          <w:snapToGrid w:val="0"/>
        </w:rPr>
      </w:pPr>
      <w:r>
        <w:rPr>
          <w:snapToGrid w:val="0"/>
        </w:rPr>
        <w:tab/>
        <w:t>(b)</w:t>
      </w:r>
      <w:r>
        <w:rPr>
          <w:snapToGrid w:val="0"/>
        </w:rPr>
        <w:tab/>
        <w:t>the vacancy being filled (whether by the reappointment of the member or the appointment of a new member);</w:t>
      </w:r>
    </w:p>
    <w:p>
      <w:pPr>
        <w:pStyle w:val="Indenta"/>
      </w:pPr>
      <w:r>
        <w:tab/>
        <w:t>(c)</w:t>
      </w:r>
      <w:r>
        <w:tab/>
        <w:t>an acting member being appointed by the Minister under regulation 9(1)(b)(i);</w:t>
      </w:r>
    </w:p>
    <w:p>
      <w:pPr>
        <w:pStyle w:val="Indenta"/>
        <w:rPr>
          <w:snapToGrid w:val="0"/>
        </w:rPr>
      </w:pPr>
      <w:r>
        <w:rPr>
          <w:snapToGrid w:val="0"/>
        </w:rPr>
        <w:tab/>
        <w:t>(d)</w:t>
      </w:r>
      <w:r>
        <w:rPr>
          <w:snapToGrid w:val="0"/>
        </w:rPr>
        <w:tab/>
        <w:t>the member resigning under regulation 8(1);</w:t>
      </w:r>
    </w:p>
    <w:p>
      <w:pPr>
        <w:pStyle w:val="Indenta"/>
        <w:rPr>
          <w:snapToGrid w:val="0"/>
        </w:rPr>
      </w:pPr>
      <w:r>
        <w:rPr>
          <w:snapToGrid w:val="0"/>
        </w:rPr>
        <w:tab/>
        <w:t>(e)</w:t>
      </w:r>
      <w:r>
        <w:rPr>
          <w:snapToGrid w:val="0"/>
        </w:rPr>
        <w:tab/>
        <w:t>the member being removed from office under regulation 8(2) or (3);</w:t>
      </w:r>
    </w:p>
    <w:p>
      <w:pPr>
        <w:pStyle w:val="Indenta"/>
        <w:keepNext/>
        <w:rPr>
          <w:snapToGrid w:val="0"/>
        </w:rPr>
      </w:pPr>
      <w:r>
        <w:tab/>
        <w:t>(f)</w:t>
      </w:r>
      <w:r>
        <w:tab/>
        <w:t>the member dying</w:t>
      </w:r>
      <w:r>
        <w:rPr>
          <w:snapToGrid w:val="0"/>
        </w:rPr>
        <w:t>.</w:t>
      </w:r>
    </w:p>
    <w:p>
      <w:pPr>
        <w:pStyle w:val="Footnotesection"/>
      </w:pPr>
      <w:r>
        <w:tab/>
        <w:t>[Regulation 7 amended: SL 2022/36 r. 6.]</w:t>
      </w:r>
    </w:p>
    <w:p>
      <w:pPr>
        <w:pStyle w:val="Heading5"/>
        <w:spacing w:before="180"/>
        <w:rPr>
          <w:snapToGrid w:val="0"/>
        </w:rPr>
      </w:pPr>
      <w:bookmarkStart w:id="24" w:name="_Toc103776324"/>
      <w:r>
        <w:rPr>
          <w:rStyle w:val="CharSectno"/>
        </w:rPr>
        <w:t>8</w:t>
      </w:r>
      <w:r>
        <w:rPr>
          <w:snapToGrid w:val="0"/>
        </w:rPr>
        <w:t>.</w:t>
      </w:r>
      <w:r>
        <w:rPr>
          <w:snapToGrid w:val="0"/>
        </w:rPr>
        <w:tab/>
        <w:t>Resignations and removals from office</w:t>
      </w:r>
      <w:bookmarkEnd w:id="24"/>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keepNext/>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keepNext/>
      </w:pPr>
      <w:r>
        <w:lastRenderedPageBreak/>
        <w:tab/>
        <w:t>(ab)</w:t>
      </w:r>
      <w:r>
        <w:tab/>
        <w:t xml:space="preserve">the member is — </w:t>
      </w:r>
    </w:p>
    <w:p>
      <w:pPr>
        <w:pStyle w:val="Indenti"/>
      </w:pPr>
      <w:r>
        <w:tab/>
        <w:t>(i)</w:t>
      </w:r>
      <w:r>
        <w:tab/>
        <w:t>a member of a firm, or otherwise concerned in the management of a firm; or</w:t>
      </w:r>
    </w:p>
    <w:p>
      <w:pPr>
        <w:pStyle w:val="Indenti"/>
        <w:keepNext/>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keepNext/>
        <w:rPr>
          <w:snapToGrid w:val="0"/>
        </w:rPr>
      </w:pPr>
      <w:r>
        <w:rPr>
          <w:snapToGrid w:val="0"/>
        </w:rPr>
        <w:tab/>
        <w:t>(4)</w:t>
      </w:r>
      <w:r>
        <w:rPr>
          <w:snapToGrid w:val="0"/>
        </w:rPr>
        <w:tab/>
        <w:t xml:space="preserve">Where a member of the Board dies or is removed from or resigns from office under this regulation the office becomes vacant </w:t>
      </w:r>
      <w:r>
        <w:t xml:space="preserve">(a </w:t>
      </w:r>
      <w:r>
        <w:rPr>
          <w:rStyle w:val="CharDefText"/>
        </w:rPr>
        <w:t>casual vacancy</w:t>
      </w:r>
      <w:r>
        <w:t xml:space="preserve">) </w:t>
      </w:r>
      <w:r>
        <w:rPr>
          <w:snapToGrid w:val="0"/>
        </w:rPr>
        <w:t xml:space="preserve">and the person appointed to fill the vacancy </w:t>
      </w:r>
      <w:r>
        <w:t xml:space="preserve">must </w:t>
      </w:r>
      <w:r>
        <w:rPr>
          <w:snapToGrid w:val="0"/>
        </w:rPr>
        <w:t>be appointed to hold office only for the balance of the term of the member’s predecessor.</w:t>
      </w:r>
    </w:p>
    <w:p>
      <w:pPr>
        <w:pStyle w:val="Footnotesection"/>
      </w:pPr>
      <w:r>
        <w:tab/>
        <w:t>[Regulation 8 amended: Gazette 31 Dec 2007 p. 6494</w:t>
      </w:r>
      <w:r>
        <w:noBreakHyphen/>
        <w:t>5; SL 2022/36 r. 7.]</w:t>
      </w:r>
    </w:p>
    <w:p>
      <w:pPr>
        <w:pStyle w:val="Heading5"/>
        <w:rPr>
          <w:snapToGrid w:val="0"/>
        </w:rPr>
      </w:pPr>
      <w:bookmarkStart w:id="25" w:name="_Toc103776325"/>
      <w:r>
        <w:rPr>
          <w:rStyle w:val="CharSectno"/>
        </w:rPr>
        <w:lastRenderedPageBreak/>
        <w:t>9</w:t>
      </w:r>
      <w:r>
        <w:rPr>
          <w:snapToGrid w:val="0"/>
        </w:rPr>
        <w:t>.</w:t>
      </w:r>
      <w:r>
        <w:rPr>
          <w:snapToGrid w:val="0"/>
        </w:rPr>
        <w:tab/>
        <w:t>Acting members</w:t>
      </w:r>
      <w:bookmarkEnd w:id="25"/>
      <w:r>
        <w:rPr>
          <w:snapToGrid w:val="0"/>
        </w:rPr>
        <w:t xml:space="preserve"> </w:t>
      </w:r>
    </w:p>
    <w:p>
      <w:pPr>
        <w:pStyle w:val="Subsection"/>
        <w:keepNext/>
        <w:rPr>
          <w:snapToGrid w:val="0"/>
        </w:rPr>
      </w:pPr>
      <w:r>
        <w:rPr>
          <w:snapToGrid w:val="0"/>
        </w:rPr>
        <w:tab/>
        <w:t>(1)</w:t>
      </w:r>
      <w:r>
        <w:rPr>
          <w:snapToGrid w:val="0"/>
        </w:rPr>
        <w:tab/>
        <w:t xml:space="preserve">The Minister may appoint an eligible person to act in the place of a member of the Board (other than the chairperson) if — </w:t>
      </w:r>
    </w:p>
    <w:p>
      <w:pPr>
        <w:pStyle w:val="Indenta"/>
      </w:pPr>
      <w:r>
        <w:tab/>
        <w:t>(a)</w:t>
      </w:r>
      <w:r>
        <w:tab/>
        <w:t>the member is absent or temporarily incapable of fulfilling the duties of the member; or</w:t>
      </w:r>
    </w:p>
    <w:p>
      <w:pPr>
        <w:pStyle w:val="Indenta"/>
        <w:keepNext/>
        <w:rPr>
          <w:snapToGrid w:val="0"/>
        </w:rPr>
      </w:pPr>
      <w:r>
        <w:tab/>
        <w:t>(b)</w:t>
      </w:r>
      <w:r>
        <w:tab/>
      </w:r>
      <w:r>
        <w:rPr>
          <w:snapToGrid w:val="0"/>
        </w:rPr>
        <w:t>the office of the member is vacant due to —</w:t>
      </w:r>
    </w:p>
    <w:p>
      <w:pPr>
        <w:pStyle w:val="Indenti"/>
        <w:rPr>
          <w:snapToGrid w:val="0"/>
        </w:rPr>
      </w:pPr>
      <w:r>
        <w:rPr>
          <w:snapToGrid w:val="0"/>
        </w:rPr>
        <w:tab/>
      </w:r>
      <w:r>
        <w:t>(i)</w:t>
      </w:r>
      <w:r>
        <w:tab/>
      </w:r>
      <w:r>
        <w:rPr>
          <w:snapToGrid w:val="0"/>
        </w:rPr>
        <w:t>the expiry of the member’s term of office by effluxion of time; or</w:t>
      </w:r>
    </w:p>
    <w:p>
      <w:pPr>
        <w:pStyle w:val="Indenti"/>
        <w:rPr>
          <w:snapToGrid w:val="0"/>
        </w:rPr>
      </w:pPr>
      <w:r>
        <w:tab/>
        <w:t>(ii)</w:t>
      </w:r>
      <w:r>
        <w:tab/>
      </w:r>
      <w:r>
        <w:rPr>
          <w:snapToGrid w:val="0"/>
        </w:rPr>
        <w:t>a casual vacancy (as defined in regulation 8(4)).</w:t>
      </w:r>
    </w:p>
    <w:p>
      <w:pPr>
        <w:pStyle w:val="Subsection"/>
      </w:pPr>
      <w:r>
        <w:tab/>
        <w:t>(1A)</w:t>
      </w:r>
      <w:r>
        <w:tab/>
        <w:t xml:space="preserve">A person appointed under subregulation (1) to act in the place of a member of the Board is appointed to act during the member’s absence or incapacity, or until the vacancy in the office of the member is filled, as the case requires. </w:t>
      </w:r>
    </w:p>
    <w:p>
      <w:pPr>
        <w:pStyle w:val="Subsection"/>
        <w:rPr>
          <w:snapToGrid w:val="0"/>
        </w:rPr>
      </w:pPr>
      <w:r>
        <w:tab/>
        <w:t>(1B)</w:t>
      </w:r>
      <w:r>
        <w:tab/>
        <w:t xml:space="preserve">A person appointed under subregulation (1) to act in the place of a member of the Board has </w:t>
      </w:r>
      <w:r>
        <w:rPr>
          <w:snapToGrid w:val="0"/>
        </w:rPr>
        <w:t xml:space="preserve">all the powers, functions and duties of the member. </w:t>
      </w:r>
    </w:p>
    <w:p>
      <w:pPr>
        <w:pStyle w:val="Subsection"/>
        <w:rPr>
          <w:snapToGrid w:val="0"/>
        </w:rPr>
      </w:pPr>
      <w:r>
        <w:rPr>
          <w:snapToGrid w:val="0"/>
        </w:rPr>
        <w:tab/>
        <w:t>(2)</w:t>
      </w:r>
      <w:r>
        <w:rPr>
          <w:snapToGrid w:val="0"/>
        </w:rPr>
        <w:tab/>
        <w:t xml:space="preserve">Any reference in these regulations to a member other than the </w:t>
      </w:r>
      <w:r>
        <w:t xml:space="preserve">chairperson is to </w:t>
      </w:r>
      <w:r>
        <w:rPr>
          <w:snapToGrid w:val="0"/>
        </w:rPr>
        <w:t>be construed as including a reference to a person appointed by the Minister to act in the place of a member during any absence, temporary incapacity or vacancy.</w:t>
      </w:r>
    </w:p>
    <w:p>
      <w:pPr>
        <w:pStyle w:val="Subsection"/>
        <w:rPr>
          <w:snapToGrid w:val="0"/>
        </w:rPr>
      </w:pPr>
      <w:r>
        <w:rPr>
          <w:snapToGrid w:val="0"/>
        </w:rPr>
        <w:tab/>
        <w:t>(3)</w:t>
      </w:r>
      <w:r>
        <w:rPr>
          <w:snapToGrid w:val="0"/>
        </w:rPr>
        <w:tab/>
        <w:t xml:space="preserve">The Minister may appoint an eligible person as deputy to act in the place of the </w:t>
      </w:r>
      <w:r>
        <w:t xml:space="preserve">chairperson </w:t>
      </w:r>
      <w:r>
        <w:rPr>
          <w:snapToGrid w:val="0"/>
        </w:rPr>
        <w:t>and any such appointment has effect for such period as is specified therein and may be terminated at any time by the Minister.</w:t>
      </w:r>
    </w:p>
    <w:p>
      <w:pPr>
        <w:pStyle w:val="Subsection"/>
        <w:keepNext/>
        <w:spacing w:before="140"/>
        <w:rPr>
          <w:snapToGrid w:val="0"/>
        </w:rPr>
      </w:pPr>
      <w:r>
        <w:rPr>
          <w:snapToGrid w:val="0"/>
        </w:rPr>
        <w:tab/>
        <w:t>(4)</w:t>
      </w:r>
      <w:r>
        <w:rPr>
          <w:snapToGrid w:val="0"/>
        </w:rPr>
        <w:tab/>
        <w:t xml:space="preserve">A person appointed under subregulation (3) as deputy of the </w:t>
      </w:r>
      <w:r>
        <w:t xml:space="preserve">chairperson </w:t>
      </w:r>
      <w:r>
        <w:rPr>
          <w:snapToGrid w:val="0"/>
        </w:rPr>
        <w:t xml:space="preserve">is, in the event of the absence from a meeting of the Board of the </w:t>
      </w:r>
      <w:r>
        <w:t xml:space="preserve">chairperson, </w:t>
      </w:r>
      <w:r>
        <w:rPr>
          <w:snapToGrid w:val="0"/>
        </w:rPr>
        <w:t xml:space="preserve">entitled to attend that meeting and, when so attending, has all the functions, entitlements and protection of the </w:t>
      </w:r>
      <w:r>
        <w:t>chairperson.</w:t>
      </w:r>
    </w:p>
    <w:p>
      <w:pPr>
        <w:pStyle w:val="Footnotesection"/>
      </w:pPr>
      <w:r>
        <w:tab/>
        <w:t>[Regulation 9 amended: SL 2022/36 r. 8.]</w:t>
      </w:r>
    </w:p>
    <w:p>
      <w:pPr>
        <w:pStyle w:val="Heading5"/>
        <w:rPr>
          <w:snapToGrid w:val="0"/>
        </w:rPr>
      </w:pPr>
      <w:bookmarkStart w:id="26" w:name="_Toc103776326"/>
      <w:r>
        <w:rPr>
          <w:rStyle w:val="CharSectno"/>
        </w:rPr>
        <w:lastRenderedPageBreak/>
        <w:t>10</w:t>
      </w:r>
      <w:r>
        <w:rPr>
          <w:snapToGrid w:val="0"/>
        </w:rPr>
        <w:t>.</w:t>
      </w:r>
      <w:r>
        <w:rPr>
          <w:snapToGrid w:val="0"/>
        </w:rPr>
        <w:tab/>
        <w:t>Meetings</w:t>
      </w:r>
      <w:bookmarkEnd w:id="26"/>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keepNext/>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 xml:space="preserve">the </w:t>
      </w:r>
      <w:r>
        <w:t xml:space="preserve">chairperson </w:t>
      </w:r>
      <w:r>
        <w:rPr>
          <w:snapToGrid w:val="0"/>
        </w:rPr>
        <w:t xml:space="preserve">or, where neither the </w:t>
      </w:r>
      <w:r>
        <w:t xml:space="preserve">chairperson </w:t>
      </w:r>
      <w:r>
        <w:rPr>
          <w:snapToGrid w:val="0"/>
        </w:rPr>
        <w:t xml:space="preserve">nor the deputy of the </w:t>
      </w:r>
      <w:r>
        <w:t xml:space="preserve">chairperson </w:t>
      </w:r>
      <w:r>
        <w:rPr>
          <w:snapToGrid w:val="0"/>
        </w:rPr>
        <w:t>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keepNext/>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 SL 2022/36 r. 9.]</w:t>
      </w:r>
    </w:p>
    <w:p>
      <w:pPr>
        <w:pStyle w:val="Heading5"/>
        <w:rPr>
          <w:snapToGrid w:val="0"/>
        </w:rPr>
      </w:pPr>
      <w:bookmarkStart w:id="27" w:name="_Toc103776327"/>
      <w:r>
        <w:rPr>
          <w:rStyle w:val="CharSectno"/>
        </w:rPr>
        <w:t>11</w:t>
      </w:r>
      <w:r>
        <w:rPr>
          <w:snapToGrid w:val="0"/>
        </w:rPr>
        <w:t>.</w:t>
      </w:r>
      <w:r>
        <w:rPr>
          <w:snapToGrid w:val="0"/>
        </w:rPr>
        <w:tab/>
        <w:t>Procedures of Board</w:t>
      </w:r>
      <w:bookmarkEnd w:id="27"/>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28" w:name="_Toc103776328"/>
      <w:r>
        <w:rPr>
          <w:rStyle w:val="CharSectno"/>
        </w:rPr>
        <w:t>12</w:t>
      </w:r>
      <w:r>
        <w:rPr>
          <w:snapToGrid w:val="0"/>
        </w:rPr>
        <w:t>.</w:t>
      </w:r>
      <w:r>
        <w:rPr>
          <w:snapToGrid w:val="0"/>
        </w:rPr>
        <w:tab/>
        <w:t>Remuneration and allowances</w:t>
      </w:r>
      <w:bookmarkEnd w:id="28"/>
      <w:r>
        <w:rPr>
          <w:snapToGrid w:val="0"/>
        </w:rPr>
        <w:t xml:space="preserve"> </w:t>
      </w:r>
    </w:p>
    <w:p>
      <w:pPr>
        <w:pStyle w:val="Subsection"/>
        <w:keepNext/>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w:t>
      </w:r>
      <w:r>
        <w:rPr>
          <w:snapToGrid w:val="0"/>
        </w:rPr>
        <w:lastRenderedPageBreak/>
        <w:t xml:space="preserve">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29" w:name="_Toc103776329"/>
      <w:r>
        <w:rPr>
          <w:rStyle w:val="CharSectno"/>
        </w:rPr>
        <w:t>13</w:t>
      </w:r>
      <w:r>
        <w:rPr>
          <w:snapToGrid w:val="0"/>
        </w:rPr>
        <w:t>.</w:t>
      </w:r>
      <w:r>
        <w:rPr>
          <w:snapToGrid w:val="0"/>
        </w:rPr>
        <w:tab/>
      </w:r>
      <w:r>
        <w:t>Functions of Board</w:t>
      </w:r>
      <w:bookmarkEnd w:id="29"/>
    </w:p>
    <w:p>
      <w:pPr>
        <w:pStyle w:val="Subsection"/>
        <w:keepNext/>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keepNext/>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w:t>
      </w:r>
    </w:p>
    <w:p>
      <w:pPr>
        <w:pStyle w:val="Indenta"/>
      </w:pPr>
      <w:r>
        <w:tab/>
        <w:t>(aa)</w:t>
      </w:r>
      <w:r>
        <w:tab/>
        <w:t>to advise any person, including the Minister and the Director, on the matters referred to in paragraph (a);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lastRenderedPageBreak/>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Ednotesubsection"/>
        <w:keepNext/>
      </w:pPr>
      <w:r>
        <w:tab/>
        <w:t>[(5)</w:t>
      </w:r>
      <w:r>
        <w:tab/>
        <w:t>deleted]</w:t>
      </w:r>
    </w:p>
    <w:p>
      <w:pPr>
        <w:pStyle w:val="Footnotesection"/>
      </w:pPr>
      <w:r>
        <w:tab/>
        <w:t>[Regulation 13 amended: Gazette 23 Dec 1994 p. 7134; 6 Sep 1996 p. 4411; 30 Dec 2004 p. 6990; 31 Dec 2007 p. 6495</w:t>
      </w:r>
      <w:r>
        <w:noBreakHyphen/>
        <w:t xml:space="preserve">6; SL 2022/36 r. 10.] </w:t>
      </w:r>
    </w:p>
    <w:p>
      <w:pPr>
        <w:pStyle w:val="Heading5"/>
        <w:rPr>
          <w:snapToGrid w:val="0"/>
        </w:rPr>
      </w:pPr>
      <w:bookmarkStart w:id="30" w:name="_Toc103776330"/>
      <w:r>
        <w:rPr>
          <w:rStyle w:val="CharSectno"/>
        </w:rPr>
        <w:t>14</w:t>
      </w:r>
      <w:r>
        <w:rPr>
          <w:snapToGrid w:val="0"/>
        </w:rPr>
        <w:t>.</w:t>
      </w:r>
      <w:r>
        <w:rPr>
          <w:snapToGrid w:val="0"/>
        </w:rPr>
        <w:tab/>
        <w:t>Executive officer and other officers</w:t>
      </w:r>
      <w:bookmarkEnd w:id="30"/>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keepNext/>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31" w:name="_Toc103776331"/>
      <w:r>
        <w:rPr>
          <w:rStyle w:val="CharSectno"/>
        </w:rPr>
        <w:t>15</w:t>
      </w:r>
      <w:r>
        <w:rPr>
          <w:rFonts w:ascii="Times" w:hAnsi="Times"/>
        </w:rPr>
        <w:t>.</w:t>
      </w:r>
      <w:r>
        <w:rPr>
          <w:rFonts w:ascii="Times" w:hAnsi="Times"/>
        </w:rPr>
        <w:tab/>
        <w:t>Protection from liability</w:t>
      </w:r>
      <w:bookmarkEnd w:id="31"/>
    </w:p>
    <w:p>
      <w:pPr>
        <w:pStyle w:val="Subsection"/>
        <w:keepNext/>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keepNext/>
      </w:pPr>
      <w:r>
        <w:lastRenderedPageBreak/>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32" w:name="_Toc103760327"/>
      <w:bookmarkStart w:id="33" w:name="_Toc103760672"/>
      <w:bookmarkStart w:id="34" w:name="_Toc103760781"/>
      <w:bookmarkStart w:id="35" w:name="_Toc103776332"/>
      <w:r>
        <w:rPr>
          <w:rStyle w:val="CharPartNo"/>
        </w:rPr>
        <w:lastRenderedPageBreak/>
        <w:t>Part 3</w:t>
      </w:r>
      <w:r>
        <w:rPr>
          <w:rStyle w:val="CharDivNo"/>
        </w:rPr>
        <w:t> </w:t>
      </w:r>
      <w:r>
        <w:t>—</w:t>
      </w:r>
      <w:r>
        <w:rPr>
          <w:rStyle w:val="CharDivText"/>
        </w:rPr>
        <w:t> </w:t>
      </w:r>
      <w:r>
        <w:rPr>
          <w:rStyle w:val="CharPartText"/>
        </w:rPr>
        <w:t>Licensing of electrical workers</w:t>
      </w:r>
      <w:bookmarkEnd w:id="32"/>
      <w:bookmarkEnd w:id="33"/>
      <w:bookmarkEnd w:id="34"/>
      <w:bookmarkEnd w:id="35"/>
      <w:r>
        <w:rPr>
          <w:rStyle w:val="CharPartText"/>
        </w:rPr>
        <w:t xml:space="preserve"> </w:t>
      </w:r>
    </w:p>
    <w:p>
      <w:pPr>
        <w:pStyle w:val="Heading5"/>
        <w:rPr>
          <w:snapToGrid w:val="0"/>
        </w:rPr>
      </w:pPr>
      <w:bookmarkStart w:id="36" w:name="_Toc103776333"/>
      <w:r>
        <w:rPr>
          <w:rStyle w:val="CharSectno"/>
        </w:rPr>
        <w:t>19</w:t>
      </w:r>
      <w:r>
        <w:rPr>
          <w:snapToGrid w:val="0"/>
        </w:rPr>
        <w:t>.</w:t>
      </w:r>
      <w:r>
        <w:rPr>
          <w:snapToGrid w:val="0"/>
        </w:rPr>
        <w:tab/>
        <w:t>Electrical work prohibited unless authorised</w:t>
      </w:r>
      <w:bookmarkEnd w:id="36"/>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relevant training contract</w:t>
      </w:r>
      <w:r>
        <w:t xml:space="preserve">, in relation to an apprentice, means a training contract, as defined in the </w:t>
      </w:r>
      <w:r>
        <w:rPr>
          <w:i/>
        </w:rPr>
        <w:t xml:space="preserve">Vocational Education and Training Act 1996 </w:t>
      </w:r>
      <w:r>
        <w:t>section 60A —</w:t>
      </w:r>
    </w:p>
    <w:p>
      <w:pPr>
        <w:pStyle w:val="Defpara"/>
      </w:pPr>
      <w:r>
        <w:tab/>
        <w:t>(a)</w:t>
      </w:r>
      <w:r>
        <w:tab/>
        <w:t>that is registered under section 60F of that Act; and</w:t>
      </w:r>
    </w:p>
    <w:p>
      <w:pPr>
        <w:pStyle w:val="Defpara"/>
      </w:pPr>
      <w:r>
        <w:tab/>
        <w:t>(b)</w:t>
      </w:r>
      <w:r>
        <w:tab/>
        <w:t>the completion of which by the apprentice would fulfil the requirements of regulation 22(1);</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w:t>
      </w:r>
      <w:r>
        <w:rPr>
          <w:snapToGrid w:val="0"/>
        </w:rPr>
        <w:lastRenderedPageBreak/>
        <w:t xml:space="preserve">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pPr>
      <w:r>
        <w:tab/>
        <w:t>(e)</w:t>
      </w:r>
      <w:r>
        <w:tab/>
        <w:t>to work carried out by a person authorised by the relevant network operator on —</w:t>
      </w:r>
    </w:p>
    <w:p>
      <w:pPr>
        <w:pStyle w:val="Indenti"/>
      </w:pPr>
      <w:r>
        <w:tab/>
        <w:t>(i)</w:t>
      </w:r>
      <w:r>
        <w:tab/>
      </w:r>
      <w:r>
        <w:rPr>
          <w:snapToGrid w:val="0"/>
        </w:rPr>
        <w:t xml:space="preserve">any </w:t>
      </w:r>
      <w:r>
        <w:t xml:space="preserve">service apparatus the property of a major network operator; or </w:t>
      </w:r>
    </w:p>
    <w:p>
      <w:pPr>
        <w:pStyle w:val="Indenti"/>
      </w:pPr>
      <w:r>
        <w:tab/>
        <w:t>(ii)</w:t>
      </w:r>
      <w:r>
        <w:tab/>
        <w:t xml:space="preserve">any service apparatus the property of a consumer and connected to the network of a major network operator; </w:t>
      </w:r>
    </w:p>
    <w:p>
      <w:pPr>
        <w:pStyle w:val="Indenta"/>
      </w:pPr>
      <w:r>
        <w:tab/>
      </w:r>
      <w:r>
        <w:tab/>
        <w:t>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lastRenderedPageBreak/>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keepNext/>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keepNext/>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w:t>
      </w:r>
      <w:r>
        <w:rPr>
          <w:snapToGrid w:val="0"/>
        </w:rPr>
        <w:lastRenderedPageBreak/>
        <w:t xml:space="preserve">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keepNext/>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keepNext/>
      </w:pPr>
      <w:r>
        <w:tab/>
        <w:t>(o)</w:t>
      </w:r>
      <w:r>
        <w:tab/>
        <w:t xml:space="preserve">to the installation of a modular wiring system to be attached to, or included in, office furniture or partitioning if — </w:t>
      </w:r>
    </w:p>
    <w:p>
      <w:pPr>
        <w:pStyle w:val="Indenti"/>
        <w:keepNext/>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keepNext/>
        <w:keepLines/>
      </w:pPr>
      <w:r>
        <w:lastRenderedPageBreak/>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keepNext/>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keepNext/>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Indenta"/>
        <w:keepNext/>
      </w:pPr>
      <w:r>
        <w:tab/>
      </w:r>
      <w:r>
        <w:tab/>
        <w:t>or</w:t>
      </w:r>
    </w:p>
    <w:p>
      <w:pPr>
        <w:pStyle w:val="Indenta"/>
        <w:keepNext/>
        <w:rPr>
          <w:rStyle w:val="DraftersNotes"/>
        </w:rPr>
      </w:pPr>
      <w:r>
        <w:tab/>
        <w:t>(q)</w:t>
      </w:r>
      <w:r>
        <w:tab/>
        <w:t>to electrical work performed by an apprentice who is under a relevant training contract if —</w:t>
      </w:r>
    </w:p>
    <w:p>
      <w:pPr>
        <w:pStyle w:val="Indenti"/>
      </w:pPr>
      <w:r>
        <w:tab/>
        <w:t>(i)</w:t>
      </w:r>
      <w:r>
        <w:tab/>
        <w:t>the electrical work being performed by the apprentice is being supervised by a person who holds an electrician’s licence that authorises the supervisor to carry out the electrical work unsupervised; and</w:t>
      </w:r>
    </w:p>
    <w:p>
      <w:pPr>
        <w:pStyle w:val="Indenti"/>
      </w:pPr>
      <w:r>
        <w:tab/>
        <w:t>(ii)</w:t>
      </w:r>
      <w:r>
        <w:tab/>
        <w:t>the Board has not issued an electrician’s training licence to the apprentice; and</w:t>
      </w:r>
    </w:p>
    <w:p>
      <w:pPr>
        <w:pStyle w:val="Indenti"/>
      </w:pPr>
      <w:r>
        <w:tab/>
        <w:t>(iii)</w:t>
      </w:r>
      <w:r>
        <w:tab/>
        <w:t>the Board has not notified the apprentice that their application for an electrician’s training licence has been refused; and</w:t>
      </w:r>
    </w:p>
    <w:p>
      <w:pPr>
        <w:pStyle w:val="Indenti"/>
      </w:pPr>
      <w:r>
        <w:lastRenderedPageBreak/>
        <w:tab/>
        <w:t>(iv)</w:t>
      </w:r>
      <w:r>
        <w:tab/>
        <w:t xml:space="preserve">less than 60 days has passed since the relevant training contract was registered under the </w:t>
      </w:r>
      <w:r>
        <w:rPr>
          <w:i/>
        </w:rPr>
        <w:t>Vocational Education and Training Act 1996</w:t>
      </w:r>
      <w:r>
        <w:t xml:space="preserve"> section 60F.</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keepNext/>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keepNext/>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SL 2022/36 r. 11.] </w:t>
      </w:r>
    </w:p>
    <w:p>
      <w:pPr>
        <w:pStyle w:val="Heading5"/>
        <w:rPr>
          <w:snapToGrid w:val="0"/>
        </w:rPr>
      </w:pPr>
      <w:bookmarkStart w:id="37" w:name="_Toc103776334"/>
      <w:r>
        <w:rPr>
          <w:rStyle w:val="CharSectno"/>
        </w:rPr>
        <w:t>20</w:t>
      </w:r>
      <w:r>
        <w:rPr>
          <w:snapToGrid w:val="0"/>
        </w:rPr>
        <w:t>.</w:t>
      </w:r>
      <w:r>
        <w:rPr>
          <w:snapToGrid w:val="0"/>
        </w:rPr>
        <w:tab/>
        <w:t>Electrical worker’s licence, types and effect of</w:t>
      </w:r>
      <w:bookmarkEnd w:id="37"/>
    </w:p>
    <w:p>
      <w:pPr>
        <w:pStyle w:val="Subsection"/>
        <w:keepNext/>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lastRenderedPageBreak/>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keepNext/>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38" w:name="_Toc103776335"/>
      <w:r>
        <w:rPr>
          <w:rStyle w:val="CharSectno"/>
        </w:rPr>
        <w:t>21</w:t>
      </w:r>
      <w:r>
        <w:rPr>
          <w:snapToGrid w:val="0"/>
        </w:rPr>
        <w:t>.</w:t>
      </w:r>
      <w:r>
        <w:rPr>
          <w:snapToGrid w:val="0"/>
        </w:rPr>
        <w:tab/>
        <w:t>Permit, effect of</w:t>
      </w:r>
      <w:bookmarkEnd w:id="38"/>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39" w:name="_Toc103776336"/>
      <w:r>
        <w:rPr>
          <w:rStyle w:val="CharSectno"/>
        </w:rPr>
        <w:lastRenderedPageBreak/>
        <w:t>22</w:t>
      </w:r>
      <w:r>
        <w:rPr>
          <w:snapToGrid w:val="0"/>
        </w:rPr>
        <w:t>.</w:t>
      </w:r>
      <w:r>
        <w:rPr>
          <w:snapToGrid w:val="0"/>
        </w:rPr>
        <w:tab/>
        <w:t>Eligibility for electrical worker’s licence</w:t>
      </w:r>
      <w:bookmarkEnd w:id="39"/>
      <w:r>
        <w:rPr>
          <w:snapToGrid w:val="0"/>
        </w:rPr>
        <w:t xml:space="preserve"> </w:t>
      </w:r>
    </w:p>
    <w:p>
      <w:pPr>
        <w:pStyle w:val="Subsection"/>
        <w:keepNext/>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keepNext/>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w:t>
      </w:r>
      <w:r>
        <w:rPr>
          <w:snapToGrid w:val="0"/>
        </w:rPr>
        <w:lastRenderedPageBreak/>
        <w:t>out or has been exempted by the Board from the requirement to pass such examination</w:t>
      </w:r>
      <w:r>
        <w:t xml:space="preserve"> or assessment</w:t>
      </w:r>
      <w:r>
        <w:rPr>
          <w:snapToGrid w:val="0"/>
        </w:rPr>
        <w:t>.</w:t>
      </w:r>
    </w:p>
    <w:p>
      <w:pPr>
        <w:pStyle w:val="Subsection"/>
        <w:keepNext/>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keepNext/>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keepNext/>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keepNext/>
        <w:rPr>
          <w:snapToGrid w:val="0"/>
        </w:rPr>
      </w:pPr>
      <w:r>
        <w:rPr>
          <w:snapToGrid w:val="0"/>
        </w:rPr>
        <w:lastRenderedPageBreak/>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40" w:name="_Toc103776337"/>
      <w:r>
        <w:rPr>
          <w:rStyle w:val="CharSectno"/>
        </w:rPr>
        <w:t>23</w:t>
      </w:r>
      <w:r>
        <w:rPr>
          <w:snapToGrid w:val="0"/>
        </w:rPr>
        <w:t>.</w:t>
      </w:r>
      <w:r>
        <w:rPr>
          <w:snapToGrid w:val="0"/>
        </w:rPr>
        <w:tab/>
        <w:t>Application for licence or permit</w:t>
      </w:r>
      <w:bookmarkEnd w:id="40"/>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Ednotesubsection"/>
      </w:pPr>
      <w:r>
        <w:tab/>
        <w:t>[(1a)</w:t>
      </w:r>
      <w:r>
        <w:tab/>
        <w:t>deleted]</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keepNext/>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SL 2020/196 r. 23.] </w:t>
      </w:r>
    </w:p>
    <w:p>
      <w:pPr>
        <w:pStyle w:val="Heading5"/>
        <w:spacing w:before="180"/>
        <w:rPr>
          <w:snapToGrid w:val="0"/>
        </w:rPr>
      </w:pPr>
      <w:bookmarkStart w:id="41" w:name="_Toc103776338"/>
      <w:r>
        <w:rPr>
          <w:rStyle w:val="CharSectno"/>
        </w:rPr>
        <w:lastRenderedPageBreak/>
        <w:t>24</w:t>
      </w:r>
      <w:r>
        <w:rPr>
          <w:snapToGrid w:val="0"/>
        </w:rPr>
        <w:t>.</w:t>
      </w:r>
      <w:r>
        <w:rPr>
          <w:snapToGrid w:val="0"/>
        </w:rPr>
        <w:tab/>
        <w:t>Issue of licence or permit</w:t>
      </w:r>
      <w:bookmarkEnd w:id="41"/>
      <w:r>
        <w:rPr>
          <w:snapToGrid w:val="0"/>
        </w:rPr>
        <w:t xml:space="preserve"> </w:t>
      </w:r>
    </w:p>
    <w:p>
      <w:pPr>
        <w:pStyle w:val="Subsection"/>
        <w:keepNext/>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keepNext/>
        <w:spacing w:before="180"/>
      </w:pPr>
      <w:r>
        <w:tab/>
        <w:t>(5)</w:t>
      </w:r>
      <w:r>
        <w:tab/>
        <w:t xml:space="preserve">If the Board decides — </w:t>
      </w:r>
    </w:p>
    <w:p>
      <w:pPr>
        <w:pStyle w:val="Indenta"/>
      </w:pPr>
      <w:r>
        <w:tab/>
        <w:t>(a)</w:t>
      </w:r>
      <w:r>
        <w:tab/>
        <w:t>to refuse to issue a licence or permit; or</w:t>
      </w:r>
    </w:p>
    <w:p>
      <w:pPr>
        <w:pStyle w:val="Indenta"/>
        <w:keepNext/>
      </w:pPr>
      <w:r>
        <w:tab/>
        <w:t>(b)</w:t>
      </w:r>
      <w:r>
        <w:tab/>
        <w:t>to issue a licence or permit subject to any restriction or condition,</w:t>
      </w:r>
    </w:p>
    <w:p>
      <w:pPr>
        <w:pStyle w:val="Subsection"/>
        <w:keepNext/>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Ednotesection"/>
      </w:pPr>
      <w:r>
        <w:lastRenderedPageBreak/>
        <w:t>[</w:t>
      </w:r>
      <w:r>
        <w:rPr>
          <w:b/>
        </w:rPr>
        <w:t>25.</w:t>
      </w:r>
      <w:r>
        <w:tab/>
        <w:t>Deleted: SL 2022/36 r. 12.]</w:t>
      </w:r>
    </w:p>
    <w:p>
      <w:pPr>
        <w:pStyle w:val="Heading5"/>
        <w:spacing w:before="240"/>
        <w:rPr>
          <w:snapToGrid w:val="0"/>
        </w:rPr>
      </w:pPr>
      <w:bookmarkStart w:id="42" w:name="_Toc103776339"/>
      <w:r>
        <w:rPr>
          <w:rStyle w:val="CharSectno"/>
        </w:rPr>
        <w:t>26</w:t>
      </w:r>
      <w:r>
        <w:rPr>
          <w:snapToGrid w:val="0"/>
        </w:rPr>
        <w:t>.</w:t>
      </w:r>
      <w:r>
        <w:rPr>
          <w:snapToGrid w:val="0"/>
        </w:rPr>
        <w:tab/>
        <w:t>Duration of registration of licence or permit</w:t>
      </w:r>
      <w:bookmarkEnd w:id="42"/>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keepNext/>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keepNext/>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43" w:name="_Toc103776340"/>
      <w:r>
        <w:rPr>
          <w:rStyle w:val="CharSectno"/>
        </w:rPr>
        <w:lastRenderedPageBreak/>
        <w:t>27</w:t>
      </w:r>
      <w:r>
        <w:rPr>
          <w:snapToGrid w:val="0"/>
        </w:rPr>
        <w:t>.</w:t>
      </w:r>
      <w:r>
        <w:rPr>
          <w:snapToGrid w:val="0"/>
        </w:rPr>
        <w:tab/>
        <w:t>Registration and renewal of registration of licences</w:t>
      </w:r>
      <w:bookmarkEnd w:id="43"/>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keepNext/>
        <w:rPr>
          <w:snapToGrid w:val="0"/>
        </w:rPr>
      </w:pPr>
      <w:r>
        <w:tab/>
        <w:t>(5A)</w:t>
      </w:r>
      <w:r>
        <w:tab/>
        <w:t xml:space="preserve">In subregulation (5), the reference to the period specified in the licence includes the period specified in a certificate of </w:t>
      </w:r>
      <w:r>
        <w:lastRenderedPageBreak/>
        <w:t xml:space="preserve">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44" w:name="_Toc103776341"/>
      <w:r>
        <w:rPr>
          <w:rStyle w:val="CharSectno"/>
        </w:rPr>
        <w:t>28</w:t>
      </w:r>
      <w:r>
        <w:t>.</w:t>
      </w:r>
      <w:r>
        <w:tab/>
        <w:t>Contact details</w:t>
      </w:r>
      <w:bookmarkEnd w:id="44"/>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keepNext/>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keepNext/>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45" w:name="_Toc103776342"/>
      <w:r>
        <w:rPr>
          <w:rStyle w:val="CharSectno"/>
        </w:rPr>
        <w:t>29</w:t>
      </w:r>
      <w:r>
        <w:rPr>
          <w:snapToGrid w:val="0"/>
        </w:rPr>
        <w:t>.</w:t>
      </w:r>
      <w:r>
        <w:rPr>
          <w:snapToGrid w:val="0"/>
        </w:rPr>
        <w:tab/>
        <w:t>Physical examinations and competency tests, Board may require</w:t>
      </w:r>
      <w:bookmarkEnd w:id="45"/>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lastRenderedPageBreak/>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keepNext/>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keepNext/>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keepNext/>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keepNext/>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keepNext/>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46" w:name="_Toc103776343"/>
      <w:r>
        <w:rPr>
          <w:rStyle w:val="CharSectno"/>
        </w:rPr>
        <w:t>30</w:t>
      </w:r>
      <w:r>
        <w:t>.</w:t>
      </w:r>
      <w:r>
        <w:tab/>
        <w:t>Disciplinary action, proper causes for</w:t>
      </w:r>
      <w:bookmarkEnd w:id="46"/>
      <w:r>
        <w:t xml:space="preserve"> </w:t>
      </w:r>
    </w:p>
    <w:p>
      <w:pPr>
        <w:pStyle w:val="Subsection"/>
        <w:keepNext/>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lastRenderedPageBreak/>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keepNext/>
      </w:pPr>
      <w:r>
        <w:tab/>
        <w:t>(d)</w:t>
      </w:r>
      <w:r>
        <w:tab/>
        <w:t xml:space="preserve">has carried out electrical work in a manner that — </w:t>
      </w:r>
    </w:p>
    <w:p>
      <w:pPr>
        <w:pStyle w:val="Indenti"/>
      </w:pPr>
      <w:r>
        <w:tab/>
        <w:t>(i)</w:t>
      </w:r>
      <w:r>
        <w:tab/>
        <w:t>endangers, or is likely to endanger, any person or property; or</w:t>
      </w:r>
    </w:p>
    <w:p>
      <w:pPr>
        <w:pStyle w:val="Indenti"/>
        <w:keepNext/>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keepNext/>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keepNext/>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keepNext/>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47" w:name="_Toc103776344"/>
      <w:r>
        <w:rPr>
          <w:rStyle w:val="CharSectno"/>
        </w:rPr>
        <w:lastRenderedPageBreak/>
        <w:t>31</w:t>
      </w:r>
      <w:r>
        <w:t>.</w:t>
      </w:r>
      <w:r>
        <w:tab/>
        <w:t>Disciplinary action by SAT</w:t>
      </w:r>
      <w:bookmarkEnd w:id="47"/>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keepNext/>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keepNext/>
      </w:pPr>
      <w:r>
        <w:tab/>
        <w:t>(3)</w:t>
      </w:r>
      <w:r>
        <w:tab/>
        <w:t xml:space="preserve">Where any restriction or condition on the authority conferred by a licence or permit is imposed or varied under subregulation (2)(d), the Board may order the return of the </w:t>
      </w:r>
      <w:r>
        <w:lastRenderedPageBreak/>
        <w:t>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48" w:name="_Toc103776345"/>
      <w:r>
        <w:rPr>
          <w:rStyle w:val="CharSectno"/>
        </w:rPr>
        <w:t>31A</w:t>
      </w:r>
      <w:r>
        <w:t>.</w:t>
      </w:r>
      <w:r>
        <w:tab/>
        <w:t>Alternative to seeking disciplinary action under r. 31</w:t>
      </w:r>
      <w:bookmarkEnd w:id="48"/>
    </w:p>
    <w:p>
      <w:pPr>
        <w:pStyle w:val="Subsection"/>
        <w:keepNext/>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keepNext/>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lastRenderedPageBreak/>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keepNext/>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49" w:name="_Toc103776346"/>
      <w:r>
        <w:rPr>
          <w:rStyle w:val="CharSectno"/>
        </w:rPr>
        <w:t>32</w:t>
      </w:r>
      <w:r>
        <w:rPr>
          <w:snapToGrid w:val="0"/>
        </w:rPr>
        <w:t>.</w:t>
      </w:r>
      <w:r>
        <w:rPr>
          <w:snapToGrid w:val="0"/>
        </w:rPr>
        <w:tab/>
        <w:t>Suspension, effect and revocation of</w:t>
      </w:r>
      <w:bookmarkEnd w:id="49"/>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w:t>
      </w:r>
      <w:r>
        <w:rPr>
          <w:snapToGrid w:val="0"/>
        </w:rPr>
        <w:lastRenderedPageBreak/>
        <w:t>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50" w:name="_Toc103760342"/>
      <w:bookmarkStart w:id="51" w:name="_Toc103760687"/>
      <w:bookmarkStart w:id="52" w:name="_Toc103760796"/>
      <w:bookmarkStart w:id="53" w:name="_Toc103776347"/>
      <w:r>
        <w:rPr>
          <w:rStyle w:val="CharPartNo"/>
        </w:rPr>
        <w:lastRenderedPageBreak/>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50"/>
      <w:bookmarkEnd w:id="51"/>
      <w:bookmarkEnd w:id="52"/>
      <w:bookmarkEnd w:id="53"/>
      <w:r>
        <w:rPr>
          <w:rStyle w:val="CharPartText"/>
        </w:rPr>
        <w:t xml:space="preserve"> </w:t>
      </w:r>
    </w:p>
    <w:p>
      <w:pPr>
        <w:pStyle w:val="Heading5"/>
        <w:spacing w:before="240"/>
        <w:rPr>
          <w:snapToGrid w:val="0"/>
        </w:rPr>
      </w:pPr>
      <w:bookmarkStart w:id="54" w:name="_Toc103776348"/>
      <w:r>
        <w:rPr>
          <w:rStyle w:val="CharSectno"/>
        </w:rPr>
        <w:t>33</w:t>
      </w:r>
      <w:r>
        <w:rPr>
          <w:snapToGrid w:val="0"/>
        </w:rPr>
        <w:t>.</w:t>
      </w:r>
      <w:r>
        <w:rPr>
          <w:snapToGrid w:val="0"/>
        </w:rPr>
        <w:tab/>
        <w:t>Electrical contracting prohibited unless authorised</w:t>
      </w:r>
      <w:bookmarkEnd w:id="54"/>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Lines w:val="0"/>
        <w:spacing w:before="180"/>
        <w:rPr>
          <w:snapToGrid w:val="0"/>
        </w:rPr>
      </w:pPr>
      <w:bookmarkStart w:id="55" w:name="_Toc103776349"/>
      <w:r>
        <w:rPr>
          <w:rStyle w:val="CharSectno"/>
        </w:rPr>
        <w:lastRenderedPageBreak/>
        <w:t>34</w:t>
      </w:r>
      <w:r>
        <w:rPr>
          <w:snapToGrid w:val="0"/>
        </w:rPr>
        <w:t>.</w:t>
      </w:r>
      <w:r>
        <w:rPr>
          <w:snapToGrid w:val="0"/>
        </w:rPr>
        <w:tab/>
        <w:t>Contracting with unlicensed person for electrical installing work, offence</w:t>
      </w:r>
      <w:bookmarkEnd w:id="55"/>
      <w:r>
        <w:rPr>
          <w:snapToGrid w:val="0"/>
        </w:rPr>
        <w:t xml:space="preserve"> </w:t>
      </w:r>
    </w:p>
    <w:p>
      <w:pPr>
        <w:pStyle w:val="Subsection"/>
        <w:keepLines/>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56" w:name="_Toc103776350"/>
      <w:r>
        <w:rPr>
          <w:rStyle w:val="CharSectno"/>
        </w:rPr>
        <w:t>35</w:t>
      </w:r>
      <w:r>
        <w:rPr>
          <w:snapToGrid w:val="0"/>
        </w:rPr>
        <w:t>.</w:t>
      </w:r>
      <w:r>
        <w:rPr>
          <w:snapToGrid w:val="0"/>
        </w:rPr>
        <w:tab/>
        <w:t>False representations as to completed electrical work</w:t>
      </w:r>
      <w:bookmarkEnd w:id="56"/>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57" w:name="_Toc103776351"/>
      <w:r>
        <w:rPr>
          <w:rStyle w:val="CharSectno"/>
        </w:rPr>
        <w:t>36</w:t>
      </w:r>
      <w:r>
        <w:rPr>
          <w:snapToGrid w:val="0"/>
        </w:rPr>
        <w:t>.</w:t>
      </w:r>
      <w:r>
        <w:rPr>
          <w:snapToGrid w:val="0"/>
        </w:rPr>
        <w:tab/>
        <w:t>Eligibility for electrical contractor’s licence</w:t>
      </w:r>
      <w:bookmarkEnd w:id="57"/>
      <w:r>
        <w:rPr>
          <w:snapToGrid w:val="0"/>
        </w:rPr>
        <w:t xml:space="preserve"> </w:t>
      </w:r>
    </w:p>
    <w:p>
      <w:pPr>
        <w:pStyle w:val="Subsection"/>
        <w:keepNext/>
        <w:rPr>
          <w:snapToGrid w:val="0"/>
        </w:rPr>
      </w:pPr>
      <w:r>
        <w:rPr>
          <w:snapToGrid w:val="0"/>
        </w:rPr>
        <w:tab/>
        <w:t>(1)</w:t>
      </w:r>
      <w:r>
        <w:rPr>
          <w:snapToGrid w:val="0"/>
        </w:rPr>
        <w:tab/>
        <w:t>Subject to these regulations, an electrical contractor’s licence may be issued under this Part to an individual if — </w:t>
      </w:r>
    </w:p>
    <w:p>
      <w:pPr>
        <w:pStyle w:val="Indenta"/>
        <w:keepNext/>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Next/>
        <w:rPr>
          <w:snapToGrid w:val="0"/>
        </w:rPr>
      </w:pPr>
      <w:r>
        <w:rPr>
          <w:snapToGrid w:val="0"/>
        </w:rPr>
        <w:tab/>
        <w:t>(iii)</w:t>
      </w:r>
      <w:r>
        <w:rPr>
          <w:snapToGrid w:val="0"/>
        </w:rPr>
        <w:tab/>
        <w:t xml:space="preserve">has, to the satisfaction of the Board, completed any training that is specified by the Board and </w:t>
      </w:r>
      <w:r>
        <w:rPr>
          <w:snapToGrid w:val="0"/>
        </w:rPr>
        <w:lastRenderedPageBreak/>
        <w:t xml:space="preserve">provided by a training institution approved by the </w:t>
      </w:r>
      <w:r>
        <w:t>Board;</w:t>
      </w:r>
    </w:p>
    <w:p>
      <w:pPr>
        <w:pStyle w:val="Ednotesubpara"/>
        <w:keepNext/>
      </w:pPr>
      <w:r>
        <w:tab/>
        <w:t>[(iv)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and</w:t>
      </w:r>
    </w:p>
    <w:p>
      <w:pPr>
        <w:pStyle w:val="Indenta"/>
      </w:pPr>
      <w:r>
        <w:tab/>
        <w:t>(c)</w:t>
      </w:r>
      <w:r>
        <w:tab/>
        <w:t>the individual holds a current policy of insurance against civil liability, in respect of the individual’s work as an electrical contractor, that complies with the requirements specified by the Board.</w:t>
      </w:r>
    </w:p>
    <w:p>
      <w:pPr>
        <w:pStyle w:val="Subsection"/>
        <w:keepNext/>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 xml:space="preserve">at least one member of the firm, or a person in its employ nominated by it, meets the requirements specified in </w:t>
      </w:r>
      <w:r>
        <w:t>subregulation (1)(a) and (b);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 and </w:t>
      </w:r>
    </w:p>
    <w:p>
      <w:pPr>
        <w:pStyle w:val="Indenta"/>
      </w:pPr>
      <w:r>
        <w:tab/>
        <w:t>(c)</w:t>
      </w:r>
      <w:r>
        <w:tab/>
        <w:t>the firm holds a current policy of insurance against civil liability, in respect of the firm’s work as an electrical contractor, that complies with the requirements specified by the Board.</w:t>
      </w:r>
    </w:p>
    <w:p>
      <w:pPr>
        <w:pStyle w:val="Subsection"/>
        <w:keepNext/>
        <w:spacing w:before="180"/>
        <w:rPr>
          <w:snapToGrid w:val="0"/>
        </w:rPr>
      </w:pPr>
      <w:r>
        <w:rPr>
          <w:snapToGrid w:val="0"/>
        </w:rPr>
        <w:lastRenderedPageBreak/>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(1)(a) and (b); and</w:t>
      </w:r>
    </w:p>
    <w:p>
      <w:pPr>
        <w:pStyle w:val="Indenta"/>
        <w:keepNext/>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 and </w:t>
      </w:r>
    </w:p>
    <w:p>
      <w:pPr>
        <w:pStyle w:val="Indenta"/>
      </w:pPr>
      <w:r>
        <w:tab/>
        <w:t>(c)</w:t>
      </w:r>
      <w:r>
        <w:tab/>
        <w:t>the body corporate holds a current policy of insurance against civil liability, in respect of the body corporate’s work as an electrical contractor, that complies with the requirements specified by the Board.</w:t>
      </w:r>
    </w:p>
    <w:p>
      <w:pPr>
        <w:pStyle w:val="Footnotesection"/>
        <w:ind w:left="890" w:hanging="890"/>
      </w:pPr>
      <w:r>
        <w:tab/>
        <w:t>[Regulation 36 amended: Gazette 23 Dec 1994 p. 7135; 6 Sep 1996 p. 4414</w:t>
      </w:r>
      <w:r>
        <w:noBreakHyphen/>
        <w:t>15; 31 Dec 2007 p. 6509</w:t>
      </w:r>
      <w:r>
        <w:noBreakHyphen/>
        <w:t xml:space="preserve">10; SL 2022/36 r. 13.] </w:t>
      </w:r>
    </w:p>
    <w:p>
      <w:pPr>
        <w:pStyle w:val="Heading5"/>
        <w:keepNext w:val="0"/>
        <w:keepLines w:val="0"/>
        <w:rPr>
          <w:snapToGrid w:val="0"/>
        </w:rPr>
      </w:pPr>
      <w:bookmarkStart w:id="58" w:name="_Toc103776352"/>
      <w:r>
        <w:rPr>
          <w:rStyle w:val="CharSectno"/>
        </w:rPr>
        <w:t>37</w:t>
      </w:r>
      <w:r>
        <w:rPr>
          <w:snapToGrid w:val="0"/>
        </w:rPr>
        <w:t>.</w:t>
      </w:r>
      <w:r>
        <w:rPr>
          <w:snapToGrid w:val="0"/>
        </w:rPr>
        <w:tab/>
        <w:t>In</w:t>
      </w:r>
      <w:r>
        <w:rPr>
          <w:snapToGrid w:val="0"/>
        </w:rPr>
        <w:noBreakHyphen/>
        <w:t>house electrical installing work, when permitted</w:t>
      </w:r>
      <w:bookmarkEnd w:id="58"/>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keepNext/>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Lines/>
        <w:rPr>
          <w:snapToGrid w:val="0"/>
        </w:rPr>
      </w:pPr>
      <w:r>
        <w:rPr>
          <w:snapToGrid w:val="0"/>
        </w:rPr>
        <w:lastRenderedPageBreak/>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keepNext/>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keepNext/>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lastRenderedPageBreak/>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59" w:name="_Toc103776353"/>
      <w:r>
        <w:rPr>
          <w:rStyle w:val="CharSectno"/>
        </w:rPr>
        <w:t>38</w:t>
      </w:r>
      <w:r>
        <w:rPr>
          <w:snapToGrid w:val="0"/>
        </w:rPr>
        <w:t>.</w:t>
      </w:r>
      <w:r>
        <w:rPr>
          <w:snapToGrid w:val="0"/>
        </w:rPr>
        <w:tab/>
        <w:t>Nominees under r. 36 and 37, cancelling etc.</w:t>
      </w:r>
      <w:bookmarkEnd w:id="59"/>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keepNext/>
      </w:pPr>
      <w:r>
        <w:tab/>
        <w:t>(2a)</w:t>
      </w:r>
      <w:r>
        <w:tab/>
        <w:t xml:space="preserve">The holder of a licence may nominate a person — </w:t>
      </w:r>
    </w:p>
    <w:p>
      <w:pPr>
        <w:pStyle w:val="Indenta"/>
      </w:pPr>
      <w:r>
        <w:tab/>
        <w:t>(a)</w:t>
      </w:r>
      <w:r>
        <w:tab/>
        <w:t>as a replacement for a nominee; or</w:t>
      </w:r>
    </w:p>
    <w:p>
      <w:pPr>
        <w:pStyle w:val="Indenta"/>
        <w:keepNext/>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w:t>
      </w:r>
      <w:r>
        <w:rPr>
          <w:snapToGrid w:val="0"/>
        </w:rPr>
        <w:lastRenderedPageBreak/>
        <w:t>person who is so ineligible to continue to be his or her</w:t>
      </w:r>
      <w:r>
        <w:t xml:space="preserve"> nominee</w:t>
      </w:r>
      <w:r>
        <w:rPr>
          <w:snapToGrid w:val="0"/>
        </w:rPr>
        <w:t>, the holder of the licence commits an offence.</w:t>
      </w:r>
    </w:p>
    <w:p>
      <w:pPr>
        <w:pStyle w:val="Subsection"/>
        <w:keepNext/>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keepNext/>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keepNext/>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keepNext/>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60" w:name="_Toc103776354"/>
      <w:r>
        <w:rPr>
          <w:rStyle w:val="CharSectno"/>
        </w:rPr>
        <w:t>38A</w:t>
      </w:r>
      <w:r>
        <w:t>.</w:t>
      </w:r>
      <w:r>
        <w:tab/>
        <w:t>Nominee not required to comply with certain directions</w:t>
      </w:r>
      <w:bookmarkEnd w:id="60"/>
    </w:p>
    <w:p>
      <w:pPr>
        <w:pStyle w:val="Subsection"/>
        <w:keepNext/>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61" w:name="_Toc103776355"/>
      <w:r>
        <w:rPr>
          <w:rStyle w:val="CharSectno"/>
        </w:rPr>
        <w:lastRenderedPageBreak/>
        <w:t>39</w:t>
      </w:r>
      <w:r>
        <w:rPr>
          <w:snapToGrid w:val="0"/>
        </w:rPr>
        <w:t>.</w:t>
      </w:r>
      <w:r>
        <w:rPr>
          <w:snapToGrid w:val="0"/>
        </w:rPr>
        <w:tab/>
        <w:t>Applications for licences and renewals of registration</w:t>
      </w:r>
      <w:bookmarkEnd w:id="61"/>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keepNext/>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62" w:name="_Toc103776356"/>
      <w:r>
        <w:rPr>
          <w:rStyle w:val="CharSectno"/>
        </w:rPr>
        <w:t>40</w:t>
      </w:r>
      <w:r>
        <w:rPr>
          <w:snapToGrid w:val="0"/>
        </w:rPr>
        <w:t>.</w:t>
      </w:r>
      <w:r>
        <w:rPr>
          <w:snapToGrid w:val="0"/>
        </w:rPr>
        <w:tab/>
        <w:t>Issue and registration of licence</w:t>
      </w:r>
      <w:bookmarkEnd w:id="62"/>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keepNext/>
      </w:pPr>
      <w:r>
        <w:lastRenderedPageBreak/>
        <w:tab/>
        <w:t>(4)</w:t>
      </w:r>
      <w:r>
        <w:tab/>
        <w:t xml:space="preserve">If the Board decides — </w:t>
      </w:r>
    </w:p>
    <w:p>
      <w:pPr>
        <w:pStyle w:val="Indenta"/>
      </w:pPr>
      <w:r>
        <w:tab/>
        <w:t>(a)</w:t>
      </w:r>
      <w:r>
        <w:tab/>
        <w:t>to refuse to issue a licence; or</w:t>
      </w:r>
    </w:p>
    <w:p>
      <w:pPr>
        <w:pStyle w:val="Indenta"/>
        <w:keepNext/>
      </w:pPr>
      <w:r>
        <w:tab/>
        <w:t>(b)</w:t>
      </w:r>
      <w:r>
        <w:tab/>
        <w:t>to issue a licence subject to any restriction or condition,</w:t>
      </w:r>
    </w:p>
    <w:p>
      <w:pPr>
        <w:pStyle w:val="Subsection"/>
        <w:keepNext/>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63" w:name="_Toc103776357"/>
      <w:r>
        <w:rPr>
          <w:rStyle w:val="CharSectno"/>
        </w:rPr>
        <w:t>41</w:t>
      </w:r>
      <w:r>
        <w:rPr>
          <w:snapToGrid w:val="0"/>
        </w:rPr>
        <w:t>.</w:t>
      </w:r>
      <w:r>
        <w:rPr>
          <w:snapToGrid w:val="0"/>
        </w:rPr>
        <w:tab/>
        <w:t>Changes to firm, effect of on firm’s licence</w:t>
      </w:r>
      <w:bookmarkEnd w:id="63"/>
    </w:p>
    <w:p>
      <w:pPr>
        <w:pStyle w:val="Subsection"/>
        <w:keepNext/>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keepNext/>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64" w:name="_Toc103776358"/>
      <w:r>
        <w:rPr>
          <w:rStyle w:val="CharSectno"/>
        </w:rPr>
        <w:t>42</w:t>
      </w:r>
      <w:r>
        <w:rPr>
          <w:snapToGrid w:val="0"/>
        </w:rPr>
        <w:t>.</w:t>
      </w:r>
      <w:r>
        <w:rPr>
          <w:snapToGrid w:val="0"/>
        </w:rPr>
        <w:tab/>
        <w:t>Changes to firm, Board to be notified of</w:t>
      </w:r>
      <w:bookmarkEnd w:id="64"/>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65" w:name="_Toc103776359"/>
      <w:r>
        <w:rPr>
          <w:rStyle w:val="CharSectno"/>
        </w:rPr>
        <w:t>43</w:t>
      </w:r>
      <w:r>
        <w:rPr>
          <w:snapToGrid w:val="0"/>
        </w:rPr>
        <w:t>.</w:t>
      </w:r>
      <w:r>
        <w:rPr>
          <w:snapToGrid w:val="0"/>
        </w:rPr>
        <w:tab/>
        <w:t>Duration of registration of licence</w:t>
      </w:r>
      <w:bookmarkEnd w:id="65"/>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keepNext/>
      </w:pPr>
      <w:r>
        <w:lastRenderedPageBreak/>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66" w:name="_Toc103776360"/>
      <w:r>
        <w:rPr>
          <w:rStyle w:val="CharSectno"/>
        </w:rPr>
        <w:t>44</w:t>
      </w:r>
      <w:r>
        <w:rPr>
          <w:snapToGrid w:val="0"/>
        </w:rPr>
        <w:t>.</w:t>
      </w:r>
      <w:r>
        <w:rPr>
          <w:snapToGrid w:val="0"/>
        </w:rPr>
        <w:tab/>
        <w:t>Renewal of registration of licence</w:t>
      </w:r>
      <w:bookmarkEnd w:id="66"/>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67" w:name="_Toc103776361"/>
      <w:r>
        <w:rPr>
          <w:rStyle w:val="CharSectno"/>
        </w:rPr>
        <w:lastRenderedPageBreak/>
        <w:t>44A</w:t>
      </w:r>
      <w:r>
        <w:t>.</w:t>
      </w:r>
      <w:r>
        <w:tab/>
        <w:t>Insurance of licensed electrical contractor, Board may require details of</w:t>
      </w:r>
      <w:bookmarkEnd w:id="67"/>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keepNext/>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68" w:name="_Toc103776362"/>
      <w:r>
        <w:rPr>
          <w:rStyle w:val="CharSectno"/>
        </w:rPr>
        <w:t>45</w:t>
      </w:r>
      <w:r>
        <w:rPr>
          <w:snapToGrid w:val="0"/>
        </w:rPr>
        <w:t>.</w:t>
      </w:r>
      <w:r>
        <w:rPr>
          <w:snapToGrid w:val="0"/>
        </w:rPr>
        <w:tab/>
        <w:t>Place of business, display of licence at and change of etc.</w:t>
      </w:r>
      <w:bookmarkEnd w:id="68"/>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keepNext/>
        <w:rPr>
          <w:snapToGrid w:val="0"/>
        </w:rPr>
      </w:pPr>
      <w:r>
        <w:rPr>
          <w:snapToGrid w:val="0"/>
        </w:rPr>
        <w:tab/>
        <w:t>(4)</w:t>
      </w:r>
      <w:r>
        <w:rPr>
          <w:snapToGrid w:val="0"/>
        </w:rPr>
        <w:tab/>
        <w:t xml:space="preserve">The holder of a licence shall ensure that he or she or a responsible person employed by him or her is informed of any </w:t>
      </w:r>
      <w:r>
        <w:rPr>
          <w:snapToGrid w:val="0"/>
        </w:rPr>
        <w:lastRenderedPageBreak/>
        <w:t>electrical work being undertaken at any time under the authority of his or her licence.</w:t>
      </w:r>
    </w:p>
    <w:p>
      <w:pPr>
        <w:pStyle w:val="Footnotesection"/>
      </w:pPr>
      <w:r>
        <w:tab/>
        <w:t>[Regulation 45 amended: Gazette 31 Dec 2007 p. 6514.]</w:t>
      </w:r>
    </w:p>
    <w:p>
      <w:pPr>
        <w:pStyle w:val="Heading5"/>
        <w:spacing w:before="180"/>
      </w:pPr>
      <w:bookmarkStart w:id="69" w:name="_Toc103776363"/>
      <w:r>
        <w:rPr>
          <w:rStyle w:val="CharSectno"/>
        </w:rPr>
        <w:t>45A</w:t>
      </w:r>
      <w:r>
        <w:t>.</w:t>
      </w:r>
      <w:r>
        <w:tab/>
        <w:t>Physical examinations, Board may require</w:t>
      </w:r>
      <w:bookmarkEnd w:id="69"/>
    </w:p>
    <w:p>
      <w:pPr>
        <w:pStyle w:val="Subsection"/>
        <w:keepNext/>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keepNext/>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keepNext/>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keepNext/>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lastRenderedPageBreak/>
        <w:tab/>
        <w:t>(c)</w:t>
      </w:r>
      <w:r>
        <w:tab/>
        <w:t>fails in that examination to meet the standards considered by the Board to be appropriate.</w:t>
      </w:r>
    </w:p>
    <w:p>
      <w:pPr>
        <w:pStyle w:val="Subsection"/>
        <w:keepNext/>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keepNext/>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70" w:name="_Toc103776364"/>
      <w:r>
        <w:rPr>
          <w:rStyle w:val="CharSectno"/>
        </w:rPr>
        <w:t>46</w:t>
      </w:r>
      <w:r>
        <w:rPr>
          <w:snapToGrid w:val="0"/>
        </w:rPr>
        <w:t>.</w:t>
      </w:r>
      <w:r>
        <w:rPr>
          <w:snapToGrid w:val="0"/>
        </w:rPr>
        <w:tab/>
        <w:t>Disciplinary action, proper causes for</w:t>
      </w:r>
      <w:bookmarkEnd w:id="70"/>
    </w:p>
    <w:p>
      <w:pPr>
        <w:pStyle w:val="Subsection"/>
        <w:keepNext/>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keepNext/>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keepNext/>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keepLines/>
        <w:rPr>
          <w:snapToGrid w:val="0"/>
        </w:rPr>
      </w:pPr>
      <w:r>
        <w:rPr>
          <w:snapToGrid w:val="0"/>
        </w:rPr>
        <w:lastRenderedPageBreak/>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keepNext/>
      </w:pPr>
      <w:r>
        <w:tab/>
        <w:t>(1a)</w:t>
      </w:r>
      <w:r>
        <w:tab/>
        <w:t xml:space="preserve">In subregulation (1) — </w:t>
      </w:r>
    </w:p>
    <w:p>
      <w:pPr>
        <w:pStyle w:val="Defstart"/>
        <w:keepNex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keepNext/>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71" w:name="_Toc103776365"/>
      <w:r>
        <w:rPr>
          <w:rStyle w:val="CharSectno"/>
        </w:rPr>
        <w:t>47</w:t>
      </w:r>
      <w:r>
        <w:rPr>
          <w:snapToGrid w:val="0"/>
        </w:rPr>
        <w:t>.</w:t>
      </w:r>
      <w:r>
        <w:rPr>
          <w:snapToGrid w:val="0"/>
        </w:rPr>
        <w:tab/>
        <w:t>Disciplinary action by SAT</w:t>
      </w:r>
      <w:bookmarkEnd w:id="71"/>
    </w:p>
    <w:p>
      <w:pPr>
        <w:pStyle w:val="Subsection"/>
        <w:keepNext/>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keepNext/>
      </w:pPr>
      <w:r>
        <w:tab/>
        <w:t>(1ab)</w:t>
      </w:r>
      <w:r>
        <w:tab/>
        <w:t xml:space="preserve">In subregulation (2)(a), (b), (c), (f) and (g)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lastRenderedPageBreak/>
        <w:tab/>
        <w:t>(1)</w:t>
      </w:r>
      <w:r>
        <w:rPr>
          <w:snapToGrid w:val="0"/>
        </w:rPr>
        <w:tab/>
        <w:t>The Director may allege to the State Administrative Tribunal that there is proper cause for disciplinary action, as mentioned in regulation 46(1), against the holder of a licence.</w:t>
      </w:r>
    </w:p>
    <w:p>
      <w:pPr>
        <w:pStyle w:val="Subsection"/>
        <w:keepNext/>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keepNext/>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72" w:name="_Toc103776366"/>
      <w:r>
        <w:rPr>
          <w:rStyle w:val="CharSectno"/>
        </w:rPr>
        <w:lastRenderedPageBreak/>
        <w:t>47A</w:t>
      </w:r>
      <w:r>
        <w:rPr>
          <w:snapToGrid w:val="0"/>
        </w:rPr>
        <w:t>.</w:t>
      </w:r>
      <w:r>
        <w:rPr>
          <w:snapToGrid w:val="0"/>
        </w:rPr>
        <w:tab/>
        <w:t>Alternative to seeking disciplinary action under r. 47</w:t>
      </w:r>
      <w:bookmarkEnd w:id="72"/>
    </w:p>
    <w:p>
      <w:pPr>
        <w:pStyle w:val="Subsection"/>
        <w:keepNext/>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keepNext/>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keepNext/>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lastRenderedPageBreak/>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keepNext/>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73" w:name="_Toc103776367"/>
      <w:r>
        <w:rPr>
          <w:rStyle w:val="CharSectno"/>
        </w:rPr>
        <w:t>47B</w:t>
      </w:r>
      <w:r>
        <w:t>.</w:t>
      </w:r>
      <w:r>
        <w:tab/>
        <w:t>Suspension, effect and revocation of</w:t>
      </w:r>
      <w:bookmarkEnd w:id="73"/>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lastRenderedPageBreak/>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keepNext/>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74" w:name="_Toc103776368"/>
      <w:r>
        <w:rPr>
          <w:rStyle w:val="CharSectno"/>
        </w:rPr>
        <w:t>47C</w:t>
      </w:r>
      <w:r>
        <w:t>.</w:t>
      </w:r>
      <w:r>
        <w:tab/>
        <w:t>Nominees to be notified of cancellation or suspension of licence</w:t>
      </w:r>
      <w:bookmarkEnd w:id="74"/>
    </w:p>
    <w:p>
      <w:pPr>
        <w:pStyle w:val="Subsection"/>
        <w:keepNext/>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75" w:name="_Toc103760364"/>
      <w:bookmarkStart w:id="76" w:name="_Toc103760709"/>
      <w:bookmarkStart w:id="77" w:name="_Toc103760818"/>
      <w:bookmarkStart w:id="78" w:name="_Toc103776369"/>
      <w:r>
        <w:rPr>
          <w:rStyle w:val="CharPartNo"/>
        </w:rPr>
        <w:lastRenderedPageBreak/>
        <w:t>Part 5</w:t>
      </w:r>
      <w:r>
        <w:t> — </w:t>
      </w:r>
      <w:r>
        <w:rPr>
          <w:rStyle w:val="CharPartText"/>
        </w:rPr>
        <w:t>Regulation of electrical work</w:t>
      </w:r>
      <w:bookmarkEnd w:id="75"/>
      <w:bookmarkEnd w:id="76"/>
      <w:bookmarkEnd w:id="77"/>
      <w:bookmarkEnd w:id="78"/>
      <w:r>
        <w:rPr>
          <w:rStyle w:val="CharPartText"/>
        </w:rPr>
        <w:t xml:space="preserve"> </w:t>
      </w:r>
    </w:p>
    <w:p>
      <w:pPr>
        <w:pStyle w:val="Heading3"/>
      </w:pPr>
      <w:bookmarkStart w:id="79" w:name="_Toc103760365"/>
      <w:bookmarkStart w:id="80" w:name="_Toc103760710"/>
      <w:bookmarkStart w:id="81" w:name="_Toc103760819"/>
      <w:bookmarkStart w:id="82" w:name="_Toc103776370"/>
      <w:r>
        <w:rPr>
          <w:rStyle w:val="CharDivNo"/>
        </w:rPr>
        <w:t>Division 1</w:t>
      </w:r>
      <w:r>
        <w:t> — </w:t>
      </w:r>
      <w:r>
        <w:rPr>
          <w:rStyle w:val="CharDivText"/>
        </w:rPr>
        <w:t>General regulation of electrical work</w:t>
      </w:r>
      <w:bookmarkEnd w:id="79"/>
      <w:bookmarkEnd w:id="80"/>
      <w:bookmarkEnd w:id="81"/>
      <w:bookmarkEnd w:id="82"/>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83" w:name="_Toc103776371"/>
      <w:r>
        <w:rPr>
          <w:rStyle w:val="CharSectno"/>
        </w:rPr>
        <w:t>49</w:t>
      </w:r>
      <w:r>
        <w:rPr>
          <w:snapToGrid w:val="0"/>
        </w:rPr>
        <w:t>.</w:t>
      </w:r>
      <w:r>
        <w:rPr>
          <w:snapToGrid w:val="0"/>
        </w:rPr>
        <w:tab/>
      </w:r>
      <w:r>
        <w:t>Requirements for electrical work</w:t>
      </w:r>
      <w:bookmarkEnd w:id="83"/>
    </w:p>
    <w:p>
      <w:pPr>
        <w:pStyle w:val="Subsection"/>
        <w:keepNext/>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w:t>
      </w:r>
      <w:r>
        <w:t>Rules;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as amended by the additional requirements specified by the Director and published in the </w:t>
      </w:r>
      <w:r>
        <w:rPr>
          <w:i/>
        </w:rPr>
        <w:t>Government Gazette</w:t>
      </w:r>
      <w:r>
        <w:t xml:space="preserve"> on 23 August 2019 at page 3103; and</w:t>
      </w:r>
    </w:p>
    <w:p>
      <w:pPr>
        <w:pStyle w:val="Indenta"/>
      </w:pPr>
      <w:r>
        <w:tab/>
        <w:t>(c)</w:t>
      </w:r>
      <w:r>
        <w:tab/>
        <w:t>the standards specified in Schedule 2;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keepNext/>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keepNext/>
      </w:pPr>
      <w:r>
        <w:lastRenderedPageBreak/>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keepNext/>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keepNext/>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SL 2022/36 r. 14.] </w:t>
      </w:r>
    </w:p>
    <w:p>
      <w:pPr>
        <w:pStyle w:val="Heading5"/>
      </w:pPr>
      <w:bookmarkStart w:id="84" w:name="_Toc103776372"/>
      <w:r>
        <w:rPr>
          <w:rStyle w:val="CharSectno"/>
        </w:rPr>
        <w:t>49A</w:t>
      </w:r>
      <w:r>
        <w:t>.</w:t>
      </w:r>
      <w:r>
        <w:tab/>
        <w:t>Electrical installation designers, duties of</w:t>
      </w:r>
      <w:bookmarkEnd w:id="84"/>
    </w:p>
    <w:p>
      <w:pPr>
        <w:pStyle w:val="Subsection"/>
        <w:keepNext/>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keepNext/>
      </w:pPr>
      <w:r>
        <w:lastRenderedPageBreak/>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85" w:name="_Toc103776373"/>
      <w:r>
        <w:rPr>
          <w:rStyle w:val="CharSectno"/>
        </w:rPr>
        <w:t>49B</w:t>
      </w:r>
      <w:r>
        <w:t>.</w:t>
      </w:r>
      <w:r>
        <w:tab/>
        <w:t>Electrical work to be carried out to safe standard and completed to trade finish</w:t>
      </w:r>
      <w:bookmarkEnd w:id="85"/>
    </w:p>
    <w:p>
      <w:pPr>
        <w:pStyle w:val="Subsection"/>
        <w:keepNext/>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keepNext/>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86" w:name="_Toc103776374"/>
      <w:r>
        <w:rPr>
          <w:rStyle w:val="CharSectno"/>
        </w:rPr>
        <w:t>49C</w:t>
      </w:r>
      <w:r>
        <w:t>.</w:t>
      </w:r>
      <w:r>
        <w:tab/>
        <w:t>Supervision of electrical work: interpretation</w:t>
      </w:r>
      <w:bookmarkEnd w:id="86"/>
    </w:p>
    <w:p>
      <w:pPr>
        <w:pStyle w:val="Subsection"/>
        <w:keepNext/>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keepNext/>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87" w:name="_Toc103776375"/>
      <w:r>
        <w:rPr>
          <w:rStyle w:val="CharSectno"/>
        </w:rPr>
        <w:lastRenderedPageBreak/>
        <w:t>49D</w:t>
      </w:r>
      <w:r>
        <w:t>.</w:t>
      </w:r>
      <w:r>
        <w:tab/>
        <w:t>Supervision of electrical work: levels of supervision</w:t>
      </w:r>
      <w:bookmarkEnd w:id="87"/>
    </w:p>
    <w:p>
      <w:pPr>
        <w:pStyle w:val="Subsection"/>
        <w:keepNext/>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keepNext/>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keepNext/>
      </w:pPr>
      <w:r>
        <w:tab/>
        <w:t>(c)</w:t>
      </w:r>
      <w:r>
        <w:tab/>
        <w:t xml:space="preserve">while the electrical work is being carried out — </w:t>
      </w:r>
    </w:p>
    <w:p>
      <w:pPr>
        <w:pStyle w:val="Indenti"/>
      </w:pPr>
      <w:r>
        <w:tab/>
        <w:t>(i)</w:t>
      </w:r>
      <w:r>
        <w:tab/>
        <w:t>is readily available or contactable to provide advice and guidance; and</w:t>
      </w:r>
    </w:p>
    <w:p>
      <w:pPr>
        <w:pStyle w:val="Indenti"/>
        <w:keepNext/>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keepNext/>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lastRenderedPageBreak/>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keepNext/>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keepNext/>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keepNext/>
      </w:pPr>
      <w:r>
        <w:lastRenderedPageBreak/>
        <w:tab/>
        <w:t>(iv)</w:t>
      </w:r>
      <w:r>
        <w:tab/>
        <w:t>checks, as required, that the work complies with these regulations and is carried out to a trade finish;</w:t>
      </w:r>
    </w:p>
    <w:p>
      <w:pPr>
        <w:pStyle w:val="Indenta"/>
      </w:pPr>
      <w:r>
        <w:tab/>
      </w:r>
      <w:r>
        <w:tab/>
        <w:t>and</w:t>
      </w:r>
    </w:p>
    <w:p>
      <w:pPr>
        <w:pStyle w:val="Indenta"/>
        <w:keepNext/>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88" w:name="_Toc103776376"/>
      <w:r>
        <w:rPr>
          <w:rStyle w:val="CharSectno"/>
        </w:rPr>
        <w:t>50</w:t>
      </w:r>
      <w:r>
        <w:rPr>
          <w:snapToGrid w:val="0"/>
        </w:rPr>
        <w:t>.</w:t>
      </w:r>
      <w:r>
        <w:rPr>
          <w:snapToGrid w:val="0"/>
        </w:rPr>
        <w:tab/>
        <w:t>Supervision of electrical work: requirements</w:t>
      </w:r>
      <w:bookmarkEnd w:id="88"/>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keepNext/>
        <w:keepLines/>
      </w:pPr>
      <w:r>
        <w:tab/>
        <w:t>(3)</w:t>
      </w:r>
      <w:r>
        <w:tab/>
        <w:t xml:space="preserve">For the purposes of subregulation (1), a person employing an electrical worker must — </w:t>
      </w:r>
    </w:p>
    <w:p>
      <w:pPr>
        <w:pStyle w:val="Indenta"/>
        <w:keepNext/>
        <w:keepLines/>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keepNext/>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lastRenderedPageBreak/>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keepNext/>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keepNext/>
      </w:pPr>
      <w:r>
        <w:tab/>
        <w:t>(ii)</w:t>
      </w:r>
      <w:r>
        <w:tab/>
        <w:t>does not, in any case, supervise the electrical work of more than 4 electrical workers whose electrical work requires supervision;</w:t>
      </w:r>
    </w:p>
    <w:p>
      <w:pPr>
        <w:pStyle w:val="Indenta"/>
      </w:pPr>
      <w:r>
        <w:tab/>
      </w:r>
      <w:r>
        <w:tab/>
        <w:t>and</w:t>
      </w:r>
    </w:p>
    <w:p>
      <w:pPr>
        <w:pStyle w:val="Indenta"/>
        <w:keepNext/>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lastRenderedPageBreak/>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keepNext/>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keepNext/>
        <w:keepLines/>
      </w:pPr>
      <w:r>
        <w:lastRenderedPageBreak/>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keepNext/>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keepNext/>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89" w:name="_Toc103776377"/>
      <w:r>
        <w:rPr>
          <w:rStyle w:val="CharSectno"/>
        </w:rPr>
        <w:t>50AA</w:t>
      </w:r>
      <w:r>
        <w:t>.</w:t>
      </w:r>
      <w:r>
        <w:tab/>
        <w:t>Supervision of electrical work: informing employer and supervisor of experience of apprentice or trainee</w:t>
      </w:r>
      <w:bookmarkEnd w:id="89"/>
    </w:p>
    <w:p>
      <w:pPr>
        <w:pStyle w:val="Subsection"/>
        <w:keepNext/>
      </w:pPr>
      <w:r>
        <w:tab/>
        <w:t>(1)</w:t>
      </w:r>
      <w:r>
        <w:tab/>
        <w:t xml:space="preserve">In this regulation — </w:t>
      </w:r>
    </w:p>
    <w:p>
      <w:pPr>
        <w:pStyle w:val="Defstart"/>
      </w:pPr>
      <w: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the </w:t>
      </w:r>
      <w:r>
        <w:rPr>
          <w:i/>
        </w:rPr>
        <w:t>Industrial Relations Act 1979</w:t>
      </w:r>
      <w:r>
        <w:t xml:space="preserve"> section 7(1);</w:t>
      </w:r>
    </w:p>
    <w:p>
      <w:pPr>
        <w:pStyle w:val="Defstart"/>
        <w:keepNext/>
      </w:pPr>
      <w:r>
        <w:lastRenderedPageBreak/>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meaning given in subregulation (1A);</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(1A)</w:t>
      </w:r>
      <w:r>
        <w:tab/>
        <w:t xml:space="preserve">A </w:t>
      </w:r>
      <w:r>
        <w:rPr>
          <w:rStyle w:val="CharDefText"/>
        </w:rPr>
        <w:t>labour hire arrangement</w:t>
      </w:r>
      <w:r>
        <w:t xml:space="preserve"> exists if — </w:t>
      </w:r>
    </w:p>
    <w:p>
      <w:pPr>
        <w:pStyle w:val="Indenta"/>
      </w:pPr>
      <w:r>
        <w:tab/>
        <w:t>(a)</w:t>
      </w:r>
      <w:r>
        <w:tab/>
        <w:t>an agent has for remuneration agreed with a client to provide an electrical worker to carry out electrical work for the client; and</w:t>
      </w:r>
    </w:p>
    <w:p>
      <w:pPr>
        <w:pStyle w:val="Indenta"/>
      </w:pPr>
      <w:r>
        <w:tab/>
        <w:t>(b)</w:t>
      </w:r>
      <w:r>
        <w:tab/>
        <w:t>there is no contract of employment between the electrical worker and the client in relation to the electrical work; and</w:t>
      </w:r>
    </w:p>
    <w:p>
      <w:pPr>
        <w:pStyle w:val="Indenta"/>
      </w:pPr>
      <w:r>
        <w:tab/>
        <w:t>(c)</w:t>
      </w:r>
      <w:r>
        <w:tab/>
        <w:t>there is an agreement (which may be a contract of employment) between the electrical worker and the agent as to the carrying out of electrical work including in respect of remuneration and other entitlements; and</w:t>
      </w:r>
    </w:p>
    <w:p>
      <w:pPr>
        <w:pStyle w:val="Indenta"/>
      </w:pPr>
      <w:r>
        <w:tab/>
        <w:t>(d)</w:t>
      </w:r>
      <w:r>
        <w:tab/>
        <w:t>that agreement applies to the carrying out of the electrical work by the electrical worker for the client.</w:t>
      </w:r>
    </w:p>
    <w:p>
      <w:pPr>
        <w:pStyle w:val="Subsection"/>
      </w:pPr>
      <w:r>
        <w:tab/>
        <w:t>(2)</w:t>
      </w:r>
      <w:r>
        <w:tab/>
        <w:t>A person employing an electrical worker in training must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keepNext/>
      </w:pPr>
      <w:r>
        <w:tab/>
        <w:t>(3)</w:t>
      </w:r>
      <w:r>
        <w:tab/>
        <w:t xml:space="preserve">A supervising electrical worker must ensure that, before an electrical worker in training carries out any electrical work under their supervision, the supervising electrical worker is </w:t>
      </w:r>
      <w:r>
        <w:lastRenderedPageBreak/>
        <w:t>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 SL 2022/26 r. 10.]</w:t>
      </w:r>
    </w:p>
    <w:p>
      <w:pPr>
        <w:pStyle w:val="Heading5"/>
      </w:pPr>
      <w:bookmarkStart w:id="90" w:name="_Toc103776378"/>
      <w:r>
        <w:rPr>
          <w:rStyle w:val="CharSectno"/>
        </w:rPr>
        <w:t>50AB</w:t>
      </w:r>
      <w:r>
        <w:t>.</w:t>
      </w:r>
      <w:r>
        <w:tab/>
        <w:t>Employer to be satisfied former apprentice has successfully completed training</w:t>
      </w:r>
      <w:bookmarkEnd w:id="90"/>
    </w:p>
    <w:p>
      <w:pPr>
        <w:pStyle w:val="Subsection"/>
        <w:keepNext/>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keepNext/>
      </w:pPr>
      <w:r>
        <w:tab/>
        <w:t>(b)</w:t>
      </w:r>
      <w:r>
        <w:tab/>
        <w:t>who purports to have completed the apprenticeship or course of training relevant to that licence,</w:t>
      </w:r>
    </w:p>
    <w:p>
      <w:pPr>
        <w:pStyle w:val="Subsection"/>
        <w:keepNext/>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91" w:name="_Toc103776379"/>
      <w:r>
        <w:rPr>
          <w:rStyle w:val="CharSectno"/>
        </w:rPr>
        <w:t>50A</w:t>
      </w:r>
      <w:r>
        <w:rPr>
          <w:snapToGrid w:val="0"/>
        </w:rPr>
        <w:t xml:space="preserve">. </w:t>
      </w:r>
      <w:r>
        <w:rPr>
          <w:snapToGrid w:val="0"/>
        </w:rPr>
        <w:tab/>
        <w:t>Licence holder not to cause or permit unsafe wiring or equipment to be connected to electrical installation</w:t>
      </w:r>
      <w:bookmarkEnd w:id="91"/>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keepNext/>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keepNext/>
      </w:pPr>
      <w:r>
        <w:lastRenderedPageBreak/>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92" w:name="_Toc103776380"/>
      <w:r>
        <w:rPr>
          <w:rStyle w:val="CharSectno"/>
        </w:rPr>
        <w:t>51</w:t>
      </w:r>
      <w:r>
        <w:rPr>
          <w:snapToGrid w:val="0"/>
        </w:rPr>
        <w:t>.</w:t>
      </w:r>
      <w:r>
        <w:rPr>
          <w:snapToGrid w:val="0"/>
        </w:rPr>
        <w:tab/>
        <w:t>Notifiable work, preliminary notice of to be given to network operator</w:t>
      </w:r>
      <w:bookmarkEnd w:id="92"/>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keepNext/>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keepNext/>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keepNext/>
      </w:pPr>
      <w:r>
        <w:lastRenderedPageBreak/>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keepNext/>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93" w:name="_Toc103776381"/>
      <w:r>
        <w:rPr>
          <w:rStyle w:val="CharSectno"/>
        </w:rPr>
        <w:lastRenderedPageBreak/>
        <w:t>52</w:t>
      </w:r>
      <w:r>
        <w:rPr>
          <w:snapToGrid w:val="0"/>
        </w:rPr>
        <w:t>.</w:t>
      </w:r>
      <w:r>
        <w:rPr>
          <w:snapToGrid w:val="0"/>
        </w:rPr>
        <w:tab/>
        <w:t>Notifiable work, notice of completion of to be given to network operator</w:t>
      </w:r>
      <w:bookmarkEnd w:id="93"/>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keepNext/>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keepNext/>
      </w:pPr>
      <w:r>
        <w:tab/>
        <w:t>(iv)</w:t>
      </w:r>
      <w:r>
        <w:tab/>
        <w:t>alter the capacity of a private generating plant;</w:t>
      </w:r>
    </w:p>
    <w:p>
      <w:pPr>
        <w:pStyle w:val="Indenta"/>
      </w:pPr>
      <w:r>
        <w:tab/>
      </w:r>
      <w:r>
        <w:tab/>
        <w:t>and</w:t>
      </w:r>
    </w:p>
    <w:p>
      <w:pPr>
        <w:pStyle w:val="Indenta"/>
      </w:pPr>
      <w:r>
        <w:lastRenderedPageBreak/>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keepNext/>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keepNext/>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lastRenderedPageBreak/>
        <w:tab/>
        <w:t>(b)</w:t>
      </w:r>
      <w:r>
        <w:tab/>
        <w:t>is carried out after the transportable structure is moved to the site at which it is to be connected to the supply of electricity.</w:t>
      </w:r>
    </w:p>
    <w:p>
      <w:pPr>
        <w:pStyle w:val="Subsection"/>
        <w:keepNext/>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keepNext/>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lastRenderedPageBreak/>
        <w:tab/>
        <w:t>(b)</w:t>
      </w:r>
      <w:r>
        <w:tab/>
        <w:t>each notice of completion delivered under subregulation (1) must describe the portion of the work to which it relates; and</w:t>
      </w:r>
    </w:p>
    <w:p>
      <w:pPr>
        <w:pStyle w:val="Indenta"/>
        <w:keepNext/>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keepNext/>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94" w:name="_Toc103776382"/>
      <w:r>
        <w:rPr>
          <w:rStyle w:val="CharSectno"/>
        </w:rPr>
        <w:t>52A</w:t>
      </w:r>
      <w:r>
        <w:t>.</w:t>
      </w:r>
      <w:r>
        <w:tab/>
        <w:t>Notices under r. 51 and 52, delivery of</w:t>
      </w:r>
      <w:bookmarkEnd w:id="94"/>
    </w:p>
    <w:p>
      <w:pPr>
        <w:pStyle w:val="Subsection"/>
        <w:keepNext/>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keepNext/>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lastRenderedPageBreak/>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keepNext/>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95" w:name="_Toc103776383"/>
      <w:r>
        <w:rPr>
          <w:rStyle w:val="CharSectno"/>
        </w:rPr>
        <w:t>52B</w:t>
      </w:r>
      <w:r>
        <w:t>.</w:t>
      </w:r>
      <w:r>
        <w:tab/>
        <w:t>Electrical safety certificates, issue of for electrical installing work</w:t>
      </w:r>
      <w:bookmarkEnd w:id="95"/>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lastRenderedPageBreak/>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keepNex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lastRenderedPageBreak/>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keepNext/>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lastRenderedPageBreak/>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keepNext/>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keepNext/>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keepNext/>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keepNext/>
      </w:pPr>
      <w:r>
        <w:lastRenderedPageBreak/>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keepNext/>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96" w:name="_Toc103776384"/>
      <w:r>
        <w:rPr>
          <w:rStyle w:val="CharSectno"/>
        </w:rPr>
        <w:t>52BA</w:t>
      </w:r>
      <w:r>
        <w:t>.</w:t>
      </w:r>
      <w:r>
        <w:tab/>
        <w:t>Transportable structures: when compliance with regulations 51, 52 and 52B not required</w:t>
      </w:r>
      <w:bookmarkEnd w:id="96"/>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keepNext/>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97" w:name="_Toc103776385"/>
      <w:r>
        <w:rPr>
          <w:rStyle w:val="CharSectno"/>
        </w:rPr>
        <w:lastRenderedPageBreak/>
        <w:t>52BB</w:t>
      </w:r>
      <w:r>
        <w:t>.</w:t>
      </w:r>
      <w:r>
        <w:tab/>
        <w:t>Notifiable work: modified procedure available for certain construction projects</w:t>
      </w:r>
      <w:bookmarkEnd w:id="97"/>
    </w:p>
    <w:p>
      <w:pPr>
        <w:pStyle w:val="Subsection"/>
        <w:keepNext/>
      </w:pPr>
      <w:r>
        <w:tab/>
        <w:t>(1)</w:t>
      </w:r>
      <w:r>
        <w:tab/>
        <w:t xml:space="preserve">In this regulation, and regulations 52BC to 52BE — </w:t>
      </w:r>
    </w:p>
    <w:p>
      <w:pPr>
        <w:pStyle w:val="Defstart"/>
        <w:keepNex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keepNext/>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keepNext/>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 xml:space="preserve">the work, together with other notifiable work of the electrical contractor that is part of the construction </w:t>
      </w:r>
      <w:r>
        <w:lastRenderedPageBreak/>
        <w:t>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keepNext/>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for each revenue meter installed as part of the notifiable work, must, in accordance with regulation 52, deliver to 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keepNext/>
      </w:pPr>
      <w:r>
        <w:lastRenderedPageBreak/>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keepNext/>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keepNext/>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98" w:name="_Toc103776386"/>
      <w:r>
        <w:rPr>
          <w:rStyle w:val="CharSectno"/>
        </w:rPr>
        <w:lastRenderedPageBreak/>
        <w:t>52BC</w:t>
      </w:r>
      <w:r>
        <w:t>.</w:t>
      </w:r>
      <w:r>
        <w:tab/>
        <w:t>Modified procedure: record of electrical installing work</w:t>
      </w:r>
      <w:bookmarkEnd w:id="98"/>
    </w:p>
    <w:p>
      <w:pPr>
        <w:pStyle w:val="Subsection"/>
        <w:keepNext/>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keepNext/>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keepNext/>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keepNext/>
      </w:pPr>
      <w:r>
        <w:lastRenderedPageBreak/>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keepNext/>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99" w:name="_Toc103776387"/>
      <w:r>
        <w:rPr>
          <w:rStyle w:val="CharSectno"/>
        </w:rPr>
        <w:t>52BD</w:t>
      </w:r>
      <w:r>
        <w:t>.</w:t>
      </w:r>
      <w:r>
        <w:tab/>
        <w:t>Modified procedure: notice requirements</w:t>
      </w:r>
      <w:bookmarkEnd w:id="99"/>
    </w:p>
    <w:p>
      <w:pPr>
        <w:pStyle w:val="Subsection"/>
        <w:keepNext/>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keepNext/>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100" w:name="_Toc103776388"/>
      <w:r>
        <w:rPr>
          <w:rStyle w:val="CharSectno"/>
        </w:rPr>
        <w:lastRenderedPageBreak/>
        <w:t>52BE</w:t>
      </w:r>
      <w:r>
        <w:t>.</w:t>
      </w:r>
      <w:r>
        <w:tab/>
        <w:t>Modified procedure: opting in and ceasing</w:t>
      </w:r>
      <w:bookmarkEnd w:id="100"/>
    </w:p>
    <w:p>
      <w:pPr>
        <w:pStyle w:val="Subsection"/>
        <w:keepNext/>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keepNext/>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101" w:name="_Toc103776389"/>
      <w:r>
        <w:rPr>
          <w:rStyle w:val="CharSectno"/>
        </w:rPr>
        <w:t>52C</w:t>
      </w:r>
      <w:r>
        <w:t>.</w:t>
      </w:r>
      <w:r>
        <w:tab/>
        <w:t>Electrical contractor’s duties as to electrical installing work</w:t>
      </w:r>
      <w:bookmarkEnd w:id="101"/>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keepNext/>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keepNext/>
      </w:pPr>
      <w:r>
        <w:tab/>
        <w:t>(iii)</w:t>
      </w:r>
      <w:r>
        <w:tab/>
        <w:t>is competent to carry out the work;</w:t>
      </w:r>
    </w:p>
    <w:p>
      <w:pPr>
        <w:pStyle w:val="Indenta"/>
      </w:pPr>
      <w:r>
        <w:tab/>
      </w:r>
      <w:r>
        <w:tab/>
        <w:t>and</w:t>
      </w:r>
    </w:p>
    <w:p>
      <w:pPr>
        <w:pStyle w:val="Indenta"/>
        <w:keepNext/>
      </w:pPr>
      <w:r>
        <w:lastRenderedPageBreak/>
        <w:tab/>
        <w:t>(b)</w:t>
      </w:r>
      <w:r>
        <w:tab/>
        <w:t xml:space="preserve">when the electrical installing work is completed — </w:t>
      </w:r>
    </w:p>
    <w:p>
      <w:pPr>
        <w:pStyle w:val="Indenti"/>
      </w:pPr>
      <w:r>
        <w:tab/>
        <w:t>(i)</w:t>
      </w:r>
      <w:r>
        <w:tab/>
        <w:t>it is checked and tested; and</w:t>
      </w:r>
    </w:p>
    <w:p>
      <w:pPr>
        <w:pStyle w:val="Indenti"/>
        <w:keepNext/>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102" w:name="_Toc103776390"/>
      <w:r>
        <w:rPr>
          <w:rStyle w:val="CharSectno"/>
        </w:rPr>
        <w:t>53</w:t>
      </w:r>
      <w:r>
        <w:rPr>
          <w:snapToGrid w:val="0"/>
        </w:rPr>
        <w:t>.</w:t>
      </w:r>
      <w:r>
        <w:rPr>
          <w:snapToGrid w:val="0"/>
        </w:rPr>
        <w:tab/>
        <w:t>Electrical installing work other than by electrical contractors etc., unlicensed persons not to be employed, engaged etc.</w:t>
      </w:r>
      <w:bookmarkEnd w:id="102"/>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Ednotesubsection"/>
        <w:keepNext/>
      </w:pPr>
      <w:r>
        <w:tab/>
        <w:t>[(3), (4)</w:t>
      </w:r>
      <w:r>
        <w:tab/>
        <w:t>deleted]</w:t>
      </w:r>
    </w:p>
    <w:p>
      <w:pPr>
        <w:pStyle w:val="Footnotesection"/>
        <w:spacing w:before="100"/>
        <w:ind w:left="890" w:hanging="890"/>
      </w:pPr>
      <w:r>
        <w:tab/>
        <w:t xml:space="preserve">[Regulation 53 amended: Gazette 23 Dec 1994 p. 7134; 31 Dec 2007 p. 6529; 2 May 2017 p. 2300; SL 2022/36 r. 15.] </w:t>
      </w:r>
    </w:p>
    <w:p>
      <w:pPr>
        <w:pStyle w:val="Heading5"/>
      </w:pPr>
      <w:bookmarkStart w:id="103" w:name="_Toc103776391"/>
      <w:r>
        <w:rPr>
          <w:rStyle w:val="CharSectno"/>
        </w:rPr>
        <w:lastRenderedPageBreak/>
        <w:t>53A</w:t>
      </w:r>
      <w:r>
        <w:rPr>
          <w:snapToGrid w:val="0"/>
        </w:rPr>
        <w:t>.</w:t>
      </w:r>
      <w:r>
        <w:rPr>
          <w:snapToGrid w:val="0"/>
        </w:rPr>
        <w:tab/>
        <w:t>Further inspection fee, when payable</w:t>
      </w:r>
      <w:bookmarkEnd w:id="103"/>
    </w:p>
    <w:p>
      <w:pPr>
        <w:pStyle w:val="Subsection"/>
        <w:keepNext/>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keepNext/>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104" w:name="_Toc103776392"/>
      <w:r>
        <w:rPr>
          <w:rStyle w:val="CharSectno"/>
        </w:rPr>
        <w:t>54</w:t>
      </w:r>
      <w:r>
        <w:rPr>
          <w:snapToGrid w:val="0"/>
        </w:rPr>
        <w:t>.</w:t>
      </w:r>
      <w:r>
        <w:rPr>
          <w:snapToGrid w:val="0"/>
        </w:rPr>
        <w:tab/>
        <w:t>Notices of completion and certain records, signing of</w:t>
      </w:r>
      <w:bookmarkEnd w:id="104"/>
      <w:r>
        <w:rPr>
          <w:snapToGrid w:val="0"/>
        </w:rPr>
        <w:t xml:space="preserve"> </w:t>
      </w:r>
    </w:p>
    <w:p>
      <w:pPr>
        <w:pStyle w:val="Subsection"/>
        <w:keepNext/>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keepNext/>
      </w:pPr>
      <w:r>
        <w:lastRenderedPageBreak/>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keepNext/>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keepNext/>
        <w:rPr>
          <w:snapToGrid w:val="0"/>
        </w:rPr>
      </w:pPr>
      <w:r>
        <w:rPr>
          <w:snapToGrid w:val="0"/>
        </w:rPr>
        <w:lastRenderedPageBreak/>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105" w:name="_Toc103760388"/>
      <w:bookmarkStart w:id="106" w:name="_Toc103760733"/>
      <w:bookmarkStart w:id="107" w:name="_Toc103760842"/>
      <w:bookmarkStart w:id="108" w:name="_Toc103776393"/>
      <w:r>
        <w:rPr>
          <w:rStyle w:val="CharDivNo"/>
        </w:rPr>
        <w:t>Division 2</w:t>
      </w:r>
      <w:r>
        <w:t> — </w:t>
      </w:r>
      <w:r>
        <w:rPr>
          <w:rStyle w:val="CharDivText"/>
        </w:rPr>
        <w:t>Regulation of electrical work on energised electrical installations</w:t>
      </w:r>
      <w:bookmarkEnd w:id="105"/>
      <w:bookmarkEnd w:id="106"/>
      <w:bookmarkEnd w:id="107"/>
      <w:bookmarkEnd w:id="108"/>
    </w:p>
    <w:p>
      <w:pPr>
        <w:pStyle w:val="Footnoteheading"/>
      </w:pPr>
      <w:r>
        <w:tab/>
        <w:t>[Heading inserted: Gazette 14 Nov 2017 p. 5599.]</w:t>
      </w:r>
    </w:p>
    <w:p>
      <w:pPr>
        <w:pStyle w:val="Heading5"/>
      </w:pPr>
      <w:bookmarkStart w:id="109" w:name="_Toc103776394"/>
      <w:r>
        <w:rPr>
          <w:rStyle w:val="CharSectno"/>
        </w:rPr>
        <w:t>54A</w:t>
      </w:r>
      <w:r>
        <w:t>.</w:t>
      </w:r>
      <w:r>
        <w:tab/>
        <w:t>Interpretation</w:t>
      </w:r>
      <w:bookmarkEnd w:id="109"/>
    </w:p>
    <w:p>
      <w:pPr>
        <w:pStyle w:val="Subsection"/>
        <w:keepNext/>
      </w:pPr>
      <w:r>
        <w:tab/>
        <w:t>(1)</w:t>
      </w:r>
      <w:r>
        <w:tab/>
        <w:t xml:space="preserve">In this Division — </w:t>
      </w:r>
    </w:p>
    <w:p>
      <w:pPr>
        <w:pStyle w:val="Defstart"/>
      </w:pPr>
      <w:r>
        <w:rPr>
          <w:b/>
        </w:rPr>
        <w:tab/>
      </w:r>
      <w:r>
        <w:rPr>
          <w:rStyle w:val="CharDefText"/>
        </w:rPr>
        <w:t>competent person</w:t>
      </w:r>
      <w:r>
        <w:t xml:space="preserve"> has the meaning given in the </w:t>
      </w:r>
      <w:r>
        <w:rPr>
          <w:i/>
        </w:rPr>
        <w:t>Work Health and Safety (General) Regulations 2022</w:t>
      </w:r>
      <w:r>
        <w:t xml:space="preserve"> regulation 5;</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keepNext/>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keepNext/>
      </w:pPr>
      <w:r>
        <w:lastRenderedPageBreak/>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SL 2022/26 r. 11.] </w:t>
      </w:r>
    </w:p>
    <w:p>
      <w:pPr>
        <w:pStyle w:val="Heading5"/>
      </w:pPr>
      <w:bookmarkStart w:id="110" w:name="_Toc103776395"/>
      <w:r>
        <w:rPr>
          <w:rStyle w:val="CharSectno"/>
        </w:rPr>
        <w:t>54B</w:t>
      </w:r>
      <w:r>
        <w:t>.</w:t>
      </w:r>
      <w:r>
        <w:tab/>
        <w:t>Application of regulation 55 in relation to certain network operators</w:t>
      </w:r>
      <w:bookmarkEnd w:id="110"/>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keepNext/>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keepNext/>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111" w:name="_Toc103776396"/>
      <w:r>
        <w:rPr>
          <w:rStyle w:val="CharSectno"/>
        </w:rPr>
        <w:t>55</w:t>
      </w:r>
      <w:r>
        <w:t>.</w:t>
      </w:r>
      <w:r>
        <w:tab/>
        <w:t>Electrical work on or near energised electrical installations</w:t>
      </w:r>
      <w:bookmarkEnd w:id="111"/>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keepNext/>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lastRenderedPageBreak/>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keepNext/>
      </w:pPr>
      <w:r>
        <w:tab/>
        <w:t>(iii)</w:t>
      </w:r>
      <w:r>
        <w:tab/>
        <w:t>the work can be carried out safely;</w:t>
      </w:r>
    </w:p>
    <w:p>
      <w:pPr>
        <w:pStyle w:val="Indenta"/>
      </w:pPr>
      <w:r>
        <w:tab/>
      </w:r>
      <w:r>
        <w:tab/>
        <w:t>and</w:t>
      </w:r>
    </w:p>
    <w:p>
      <w:pPr>
        <w:pStyle w:val="Indenta"/>
      </w:pPr>
      <w:r>
        <w:tab/>
        <w:t>(c)</w:t>
      </w:r>
      <w:r>
        <w:tab/>
        <w:t xml:space="preserve">if the </w:t>
      </w:r>
      <w:r>
        <w:rPr>
          <w:i/>
        </w:rPr>
        <w:t>Work Health and Safety (General) Regulations 2022</w:t>
      </w:r>
      <w:r>
        <w:t xml:space="preserve"> regulation 299 does not apply to the work —  a safe work method statement for the work has been prepared in accordance with regulation 299(2) and (3)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keepNext/>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keepNext/>
      </w:pPr>
      <w:r>
        <w:lastRenderedPageBreak/>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keepNext/>
      </w:pPr>
      <w:r>
        <w:tab/>
        <w:t>(a)</w:t>
      </w:r>
      <w:r>
        <w:tab/>
        <w:t xml:space="preserve">if the </w:t>
      </w:r>
      <w:r>
        <w:rPr>
          <w:i/>
        </w:rPr>
        <w:t>Work Health and Safety (General) Regulations 2022</w:t>
      </w:r>
      <w:r>
        <w:t xml:space="preserve"> regulation 299 does not apply to the work — </w:t>
      </w:r>
    </w:p>
    <w:p>
      <w:pPr>
        <w:pStyle w:val="Indenti"/>
      </w:pPr>
      <w:r>
        <w:tab/>
        <w:t>(i)</w:t>
      </w:r>
      <w:r>
        <w:tab/>
        <w:t>the work is carried out in accordance with the safe work method statement referred to in subregulation (2)(c); and</w:t>
      </w:r>
    </w:p>
    <w:p>
      <w:pPr>
        <w:pStyle w:val="Indenti"/>
        <w:keepNext/>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keepNext/>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 amended: SL 2022/26 r. 12.]</w:t>
      </w:r>
    </w:p>
    <w:p>
      <w:pPr>
        <w:pStyle w:val="Heading2"/>
      </w:pPr>
      <w:bookmarkStart w:id="112" w:name="_Toc103760392"/>
      <w:bookmarkStart w:id="113" w:name="_Toc103760737"/>
      <w:bookmarkStart w:id="114" w:name="_Toc103760846"/>
      <w:bookmarkStart w:id="115" w:name="_Toc103776397"/>
      <w:r>
        <w:rPr>
          <w:rStyle w:val="CharPartNo"/>
        </w:rPr>
        <w:lastRenderedPageBreak/>
        <w:t>Part 6</w:t>
      </w:r>
      <w:r>
        <w:rPr>
          <w:rStyle w:val="CharDivNo"/>
        </w:rPr>
        <w:t> </w:t>
      </w:r>
      <w:r>
        <w:t>—</w:t>
      </w:r>
      <w:r>
        <w:rPr>
          <w:rStyle w:val="CharDivText"/>
        </w:rPr>
        <w:t> </w:t>
      </w:r>
      <w:r>
        <w:rPr>
          <w:rStyle w:val="CharPartText"/>
        </w:rPr>
        <w:t>Miscellaneous</w:t>
      </w:r>
      <w:bookmarkEnd w:id="112"/>
      <w:bookmarkEnd w:id="113"/>
      <w:bookmarkEnd w:id="114"/>
      <w:bookmarkEnd w:id="115"/>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116" w:name="_Toc103776398"/>
      <w:r>
        <w:rPr>
          <w:rStyle w:val="CharSectno"/>
        </w:rPr>
        <w:t>56</w:t>
      </w:r>
      <w:r>
        <w:rPr>
          <w:snapToGrid w:val="0"/>
        </w:rPr>
        <w:t>.</w:t>
      </w:r>
      <w:r>
        <w:rPr>
          <w:snapToGrid w:val="0"/>
        </w:rPr>
        <w:tab/>
        <w:t>Register of licence holders</w:t>
      </w:r>
      <w:bookmarkEnd w:id="116"/>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17" w:name="_Toc103776399"/>
      <w:r>
        <w:rPr>
          <w:rStyle w:val="CharSectno"/>
        </w:rPr>
        <w:t>57</w:t>
      </w:r>
      <w:r>
        <w:rPr>
          <w:snapToGrid w:val="0"/>
        </w:rPr>
        <w:t>.</w:t>
      </w:r>
      <w:r>
        <w:rPr>
          <w:snapToGrid w:val="0"/>
        </w:rPr>
        <w:tab/>
        <w:t>Employers to keep record of licence holders employed</w:t>
      </w:r>
      <w:bookmarkEnd w:id="117"/>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keepNext/>
        <w:rPr>
          <w:snapToGrid w:val="0"/>
        </w:rPr>
      </w:pPr>
      <w:r>
        <w:rPr>
          <w:snapToGrid w:val="0"/>
        </w:rPr>
        <w:lastRenderedPageBreak/>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118" w:name="_Toc103776400"/>
      <w:r>
        <w:rPr>
          <w:rStyle w:val="CharSectno"/>
        </w:rPr>
        <w:t>58</w:t>
      </w:r>
      <w:r>
        <w:rPr>
          <w:snapToGrid w:val="0"/>
        </w:rPr>
        <w:t>.</w:t>
      </w:r>
      <w:r>
        <w:rPr>
          <w:snapToGrid w:val="0"/>
        </w:rPr>
        <w:tab/>
        <w:t>Board may require holder to produce licence etc. for inspection</w:t>
      </w:r>
      <w:bookmarkEnd w:id="118"/>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119" w:name="_Toc103776401"/>
      <w:r>
        <w:rPr>
          <w:rStyle w:val="CharSectno"/>
        </w:rPr>
        <w:t>59</w:t>
      </w:r>
      <w:r>
        <w:rPr>
          <w:snapToGrid w:val="0"/>
        </w:rPr>
        <w:t>.</w:t>
      </w:r>
      <w:r>
        <w:rPr>
          <w:snapToGrid w:val="0"/>
        </w:rPr>
        <w:tab/>
        <w:t>Offences related to licensing</w:t>
      </w:r>
      <w:bookmarkEnd w:id="11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keepLines/>
        <w:rPr>
          <w:snapToGrid w:val="0"/>
        </w:rPr>
      </w:pPr>
      <w:r>
        <w:rPr>
          <w:snapToGrid w:val="0"/>
        </w:rPr>
        <w:lastRenderedPageBreak/>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20" w:name="_Toc103776402"/>
      <w:r>
        <w:rPr>
          <w:rStyle w:val="CharSectno"/>
        </w:rPr>
        <w:t>60</w:t>
      </w:r>
      <w:r>
        <w:rPr>
          <w:snapToGrid w:val="0"/>
        </w:rPr>
        <w:t>.</w:t>
      </w:r>
      <w:r>
        <w:rPr>
          <w:snapToGrid w:val="0"/>
        </w:rPr>
        <w:tab/>
        <w:t>Replacement licence or permit document</w:t>
      </w:r>
      <w:bookmarkEnd w:id="120"/>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121" w:name="_Toc103776403"/>
      <w:r>
        <w:rPr>
          <w:rStyle w:val="CharSectno"/>
        </w:rPr>
        <w:lastRenderedPageBreak/>
        <w:t>61</w:t>
      </w:r>
      <w:r>
        <w:rPr>
          <w:snapToGrid w:val="0"/>
        </w:rPr>
        <w:t>.</w:t>
      </w:r>
      <w:r>
        <w:rPr>
          <w:snapToGrid w:val="0"/>
        </w:rPr>
        <w:tab/>
        <w:t>Licence etc. to be returned to Board if suspended etc.</w:t>
      </w:r>
      <w:bookmarkEnd w:id="121"/>
    </w:p>
    <w:p>
      <w:pPr>
        <w:pStyle w:val="Subsection"/>
        <w:keepNext/>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122" w:name="_Toc103776404"/>
      <w:r>
        <w:rPr>
          <w:rStyle w:val="CharSectno"/>
        </w:rPr>
        <w:t>62</w:t>
      </w:r>
      <w:r>
        <w:rPr>
          <w:snapToGrid w:val="0"/>
        </w:rPr>
        <w:t>.</w:t>
      </w:r>
      <w:r>
        <w:rPr>
          <w:snapToGrid w:val="0"/>
        </w:rPr>
        <w:tab/>
        <w:t>Unsafe electrical installations, electrical workers to report</w:t>
      </w:r>
      <w:bookmarkEnd w:id="122"/>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lastRenderedPageBreak/>
        <w:tab/>
        <w:t>(b)</w:t>
      </w:r>
      <w:r>
        <w:rPr>
          <w:snapToGrid w:val="0"/>
        </w:rPr>
        <w:tab/>
        <w:t>the employer holds an electrical contractor’s licence or in</w:t>
      </w:r>
      <w:r>
        <w:rPr>
          <w:snapToGrid w:val="0"/>
        </w:rPr>
        <w:noBreakHyphen/>
        <w:t>house electrical installing work licence,</w:t>
      </w:r>
    </w:p>
    <w:p>
      <w:pPr>
        <w:pStyle w:val="Subsection"/>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123" w:name="_Toc103776405"/>
      <w:r>
        <w:rPr>
          <w:rStyle w:val="CharSectno"/>
        </w:rPr>
        <w:t>63</w:t>
      </w:r>
      <w:r>
        <w:t>.</w:t>
      </w:r>
      <w:r>
        <w:tab/>
        <w:t>Electrical accidents to be reported</w:t>
      </w:r>
      <w:bookmarkEnd w:id="123"/>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lastRenderedPageBreak/>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124" w:name="_Toc103776406"/>
      <w:r>
        <w:rPr>
          <w:rStyle w:val="CharSectno"/>
        </w:rPr>
        <w:t>63A</w:t>
      </w:r>
      <w:r>
        <w:rPr>
          <w:snapToGrid w:val="0"/>
        </w:rPr>
        <w:t>.</w:t>
      </w:r>
      <w:r>
        <w:rPr>
          <w:snapToGrid w:val="0"/>
        </w:rPr>
        <w:tab/>
        <w:t>Interfering with scene of electrical accident</w:t>
      </w:r>
      <w:bookmarkEnd w:id="124"/>
      <w:r>
        <w:rPr>
          <w:snapToGrid w:val="0"/>
        </w:rPr>
        <w:t xml:space="preserve"> </w:t>
      </w:r>
    </w:p>
    <w:p>
      <w:pPr>
        <w:pStyle w:val="Subsection"/>
        <w:keepNext/>
        <w:rPr>
          <w:snapToGrid w:val="0"/>
        </w:rPr>
      </w:pPr>
      <w:r>
        <w:rPr>
          <w:snapToGrid w:val="0"/>
        </w:rPr>
        <w:tab/>
      </w:r>
      <w:r>
        <w:rPr>
          <w:snapToGrid w:val="0"/>
        </w:rPr>
        <w:tab/>
        <w:t xml:space="preserve">A person shall not do anything at the place at which an electrical accident referred to in regulation 63 occurs with the intention of </w:t>
      </w:r>
      <w:r>
        <w:rPr>
          <w:snapToGrid w:val="0"/>
        </w:rPr>
        <w:lastRenderedPageBreak/>
        <w:t>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125" w:name="_Toc103776407"/>
      <w:r>
        <w:rPr>
          <w:rStyle w:val="CharSectno"/>
        </w:rPr>
        <w:t>63B</w:t>
      </w:r>
      <w:r>
        <w:t>.</w:t>
      </w:r>
      <w:r>
        <w:tab/>
        <w:t>Delegation by Director to Board</w:t>
      </w:r>
      <w:bookmarkEnd w:id="125"/>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Heading5"/>
      </w:pPr>
      <w:bookmarkStart w:id="126" w:name="_Toc103776408"/>
      <w:r>
        <w:rPr>
          <w:rStyle w:val="CharSectno"/>
        </w:rPr>
        <w:t>63C</w:t>
      </w:r>
      <w:r>
        <w:t>.</w:t>
      </w:r>
      <w:r>
        <w:tab/>
        <w:t>Delegation by Board</w:t>
      </w:r>
      <w:bookmarkEnd w:id="126"/>
    </w:p>
    <w:p>
      <w:pPr>
        <w:pStyle w:val="Subsection"/>
      </w:pPr>
      <w:r>
        <w:tab/>
        <w:t>(1)</w:t>
      </w:r>
      <w:r>
        <w:tab/>
        <w:t>The Board may delegate any power or duty of the Board under these regulations other than —</w:t>
      </w:r>
    </w:p>
    <w:p>
      <w:pPr>
        <w:pStyle w:val="Indenta"/>
      </w:pPr>
      <w:r>
        <w:tab/>
        <w:t>(a)</w:t>
      </w:r>
      <w:r>
        <w:tab/>
        <w:t>this power of delegation; and</w:t>
      </w:r>
    </w:p>
    <w:p>
      <w:pPr>
        <w:pStyle w:val="Indenta"/>
      </w:pPr>
      <w:r>
        <w:tab/>
        <w:t>(b)</w:t>
      </w:r>
      <w:r>
        <w:tab/>
        <w:t>a power delegated to it under regulation 63B.</w:t>
      </w:r>
    </w:p>
    <w:p>
      <w:pPr>
        <w:pStyle w:val="Subsection"/>
      </w:pPr>
      <w:r>
        <w:tab/>
        <w:t>(2)</w:t>
      </w:r>
      <w:r>
        <w:tab/>
        <w:t xml:space="preserve">A delegation under subregulation (1) may be made to — </w:t>
      </w:r>
    </w:p>
    <w:p>
      <w:pPr>
        <w:pStyle w:val="Indenta"/>
        <w:rPr>
          <w:rStyle w:val="DraftersNotes"/>
          <w:b w:val="0"/>
          <w:i w:val="0"/>
        </w:rPr>
      </w:pPr>
      <w:r>
        <w:tab/>
        <w:t>(a)</w:t>
      </w:r>
      <w:r>
        <w:tab/>
        <w:t>a member of the Board; or</w:t>
      </w:r>
    </w:p>
    <w:p>
      <w:pPr>
        <w:pStyle w:val="Indenta"/>
      </w:pPr>
      <w:r>
        <w:tab/>
        <w:t>(b)</w:t>
      </w:r>
      <w:r>
        <w:tab/>
        <w:t>an officer of the department; or</w:t>
      </w:r>
    </w:p>
    <w:p>
      <w:pPr>
        <w:pStyle w:val="Indenta"/>
      </w:pPr>
      <w:r>
        <w:tab/>
        <w:t>(c)</w:t>
      </w:r>
      <w:r>
        <w:tab/>
        <w:t>with the approval of the Director, any other person.</w:t>
      </w:r>
    </w:p>
    <w:p>
      <w:pPr>
        <w:pStyle w:val="Subsection"/>
      </w:pPr>
      <w:r>
        <w:tab/>
        <w:t>(3)</w:t>
      </w:r>
      <w:r>
        <w:tab/>
        <w:t>The delegation must be in writing executed by the Board.</w:t>
      </w:r>
    </w:p>
    <w:p>
      <w:pPr>
        <w:pStyle w:val="Subsection"/>
      </w:pPr>
      <w:r>
        <w:tab/>
        <w:t>(4)</w:t>
      </w:r>
      <w:r>
        <w:tab/>
        <w:t xml:space="preserve">A person to whom a power or duty is delegated under this regulation cannot delegate that power or duty. </w:t>
      </w:r>
    </w:p>
    <w:p>
      <w:pPr>
        <w:pStyle w:val="Subsection"/>
      </w:pPr>
      <w:r>
        <w:tab/>
        <w:t>(5)</w:t>
      </w:r>
      <w:r>
        <w:tab/>
        <w:t>A person exercising or performing a power or duty delegated to them under this regulation is taken to do so in accordance with the terms of the delegation unless the contrary is shown.</w:t>
      </w:r>
    </w:p>
    <w:p>
      <w:pPr>
        <w:pStyle w:val="Subsection"/>
        <w:keepNext/>
      </w:pPr>
      <w:r>
        <w:lastRenderedPageBreak/>
        <w:tab/>
        <w:t>(6)</w:t>
      </w:r>
      <w:r>
        <w:tab/>
        <w:t>Nothing in this regulation limits the ability of the Board to perform a function through an officer or agent.</w:t>
      </w:r>
    </w:p>
    <w:p>
      <w:pPr>
        <w:pStyle w:val="Footnotesection"/>
      </w:pPr>
      <w:r>
        <w:tab/>
        <w:t>[Regulation 63C inserted: SL 2022/36 r. 16.]</w:t>
      </w:r>
    </w:p>
    <w:p>
      <w:pPr>
        <w:pStyle w:val="Heading5"/>
        <w:rPr>
          <w:snapToGrid w:val="0"/>
        </w:rPr>
      </w:pPr>
      <w:bookmarkStart w:id="127" w:name="_Toc103776409"/>
      <w:r>
        <w:rPr>
          <w:rStyle w:val="CharSectno"/>
        </w:rPr>
        <w:t>64</w:t>
      </w:r>
      <w:r>
        <w:rPr>
          <w:snapToGrid w:val="0"/>
        </w:rPr>
        <w:t>.</w:t>
      </w:r>
      <w:r>
        <w:rPr>
          <w:snapToGrid w:val="0"/>
        </w:rPr>
        <w:tab/>
        <w:t>Fees (Sch. 1)</w:t>
      </w:r>
      <w:bookmarkEnd w:id="127"/>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Gazette 23 Dec 1994 p. 7134; 6 Sep 1996 p. 4419; 2 May 2000 p. 2115; 31 Dec 2007 p. 6533; 2 May 2017 p. 2301.] </w:t>
      </w:r>
    </w:p>
    <w:p>
      <w:pPr>
        <w:pStyle w:val="Heading5"/>
      </w:pPr>
      <w:bookmarkStart w:id="128" w:name="_Toc103776410"/>
      <w:r>
        <w:rPr>
          <w:rStyle w:val="CharSectno"/>
        </w:rPr>
        <w:t>64A</w:t>
      </w:r>
      <w:r>
        <w:t>.</w:t>
      </w:r>
      <w:r>
        <w:tab/>
        <w:t>Refund of registration fee</w:t>
      </w:r>
      <w:bookmarkEnd w:id="128"/>
    </w:p>
    <w:p>
      <w:pPr>
        <w:pStyle w:val="Subsection"/>
      </w:pPr>
      <w:r>
        <w:tab/>
        <w:t>(1)</w:t>
      </w:r>
      <w:r>
        <w:tab/>
        <w:t xml:space="preserve">This regulation applies if — </w:t>
      </w:r>
    </w:p>
    <w:p>
      <w:pPr>
        <w:pStyle w:val="Indenta"/>
      </w:pPr>
      <w:r>
        <w:tab/>
        <w:t>(a)</w:t>
      </w:r>
      <w:r>
        <w:tab/>
        <w:t>the Board refuses, or a person withdraws, an application made by the person under regulation 23(1), 27(2) or 39(1) for the issue of a licence or permit or the renewal of the registration of a licence; and</w:t>
      </w:r>
    </w:p>
    <w:p>
      <w:pPr>
        <w:pStyle w:val="Indenta"/>
      </w:pPr>
      <w:r>
        <w:tab/>
        <w:t>(b)</w:t>
      </w:r>
      <w:r>
        <w:tab/>
        <w:t>the person has paid a registration fee in respect of the application.</w:t>
      </w:r>
    </w:p>
    <w:p>
      <w:pPr>
        <w:pStyle w:val="Subsection"/>
      </w:pPr>
      <w:r>
        <w:tab/>
        <w:t>(2)</w:t>
      </w:r>
      <w:r>
        <w:tab/>
        <w:t>The Director must refund the registration fee to the person.</w:t>
      </w:r>
    </w:p>
    <w:p>
      <w:pPr>
        <w:pStyle w:val="Footnotesection"/>
      </w:pPr>
      <w:r>
        <w:tab/>
        <w:t>[Regulation 64A inserted: SL 2022/36 r. 17.]</w:t>
      </w:r>
    </w:p>
    <w:p>
      <w:pPr>
        <w:pStyle w:val="Heading5"/>
        <w:rPr>
          <w:snapToGrid w:val="0"/>
        </w:rPr>
      </w:pPr>
      <w:bookmarkStart w:id="129" w:name="_Toc103776411"/>
      <w:r>
        <w:rPr>
          <w:rStyle w:val="CharSectno"/>
        </w:rPr>
        <w:t>65</w:t>
      </w:r>
      <w:r>
        <w:rPr>
          <w:snapToGrid w:val="0"/>
        </w:rPr>
        <w:t>.</w:t>
      </w:r>
      <w:r>
        <w:rPr>
          <w:snapToGrid w:val="0"/>
        </w:rPr>
        <w:tab/>
        <w:t>General offence and penalty</w:t>
      </w:r>
      <w:bookmarkEnd w:id="129"/>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keepNext/>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keepNext/>
      </w:pPr>
      <w:r>
        <w:lastRenderedPageBreak/>
        <w:tab/>
        <w:t>(b)</w:t>
      </w:r>
      <w:r>
        <w:tab/>
        <w:t>for a body corporate, a fine of $250 000.</w:t>
      </w:r>
    </w:p>
    <w:p>
      <w:pPr>
        <w:pStyle w:val="Footnotesection"/>
      </w:pPr>
      <w:r>
        <w:tab/>
        <w:t xml:space="preserve">[Regulation 65 amended: Gazette 31 Dec 2007 p. 6534.] </w:t>
      </w:r>
    </w:p>
    <w:p>
      <w:pPr>
        <w:pStyle w:val="Heading5"/>
      </w:pPr>
      <w:bookmarkStart w:id="130" w:name="_Toc103776412"/>
      <w:r>
        <w:rPr>
          <w:rStyle w:val="CharSectno"/>
        </w:rPr>
        <w:t>65A</w:t>
      </w:r>
      <w:r>
        <w:t>.</w:t>
      </w:r>
      <w:r>
        <w:tab/>
        <w:t>Offences by members of firms</w:t>
      </w:r>
      <w:bookmarkEnd w:id="130"/>
    </w:p>
    <w:p>
      <w:pPr>
        <w:pStyle w:val="Subsection"/>
        <w:keepNext/>
      </w:pPr>
      <w:r>
        <w:tab/>
        <w:t>(1)</w:t>
      </w:r>
      <w:r>
        <w:tab/>
        <w:t xml:space="preserve">If — </w:t>
      </w:r>
    </w:p>
    <w:p>
      <w:pPr>
        <w:pStyle w:val="Indenta"/>
      </w:pPr>
      <w:r>
        <w:tab/>
        <w:t>(a)</w:t>
      </w:r>
      <w:r>
        <w:tab/>
        <w:t>a firm that holds an electrical contractor’s licence does or omits to do anything; and</w:t>
      </w:r>
    </w:p>
    <w:p>
      <w:pPr>
        <w:pStyle w:val="Indenta"/>
        <w:keepNext/>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keepNext/>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keepNext/>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31" w:name="_Toc103776413"/>
      <w:r>
        <w:rPr>
          <w:rStyle w:val="CharSectno"/>
        </w:rPr>
        <w:t>67</w:t>
      </w:r>
      <w:r>
        <w:t>.</w:t>
      </w:r>
      <w:r>
        <w:tab/>
        <w:t>Saving and transitional provisions</w:t>
      </w:r>
      <w:bookmarkEnd w:id="131"/>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pPr>
        <w:pStyle w:val="Subsection"/>
      </w:pPr>
      <w:r>
        <w:tab/>
        <w:t>(2)</w:t>
      </w:r>
      <w:r>
        <w:tab/>
        <w:t xml:space="preserve">A person who, immediately before the commencement day, was the holder of an “A” grade licence, a “C” grade licence or a restricted licence continues, on and after the commencement day and subject to these regulations, to be authorised to carry out the </w:t>
      </w:r>
      <w:r>
        <w:lastRenderedPageBreak/>
        <w:t>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Gazette 31 Dec 2007 p. 6535</w:t>
      </w:r>
      <w:r>
        <w:noBreakHyphen/>
        <w:t>6.]</w:t>
      </w:r>
    </w:p>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2" w:name="AautoSch"/>
      <w:bookmarkStart w:id="133" w:name="_Toc103760409"/>
      <w:bookmarkStart w:id="134" w:name="_Toc103760754"/>
      <w:bookmarkStart w:id="135" w:name="_Toc103760863"/>
      <w:bookmarkStart w:id="136" w:name="_Toc103776414"/>
      <w:bookmarkEnd w:id="132"/>
      <w:r>
        <w:rPr>
          <w:rStyle w:val="CharSchNo"/>
        </w:rPr>
        <w:lastRenderedPageBreak/>
        <w:t>Schedule 1</w:t>
      </w:r>
      <w:r>
        <w:t> — </w:t>
      </w:r>
      <w:r>
        <w:rPr>
          <w:rStyle w:val="CharSchText"/>
        </w:rPr>
        <w:t>Fees</w:t>
      </w:r>
      <w:bookmarkEnd w:id="133"/>
      <w:bookmarkEnd w:id="134"/>
      <w:bookmarkEnd w:id="135"/>
      <w:bookmarkEnd w:id="136"/>
    </w:p>
    <w:p>
      <w:pPr>
        <w:pStyle w:val="yShoulderClause"/>
      </w:pPr>
      <w:r>
        <w:t>[r. 23(1), 27(3), 38(2a), 39(1), 53A(1), 60(1) and 64(1)]</w:t>
      </w:r>
    </w:p>
    <w:p>
      <w:pPr>
        <w:pStyle w:val="yFootnoteheading"/>
        <w:spacing w:after="120"/>
      </w:pPr>
      <w:r>
        <w:tab/>
        <w:t>[Heading inserted: SL 2021/86 r. 30.]</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left w:val="nil"/>
              <w:bottom w:val="single" w:sz="4" w:space="0" w:color="auto"/>
              <w:right w:val="nil"/>
            </w:tcBorders>
            <w:noWrap/>
          </w:tcPr>
          <w:p>
            <w:pPr>
              <w:pStyle w:val="yTableNAm"/>
              <w:keepNext/>
              <w:jc w:val="center"/>
              <w:rPr>
                <w:b/>
              </w:rPr>
            </w:pPr>
            <w:r>
              <w:rPr>
                <w:b/>
              </w:rPr>
              <w:t>Item</w:t>
            </w:r>
          </w:p>
        </w:tc>
        <w:tc>
          <w:tcPr>
            <w:tcW w:w="3260" w:type="dxa"/>
            <w:tcBorders>
              <w:left w:val="nil"/>
              <w:bottom w:val="single" w:sz="4" w:space="0" w:color="auto"/>
              <w:right w:val="nil"/>
            </w:tcBorders>
            <w:noWrap/>
          </w:tcPr>
          <w:p>
            <w:pPr>
              <w:pStyle w:val="yTableNAm"/>
              <w:keepNext/>
              <w:jc w:val="center"/>
              <w:rPr>
                <w:b/>
              </w:rPr>
            </w:pPr>
            <w:r>
              <w:rPr>
                <w:b/>
              </w:rPr>
              <w:t>Column 1</w:t>
            </w:r>
          </w:p>
          <w:p>
            <w:pPr>
              <w:pStyle w:val="yTableNAm"/>
              <w:keepNext/>
              <w:jc w:val="center"/>
              <w:rPr>
                <w:b/>
              </w:rPr>
            </w:pPr>
            <w:r>
              <w:rPr>
                <w:b/>
              </w:rPr>
              <w:t>Matter</w:t>
            </w:r>
          </w:p>
        </w:tc>
        <w:tc>
          <w:tcPr>
            <w:tcW w:w="1418" w:type="dxa"/>
            <w:tcBorders>
              <w:left w:val="nil"/>
              <w:bottom w:val="single" w:sz="4" w:space="0" w:color="auto"/>
              <w:right w:val="nil"/>
            </w:tcBorders>
            <w:noWrap/>
          </w:tcPr>
          <w:p>
            <w:pPr>
              <w:pStyle w:val="yTableNAm"/>
              <w:keepNext/>
              <w:jc w:val="center"/>
              <w:rPr>
                <w:b/>
              </w:rPr>
            </w:pPr>
            <w:r>
              <w:rPr>
                <w:b/>
              </w:rPr>
              <w:t>Column 2</w:t>
            </w:r>
          </w:p>
          <w:p>
            <w:pPr>
              <w:pStyle w:val="yTableNAm"/>
              <w:keepNext/>
              <w:jc w:val="center"/>
              <w:rPr>
                <w:b/>
              </w:rPr>
            </w:pPr>
            <w:r>
              <w:rPr>
                <w:b/>
              </w:rPr>
              <w:t>Fee ($)</w:t>
            </w:r>
          </w:p>
        </w:tc>
      </w:tr>
      <w:tr>
        <w:trPr>
          <w:cantSplit/>
          <w:jc w:val="center"/>
        </w:trPr>
        <w:tc>
          <w:tcPr>
            <w:tcW w:w="709" w:type="dxa"/>
            <w:tcBorders>
              <w:left w:val="nil"/>
              <w:bottom w:val="nil"/>
              <w:right w:val="nil"/>
            </w:tcBorders>
            <w:noWrap/>
          </w:tcPr>
          <w:p>
            <w:pPr>
              <w:pStyle w:val="yTableNAm"/>
            </w:pPr>
            <w:r>
              <w:t>1.</w:t>
            </w:r>
          </w:p>
        </w:tc>
        <w:tc>
          <w:tcPr>
            <w:tcW w:w="3260" w:type="dxa"/>
            <w:tcBorders>
              <w:left w:val="nil"/>
              <w:bottom w:val="nil"/>
              <w:right w:val="nil"/>
            </w:tcBorders>
            <w:noWrap/>
          </w:tcPr>
          <w:p>
            <w:pPr>
              <w:pStyle w:val="yTableNAm"/>
            </w:pPr>
            <w:r>
              <w:t>Licences and permits under Part 3 —</w:t>
            </w:r>
          </w:p>
        </w:tc>
        <w:tc>
          <w:tcPr>
            <w:tcW w:w="1418" w:type="dxa"/>
            <w:tcBorders>
              <w:left w:val="nil"/>
              <w:bottom w:val="nil"/>
              <w:right w:val="nil"/>
            </w:tcBorders>
            <w:noWrap/>
            <w:vAlign w:val="bottom"/>
          </w:tcPr>
          <w:p>
            <w:pPr>
              <w:pStyle w:val="yTableNAm"/>
              <w:jc w:val="right"/>
            </w:pP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(a)</w:t>
            </w:r>
            <w:r>
              <w:tab/>
              <w:t>Application for licence or permit</w:t>
            </w:r>
          </w:p>
        </w:tc>
        <w:tc>
          <w:tcPr>
            <w:tcW w:w="1418" w:type="dxa"/>
            <w:tcBorders>
              <w:top w:val="nil"/>
              <w:left w:val="nil"/>
              <w:bottom w:val="nil"/>
              <w:right w:val="nil"/>
            </w:tcBorders>
            <w:noWrap/>
            <w:vAlign w:val="bottom"/>
          </w:tcPr>
          <w:p>
            <w:pPr>
              <w:pStyle w:val="yTableNAm"/>
              <w:jc w:val="right"/>
            </w:pPr>
            <w:r>
              <w:t>76.00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(b)</w:t>
            </w:r>
            <w:r>
              <w:tab/>
              <w:t>Registration of licence or permit or renewal of registration of licence (for each year)</w:t>
            </w:r>
          </w:p>
        </w:tc>
        <w:tc>
          <w:tcPr>
            <w:tcW w:w="1418" w:type="dxa"/>
            <w:tcBorders>
              <w:top w:val="nil"/>
              <w:left w:val="nil"/>
              <w:bottom w:val="nil"/>
              <w:right w:val="nil"/>
            </w:tcBorders>
            <w:noWrap/>
            <w:vAlign w:val="bottom"/>
          </w:tcPr>
          <w:p>
            <w:pPr>
              <w:pStyle w:val="yTableNAm"/>
              <w:jc w:val="right"/>
            </w:pPr>
            <w:r>
              <w:t>102.00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(c)</w:t>
            </w:r>
            <w:r>
              <w:tab/>
              <w:t>Replacement for licence or permit</w:t>
            </w:r>
          </w:p>
        </w:tc>
        <w:tc>
          <w:tcPr>
            <w:tcW w:w="1418" w:type="dxa"/>
            <w:tcBorders>
              <w:top w:val="nil"/>
              <w:left w:val="nil"/>
              <w:bottom w:val="nil"/>
              <w:right w:val="nil"/>
            </w:tcBorders>
            <w:noWrap/>
            <w:vAlign w:val="bottom"/>
          </w:tcPr>
          <w:p>
            <w:pPr>
              <w:pStyle w:val="yTableNAm"/>
              <w:ind w:left="567" w:hanging="567"/>
              <w:jc w:val="right"/>
            </w:pPr>
            <w:r>
              <w:t>47.25</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(d)</w:t>
            </w:r>
            <w:r>
              <w:tab/>
              <w:t>Application for restoration of name to register (failure to renew)</w:t>
            </w:r>
          </w:p>
        </w:tc>
        <w:tc>
          <w:tcPr>
            <w:tcW w:w="1418" w:type="dxa"/>
            <w:tcBorders>
              <w:top w:val="nil"/>
              <w:left w:val="nil"/>
              <w:bottom w:val="nil"/>
              <w:right w:val="nil"/>
            </w:tcBorders>
            <w:noWrap/>
            <w:vAlign w:val="bottom"/>
          </w:tcPr>
          <w:p>
            <w:pPr>
              <w:pStyle w:val="yTableNAm"/>
              <w:jc w:val="right"/>
            </w:pPr>
            <w:r>
              <w:t>78.75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r>
              <w:t>2.</w:t>
            </w:r>
          </w:p>
        </w:tc>
        <w:tc>
          <w:tcPr>
            <w:tcW w:w="3260" w:type="dxa"/>
            <w:noWrap/>
          </w:tcPr>
          <w:p>
            <w:pPr>
              <w:pStyle w:val="yTableNAm"/>
              <w:ind w:left="567" w:hanging="567"/>
            </w:pPr>
            <w:r>
              <w:t xml:space="preserve">Licences under Part 4 — </w:t>
            </w:r>
          </w:p>
        </w:tc>
        <w:tc>
          <w:tcPr>
            <w:tcW w:w="1418" w:type="dxa"/>
            <w:noWrap/>
            <w:vAlign w:val="bottom"/>
          </w:tcPr>
          <w:p>
            <w:pPr>
              <w:pStyle w:val="yTableNAm"/>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Application for licence</w:t>
            </w:r>
          </w:p>
        </w:tc>
        <w:tc>
          <w:tcPr>
            <w:tcW w:w="1418" w:type="dxa"/>
            <w:noWrap/>
            <w:vAlign w:val="bottom"/>
          </w:tcPr>
          <w:p>
            <w:pPr>
              <w:pStyle w:val="yTableNAm"/>
              <w:ind w:left="567" w:hanging="567"/>
              <w:jc w:val="right"/>
            </w:pPr>
            <w:r>
              <w:t>115.00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(b)</w:t>
            </w:r>
            <w:r>
              <w:tab/>
              <w:t>Registration or renewal of registration of electrical contractor’s licence</w:t>
            </w:r>
          </w:p>
        </w:tc>
        <w:tc>
          <w:tcPr>
            <w:tcW w:w="1418" w:type="dxa"/>
            <w:noWrap/>
            <w:vAlign w:val="bottom"/>
          </w:tcPr>
          <w:p>
            <w:pPr>
              <w:pStyle w:val="yTableNAm"/>
              <w:ind w:left="567" w:hanging="567"/>
              <w:jc w:val="right"/>
            </w:pPr>
            <w:r>
              <w:t>525.00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(c)</w:t>
            </w:r>
            <w:r>
              <w:tab/>
              <w:t>Registration or renewal of registration of in</w:t>
            </w:r>
            <w:r>
              <w:noBreakHyphen/>
              <w:t>house electrical installing work licence</w:t>
            </w:r>
          </w:p>
        </w:tc>
        <w:tc>
          <w:tcPr>
            <w:tcW w:w="1418" w:type="dxa"/>
            <w:noWrap/>
            <w:vAlign w:val="bottom"/>
          </w:tcPr>
          <w:p>
            <w:pPr>
              <w:pStyle w:val="yTableNAm"/>
              <w:ind w:left="567" w:hanging="567"/>
              <w:jc w:val="right"/>
            </w:pPr>
            <w:r>
              <w:t>276.00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(d)</w:t>
            </w:r>
            <w:r>
              <w:tab/>
              <w:t>Replacing or adding nominee: electrical contractor’s licence</w:t>
            </w:r>
          </w:p>
        </w:tc>
        <w:tc>
          <w:tcPr>
            <w:tcW w:w="1418" w:type="dxa"/>
            <w:noWrap/>
            <w:vAlign w:val="bottom"/>
          </w:tcPr>
          <w:p>
            <w:pPr>
              <w:pStyle w:val="yTableNAm"/>
              <w:ind w:left="567" w:hanging="567"/>
              <w:jc w:val="right"/>
            </w:pPr>
            <w:r>
              <w:t>415.80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(e)</w:t>
            </w:r>
            <w:r>
              <w:tab/>
              <w:t>Replacing or adding nominee: in</w:t>
            </w:r>
            <w:r>
              <w:noBreakHyphen/>
              <w:t>house electrical installing work licence</w:t>
            </w:r>
          </w:p>
        </w:tc>
        <w:tc>
          <w:tcPr>
            <w:tcW w:w="1418" w:type="dxa"/>
            <w:tcBorders>
              <w:bottom w:val="nil"/>
            </w:tcBorders>
            <w:noWrap/>
            <w:vAlign w:val="bottom"/>
          </w:tcPr>
          <w:p>
            <w:pPr>
              <w:pStyle w:val="yTableNAm"/>
              <w:ind w:left="567" w:hanging="567"/>
              <w:jc w:val="right"/>
            </w:pPr>
            <w:r>
              <w:t>260.00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(f)</w:t>
            </w:r>
            <w:r>
              <w:tab/>
              <w:t>Replacement for licence or copy of certificate of registration</w:t>
            </w:r>
          </w:p>
        </w:tc>
        <w:tc>
          <w:tcPr>
            <w:tcW w:w="1418" w:type="dxa"/>
            <w:tcBorders>
              <w:bottom w:val="nil"/>
            </w:tcBorders>
            <w:noWrap/>
            <w:vAlign w:val="bottom"/>
          </w:tcPr>
          <w:p>
            <w:pPr>
              <w:pStyle w:val="yTableNAm"/>
              <w:ind w:left="567" w:hanging="567"/>
              <w:jc w:val="right"/>
            </w:pPr>
            <w:r>
              <w:t>60.90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(g)</w:t>
            </w:r>
            <w:r>
              <w:tab/>
              <w:t>Extract of register</w:t>
            </w:r>
          </w:p>
        </w:tc>
        <w:tc>
          <w:tcPr>
            <w:tcW w:w="1418" w:type="dxa"/>
            <w:tcBorders>
              <w:top w:val="nil"/>
            </w:tcBorders>
            <w:noWrap/>
            <w:vAlign w:val="bottom"/>
          </w:tcPr>
          <w:p>
            <w:pPr>
              <w:pStyle w:val="yTableNAm"/>
              <w:ind w:left="567" w:hanging="567"/>
              <w:jc w:val="right"/>
            </w:pPr>
            <w:r>
              <w:t>68.70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(h)</w:t>
            </w:r>
            <w:r>
              <w:tab/>
              <w:t>Copy of register (if available)</w:t>
            </w:r>
          </w:p>
        </w:tc>
        <w:tc>
          <w:tcPr>
            <w:tcW w:w="1418" w:type="dxa"/>
            <w:tcBorders>
              <w:bottom w:val="nil"/>
            </w:tcBorders>
            <w:noWrap/>
            <w:vAlign w:val="bottom"/>
          </w:tcPr>
          <w:p>
            <w:pPr>
              <w:pStyle w:val="yTableNAm"/>
              <w:ind w:left="567" w:hanging="567"/>
              <w:jc w:val="right"/>
            </w:pPr>
            <w:r>
              <w:t>84.00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(i)</w:t>
            </w:r>
            <w:r>
              <w:tab/>
              <w:t>Application for restoration of name to register (failure to renew)</w:t>
            </w:r>
          </w:p>
        </w:tc>
        <w:tc>
          <w:tcPr>
            <w:tcW w:w="1418" w:type="dxa"/>
            <w:tcBorders>
              <w:bottom w:val="nil"/>
            </w:tcBorders>
            <w:noWrap/>
            <w:vAlign w:val="bottom"/>
          </w:tcPr>
          <w:p>
            <w:pPr>
              <w:pStyle w:val="yTableNAm"/>
              <w:ind w:left="567" w:hanging="567"/>
              <w:jc w:val="right"/>
            </w:pPr>
            <w:r>
              <w:t>155.00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keepNext/>
            </w:pPr>
            <w:r>
              <w:t>3.</w:t>
            </w:r>
          </w:p>
        </w:tc>
        <w:tc>
          <w:tcPr>
            <w:tcW w:w="3260" w:type="dxa"/>
            <w:tcBorders>
              <w:top w:val="nil"/>
            </w:tcBorders>
            <w:noWrap/>
          </w:tcPr>
          <w:p>
            <w:pPr>
              <w:pStyle w:val="yTableNAm"/>
              <w:keepNext/>
              <w:ind w:left="567" w:hanging="567"/>
            </w:pPr>
            <w:r>
              <w:t xml:space="preserve">Further inspection — </w:t>
            </w:r>
          </w:p>
        </w:tc>
        <w:tc>
          <w:tcPr>
            <w:tcW w:w="1418" w:type="dxa"/>
            <w:tcBorders>
              <w:top w:val="nil"/>
            </w:tcBorders>
            <w:noWrap/>
            <w:vAlign w:val="bottom"/>
          </w:tcPr>
          <w:p>
            <w:pPr>
              <w:pStyle w:val="yTableNAm"/>
              <w:keepNext/>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If relevant network operator is the Regional Power Corporation</w:t>
            </w:r>
          </w:p>
        </w:tc>
        <w:tc>
          <w:tcPr>
            <w:tcW w:w="1418" w:type="dxa"/>
            <w:noWrap/>
            <w:vAlign w:val="bottom"/>
          </w:tcPr>
          <w:p>
            <w:pPr>
              <w:pStyle w:val="yTableNAm"/>
              <w:ind w:left="567" w:hanging="567"/>
              <w:jc w:val="right"/>
            </w:pPr>
            <w:r>
              <w:t>498.25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spacing w:after="120"/>
            </w:pPr>
          </w:p>
        </w:tc>
        <w:tc>
          <w:tcPr>
            <w:tcW w:w="3260" w:type="dxa"/>
            <w:noWrap/>
          </w:tcPr>
          <w:p>
            <w:pPr>
              <w:pStyle w:val="yTableNAm"/>
              <w:spacing w:after="120"/>
              <w:ind w:left="567" w:hanging="567"/>
            </w:pPr>
            <w:r>
              <w:t>(b)</w:t>
            </w:r>
            <w:r>
              <w:tab/>
              <w:t>If relevant network operator is not the Regional Power Corporation</w:t>
            </w:r>
          </w:p>
        </w:tc>
        <w:tc>
          <w:tcPr>
            <w:tcW w:w="1418" w:type="dxa"/>
            <w:noWrap/>
            <w:vAlign w:val="bottom"/>
          </w:tcPr>
          <w:p>
            <w:pPr>
              <w:pStyle w:val="yTableNAm"/>
              <w:spacing w:after="120"/>
              <w:ind w:left="567" w:hanging="567"/>
              <w:jc w:val="right"/>
            </w:pPr>
            <w:r>
              <w:t>182.00</w:t>
            </w:r>
          </w:p>
        </w:tc>
      </w:tr>
    </w:tbl>
    <w:p>
      <w:pPr>
        <w:pStyle w:val="yFootnotesection"/>
      </w:pPr>
      <w:r>
        <w:tab/>
        <w:t>[Schedule 1 inserted: SL 2021/86 r. 30.]</w:t>
      </w:r>
    </w:p>
    <w:p>
      <w:pPr>
        <w:pStyle w:val="yScheduleHeading"/>
      </w:pPr>
      <w:bookmarkStart w:id="137" w:name="_Toc103760410"/>
      <w:bookmarkStart w:id="138" w:name="_Toc103760755"/>
      <w:bookmarkStart w:id="139" w:name="_Toc103760864"/>
      <w:bookmarkStart w:id="140" w:name="_Toc103776415"/>
      <w:r>
        <w:rPr>
          <w:rStyle w:val="CharSchNo"/>
        </w:rPr>
        <w:lastRenderedPageBreak/>
        <w:t>Schedule 2</w:t>
      </w:r>
      <w:r>
        <w:rPr>
          <w:rStyle w:val="CharSDivNo"/>
        </w:rPr>
        <w:t> </w:t>
      </w:r>
      <w:r>
        <w:t>—</w:t>
      </w:r>
      <w:r>
        <w:rPr>
          <w:rStyle w:val="CharSDivText"/>
        </w:rPr>
        <w:t> </w:t>
      </w:r>
      <w:r>
        <w:rPr>
          <w:rStyle w:val="CharSchText"/>
        </w:rPr>
        <w:t>Standards for electrical work</w:t>
      </w:r>
      <w:bookmarkEnd w:id="137"/>
      <w:bookmarkEnd w:id="138"/>
      <w:bookmarkEnd w:id="139"/>
      <w:bookmarkEnd w:id="140"/>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Electrical installations — Marinas and recreational boats — Marinas</w:t>
            </w:r>
          </w:p>
        </w:tc>
      </w:tr>
      <w:tr>
        <w:trPr>
          <w:cantSplit/>
        </w:trPr>
        <w:tc>
          <w:tcPr>
            <w:tcW w:w="851" w:type="dxa"/>
            <w:shd w:val="clear" w:color="auto" w:fill="auto"/>
          </w:tcPr>
          <w:p>
            <w:pPr>
              <w:pStyle w:val="yTableNAm"/>
            </w:pPr>
            <w:r>
              <w:lastRenderedPageBreak/>
              <w:t>10.</w:t>
            </w:r>
          </w:p>
        </w:tc>
        <w:tc>
          <w:tcPr>
            <w:tcW w:w="2551" w:type="dxa"/>
            <w:shd w:val="clear" w:color="auto" w:fill="auto"/>
          </w:tcPr>
          <w:p>
            <w:pPr>
              <w:pStyle w:val="yTableNAm"/>
            </w:pPr>
            <w:r>
              <w:t>AS/NZS 3004.2:2008</w:t>
            </w:r>
          </w:p>
        </w:tc>
        <w:tc>
          <w:tcPr>
            <w:tcW w:w="3686" w:type="dxa"/>
          </w:tcPr>
          <w:p>
            <w:pPr>
              <w:pStyle w:val="yTableNAm"/>
            </w:pPr>
            <w:r>
              <w:t>Electrical installations — Marinas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lastRenderedPageBreak/>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42" w:name="_Toc103760411"/>
      <w:bookmarkStart w:id="143" w:name="_Toc103760756"/>
      <w:bookmarkStart w:id="144" w:name="_Toc103760865"/>
      <w:bookmarkStart w:id="145" w:name="_Toc103776416"/>
      <w:r>
        <w:lastRenderedPageBreak/>
        <w:t>Notes</w:t>
      </w:r>
      <w:bookmarkEnd w:id="142"/>
      <w:bookmarkEnd w:id="143"/>
      <w:bookmarkEnd w:id="144"/>
      <w:bookmarkEnd w:id="145"/>
    </w:p>
    <w:p>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6" w:name="_Toc103776417"/>
      <w:r>
        <w:t>Compilation table</w:t>
      </w:r>
      <w:bookmarkEnd w:id="14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lastRenderedPageBreak/>
              <w:t>Electricity (Licensing) Amendment Regulations (No. 2) 2003</w:t>
            </w:r>
            <w:r>
              <w:rPr>
                <w:iCs/>
              </w:rPr>
              <w:t xml:space="preserve"> </w:t>
            </w:r>
            <w:r>
              <w:rPr>
                <w:iCs/>
                <w:vertAlign w:val="superscript"/>
              </w:rPr>
              <w:t>1</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2007</w:t>
            </w:r>
            <w:r>
              <w:rPr>
                <w:iCs/>
                <w:vertAlign w:val="superscript"/>
              </w:rPr>
              <w:t> 5</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2018 </w:t>
            </w:r>
            <w:r>
              <w:rPr>
                <w:vertAlign w:val="superscript"/>
              </w:rPr>
              <w:t>6</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rPr>
          <w:cantSplit/>
        </w:trPr>
        <w:tc>
          <w:tcPr>
            <w:tcW w:w="3118" w:type="dxa"/>
            <w:tcBorders>
              <w:top w:val="nil"/>
              <w:bottom w:val="nil"/>
            </w:tcBorders>
          </w:tcPr>
          <w:p>
            <w:pPr>
              <w:pStyle w:val="nTable"/>
              <w:spacing w:after="40"/>
              <w:rPr>
                <w:i/>
              </w:rPr>
            </w:pPr>
            <w:r>
              <w:rPr>
                <w:i/>
              </w:rPr>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rPr>
          <w:cantSplit/>
        </w:trPr>
        <w:tc>
          <w:tcPr>
            <w:tcW w:w="3118" w:type="dxa"/>
            <w:tcBorders>
              <w:top w:val="nil"/>
              <w:bottom w:val="nil"/>
            </w:tcBorders>
          </w:tcPr>
          <w:p>
            <w:pPr>
              <w:pStyle w:val="nTable"/>
              <w:spacing w:after="40"/>
              <w:rPr>
                <w:i/>
              </w:rPr>
            </w:pPr>
            <w:r>
              <w:rPr>
                <w:i/>
              </w:rPr>
              <w:lastRenderedPageBreak/>
              <w:t xml:space="preserve">Commerce Regulations Amendment (Fees and Charges) Regulations 2019 </w:t>
            </w:r>
            <w:r>
              <w:t>Pt. 9</w:t>
            </w:r>
          </w:p>
        </w:tc>
        <w:tc>
          <w:tcPr>
            <w:tcW w:w="1276" w:type="dxa"/>
            <w:tcBorders>
              <w:top w:val="nil"/>
              <w:bottom w:val="nil"/>
            </w:tcBorders>
          </w:tcPr>
          <w:p>
            <w:pPr>
              <w:pStyle w:val="nTable"/>
              <w:keepNext/>
              <w:spacing w:after="40"/>
            </w:pPr>
            <w:r>
              <w:t>18 Jun 2019 p. 2077</w:t>
            </w:r>
            <w:r>
              <w:noBreakHyphen/>
              <w:t>115</w:t>
            </w:r>
          </w:p>
        </w:tc>
        <w:tc>
          <w:tcPr>
            <w:tcW w:w="2693" w:type="dxa"/>
            <w:tcBorders>
              <w:top w:val="nil"/>
              <w:bottom w:val="nil"/>
            </w:tcBorders>
          </w:tcPr>
          <w:p>
            <w:pPr>
              <w:pStyle w:val="nTable"/>
              <w:keepNext/>
              <w:spacing w:after="40"/>
            </w:pPr>
            <w:r>
              <w:t>1 Jul 2019 (see r. 2(b))</w:t>
            </w:r>
          </w:p>
        </w:tc>
      </w:tr>
      <w:tr>
        <w:trPr>
          <w:cantSplit/>
        </w:trPr>
        <w:tc>
          <w:tcPr>
            <w:tcW w:w="3118" w:type="dxa"/>
            <w:tcBorders>
              <w:top w:val="nil"/>
              <w:bottom w:val="nil"/>
            </w:tcBorders>
          </w:tcPr>
          <w:p>
            <w:pPr>
              <w:pStyle w:val="nTable"/>
              <w:spacing w:after="40"/>
              <w:rPr>
                <w:i/>
              </w:rPr>
            </w:pPr>
            <w:r>
              <w:rPr>
                <w:i/>
              </w:rPr>
              <w:t>Commerce Regulations Amendment (COVID-19 Response) Regulations (No. 2) 2020</w:t>
            </w:r>
            <w:r>
              <w:t xml:space="preserve"> Pt. 8</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keepNext/>
              <w:spacing w:after="40"/>
            </w:pPr>
            <w:r>
              <w:t>28 Oct 2020 (see r. 2(b))</w:t>
            </w:r>
          </w:p>
        </w:tc>
      </w:tr>
      <w:tr>
        <w:trPr>
          <w:cantSplit/>
        </w:trPr>
        <w:tc>
          <w:tcPr>
            <w:tcW w:w="3118" w:type="dxa"/>
            <w:tcBorders>
              <w:top w:val="nil"/>
              <w:bottom w:val="nil"/>
            </w:tcBorders>
          </w:tcPr>
          <w:p>
            <w:pPr>
              <w:pStyle w:val="nTable"/>
              <w:spacing w:after="40"/>
              <w:rPr>
                <w:i/>
              </w:rPr>
            </w:pPr>
            <w:r>
              <w:rPr>
                <w:i/>
              </w:rPr>
              <w:t>Commerce Regulations Amendment (Fees and Charges) Regulations 2021</w:t>
            </w:r>
            <w:r>
              <w:t xml:space="preserve"> Pt. 10</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keepNext/>
              <w:spacing w:after="40"/>
            </w:pPr>
            <w:r>
              <w:t>1 Jul 2021 (see r. 2(b))</w:t>
            </w:r>
          </w:p>
        </w:tc>
      </w:tr>
      <w:tr>
        <w:trPr>
          <w:cantSplit/>
        </w:trPr>
        <w:tc>
          <w:tcPr>
            <w:tcW w:w="3118" w:type="dxa"/>
            <w:tcBorders>
              <w:top w:val="nil"/>
              <w:bottom w:val="nil"/>
            </w:tcBorders>
          </w:tcPr>
          <w:p>
            <w:pPr>
              <w:pStyle w:val="nTable"/>
              <w:spacing w:after="40"/>
            </w:pPr>
            <w:r>
              <w:rPr>
                <w:i/>
              </w:rPr>
              <w:t>Energy Regulations Amendment (Electricity Licensing) Regulations 2022</w:t>
            </w:r>
            <w:r>
              <w:t xml:space="preserve"> Pt. 2</w:t>
            </w:r>
          </w:p>
        </w:tc>
        <w:tc>
          <w:tcPr>
            <w:tcW w:w="1276" w:type="dxa"/>
            <w:tcBorders>
              <w:top w:val="nil"/>
              <w:bottom w:val="nil"/>
            </w:tcBorders>
          </w:tcPr>
          <w:p>
            <w:pPr>
              <w:pStyle w:val="nTable"/>
              <w:spacing w:after="40"/>
            </w:pPr>
            <w:r>
              <w:t>SL 2022/36 15 Mar 2022</w:t>
            </w:r>
          </w:p>
        </w:tc>
        <w:tc>
          <w:tcPr>
            <w:tcW w:w="2693" w:type="dxa"/>
            <w:tcBorders>
              <w:top w:val="nil"/>
              <w:bottom w:val="nil"/>
            </w:tcBorders>
          </w:tcPr>
          <w:p>
            <w:pPr>
              <w:pStyle w:val="nTable"/>
              <w:keepNext/>
              <w:spacing w:after="40"/>
            </w:pPr>
            <w:r>
              <w:t>16 Mar 2022 (see r. 2(b))</w:t>
            </w:r>
          </w:p>
        </w:tc>
      </w:tr>
      <w:tr>
        <w:trPr>
          <w:cantSplit/>
        </w:trPr>
        <w:tc>
          <w:tcPr>
            <w:tcW w:w="3118" w:type="dxa"/>
            <w:tcBorders>
              <w:top w:val="nil"/>
              <w:bottom w:val="single" w:sz="4" w:space="0" w:color="auto"/>
            </w:tcBorders>
          </w:tcPr>
          <w:p>
            <w:pPr>
              <w:pStyle w:val="nTable"/>
              <w:spacing w:after="40"/>
              <w:rPr>
                <w:i/>
              </w:rPr>
            </w:pPr>
            <w:r>
              <w:rPr>
                <w:i/>
              </w:rPr>
              <w:t>Commerce Regulations Amendment (Work Health and Safety) Regulations 2022</w:t>
            </w:r>
            <w:r>
              <w:t xml:space="preserve"> Pt. 3</w:t>
            </w:r>
          </w:p>
        </w:tc>
        <w:tc>
          <w:tcPr>
            <w:tcW w:w="1276" w:type="dxa"/>
            <w:tcBorders>
              <w:top w:val="nil"/>
              <w:bottom w:val="single" w:sz="4" w:space="0" w:color="auto"/>
            </w:tcBorders>
          </w:tcPr>
          <w:p>
            <w:pPr>
              <w:pStyle w:val="nTable"/>
              <w:spacing w:after="40"/>
            </w:pPr>
            <w:r>
              <w:t>SL 2022/26 11 Mar 2022</w:t>
            </w:r>
          </w:p>
        </w:tc>
        <w:tc>
          <w:tcPr>
            <w:tcW w:w="2693" w:type="dxa"/>
            <w:tcBorders>
              <w:top w:val="nil"/>
              <w:bottom w:val="single" w:sz="4" w:space="0" w:color="auto"/>
            </w:tcBorders>
          </w:tcPr>
          <w:p>
            <w:pPr>
              <w:pStyle w:val="nTable"/>
              <w:keepNext/>
              <w:spacing w:after="40"/>
            </w:pPr>
            <w:r>
              <w:t>31 Mar 2022 (see r. 2(b) and SL 2022/18 cl. 2)</w:t>
            </w:r>
          </w:p>
        </w:tc>
      </w:tr>
    </w:tbl>
    <w:p>
      <w:pPr>
        <w:pStyle w:val="nHeading3"/>
      </w:pPr>
      <w:bookmarkStart w:id="147" w:name="_Toc103776418"/>
      <w:r>
        <w:t>Uncommenced provisions table</w:t>
      </w:r>
      <w:bookmarkEnd w:id="14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2022</w:t>
            </w:r>
            <w:r>
              <w:t xml:space="preserve"> Pt. 8</w:t>
            </w:r>
          </w:p>
        </w:tc>
        <w:tc>
          <w:tcPr>
            <w:tcW w:w="1276" w:type="dxa"/>
          </w:tcPr>
          <w:p>
            <w:pPr>
              <w:pStyle w:val="nTable"/>
              <w:spacing w:after="40"/>
            </w:pPr>
            <w:r>
              <w:t>SL 2022/59 20 May 2022</w:t>
            </w:r>
          </w:p>
        </w:tc>
        <w:tc>
          <w:tcPr>
            <w:tcW w:w="2693" w:type="dxa"/>
          </w:tcPr>
          <w:p>
            <w:pPr>
              <w:pStyle w:val="nTable"/>
              <w:spacing w:after="40"/>
            </w:pPr>
            <w:r>
              <w:t>1 Jul 2022 (see r. 2(b))</w:t>
            </w:r>
          </w:p>
        </w:tc>
      </w:tr>
    </w:tbl>
    <w:p>
      <w:pPr>
        <w:pStyle w:val="nHeading3"/>
      </w:pPr>
      <w:bookmarkStart w:id="148" w:name="_Toc103776419"/>
      <w:r>
        <w:t>Other notes</w:t>
      </w:r>
      <w:bookmarkEnd w:id="148"/>
    </w:p>
    <w:p>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Note"/>
        <w:keepNext/>
        <w:spacing w:before="100"/>
      </w:pPr>
      <w:r>
        <w:rPr>
          <w:vertAlign w:val="superscript"/>
        </w:rPr>
        <w:lastRenderedPageBreak/>
        <w:t>2</w:t>
      </w:r>
      <w:r>
        <w:tab/>
        <w:t xml:space="preserve">Repealed by the </w:t>
      </w:r>
      <w:r>
        <w:rPr>
          <w:i/>
          <w:iCs/>
        </w:rPr>
        <w:t>Training Legislation Amendment and Repeal Act 2008</w:t>
      </w:r>
      <w:r>
        <w:t xml:space="preserve"> s. 50. </w:t>
      </w:r>
    </w:p>
    <w:p>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pPr>
        <w:pStyle w:val="nNote"/>
        <w:keepNext/>
        <w:spacing w:before="100"/>
        <w:rPr>
          <w:snapToGrid w:val="0"/>
        </w:rPr>
      </w:pPr>
      <w:r>
        <w:rPr>
          <w:snapToGrid w:val="0"/>
          <w:vertAlign w:val="superscript"/>
        </w:rPr>
        <w:t>5</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49" w:name="endcomma"/>
      <w:bookmarkEnd w:id="149"/>
    </w:p>
    <w:p>
      <w:pPr>
        <w:pStyle w:val="BlankClose"/>
        <w:rPr>
          <w:sz w:val="16"/>
          <w:szCs w:val="16"/>
        </w:rPr>
      </w:pPr>
    </w:p>
    <w:p>
      <w:pPr>
        <w:pStyle w:val="nNote"/>
        <w:keepNext/>
        <w:spacing w:before="240"/>
        <w:rPr>
          <w:i/>
          <w:snapToGrid w:val="0"/>
        </w:rPr>
      </w:pPr>
      <w:r>
        <w:rPr>
          <w:snapToGrid w:val="0"/>
          <w:vertAlign w:val="superscript"/>
        </w:rPr>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51" w:name="_Toc103760414"/>
      <w:bookmarkStart w:id="152" w:name="_Toc103760760"/>
      <w:bookmarkStart w:id="153" w:name="_Toc103760869"/>
      <w:bookmarkStart w:id="154" w:name="_Toc103776420"/>
      <w:r>
        <w:rPr>
          <w:sz w:val="28"/>
        </w:rPr>
        <w:lastRenderedPageBreak/>
        <w:t>Defined terms</w:t>
      </w:r>
      <w:bookmarkEnd w:id="151"/>
      <w:bookmarkEnd w:id="152"/>
      <w:bookmarkEnd w:id="153"/>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50AA(1)</w:t>
      </w:r>
    </w:p>
    <w:p>
      <w:pPr>
        <w:pStyle w:val="DefinedTerms"/>
      </w:pPr>
      <w:r>
        <w:t>apprentice</w:t>
      </w:r>
      <w:r>
        <w:tab/>
        <w:t>3(1)</w:t>
      </w:r>
    </w:p>
    <w:p>
      <w:pPr>
        <w:pStyle w:val="DefinedTerms"/>
      </w:pPr>
      <w:r>
        <w:t>approved</w:t>
      </w:r>
      <w:r>
        <w:tab/>
        <w:t>5(1a)</w:t>
      </w:r>
    </w:p>
    <w:p>
      <w:pPr>
        <w:pStyle w:val="DefinedTerms"/>
      </w:pPr>
      <w:r>
        <w:t>AS</w:t>
      </w:r>
      <w:r>
        <w:tab/>
        <w:t>3(1)</w:t>
      </w:r>
    </w:p>
    <w:p>
      <w:pPr>
        <w:pStyle w:val="DefinedTerms"/>
      </w:pPr>
      <w:r>
        <w:t>AS/NZS</w:t>
      </w:r>
      <w:r>
        <w:tab/>
        <w:t>3(1)</w:t>
      </w:r>
    </w:p>
    <w:p>
      <w:pPr>
        <w:pStyle w:val="DefinedTerms"/>
      </w:pPr>
      <w:r>
        <w:t>Australian/New Zealand Wiring Rules</w:t>
      </w:r>
      <w:r>
        <w:tab/>
        <w:t>3(1)</w:t>
      </w:r>
    </w:p>
    <w:p>
      <w:pPr>
        <w:pStyle w:val="DefinedTerms"/>
      </w:pPr>
      <w:r>
        <w:t>Board</w:t>
      </w:r>
      <w:r>
        <w:tab/>
        <w:t>3(1)</w:t>
      </w:r>
    </w:p>
    <w:p>
      <w:pPr>
        <w:pStyle w:val="DefinedTerms"/>
      </w:pPr>
      <w:r>
        <w:t>casual vacancy</w:t>
      </w:r>
      <w:r>
        <w:tab/>
        <w:t>8(4)</w:t>
      </w:r>
    </w:p>
    <w:p>
      <w:pPr>
        <w:pStyle w:val="DefinedTerms"/>
      </w:pPr>
      <w:r>
        <w:t>chairperson</w:t>
      </w:r>
      <w:r>
        <w:tab/>
        <w:t>3(1)</w:t>
      </w:r>
    </w:p>
    <w:p>
      <w:pPr>
        <w:pStyle w:val="DefinedTerms"/>
      </w:pPr>
      <w:r>
        <w:t>commencement day</w:t>
      </w:r>
      <w:r>
        <w:tab/>
        <w:t>49(2B), 67(1)</w:t>
      </w:r>
    </w:p>
    <w:p>
      <w:pPr>
        <w:pStyle w:val="DefinedTerms"/>
      </w:pPr>
      <w:r>
        <w:t>competent person</w:t>
      </w:r>
      <w:r>
        <w:tab/>
        <w:t>54A(1)</w:t>
      </w:r>
    </w:p>
    <w:p>
      <w:pPr>
        <w:pStyle w:val="DefinedTerms"/>
      </w:pPr>
      <w:r>
        <w:t>construction project</w:t>
      </w:r>
      <w:r>
        <w:tab/>
        <w:t>52BB(1)</w:t>
      </w:r>
    </w:p>
    <w:p>
      <w:pPr>
        <w:pStyle w:val="DefinedTerms"/>
      </w:pPr>
      <w:r>
        <w:t>consumers mains</w:t>
      </w:r>
      <w:r>
        <w:tab/>
        <w:t>51(3)</w:t>
      </w:r>
    </w:p>
    <w:p>
      <w:pPr>
        <w:pStyle w:val="DefinedTerms"/>
      </w:pPr>
      <w:r>
        <w:t>contact details</w:t>
      </w:r>
      <w:r>
        <w:tab/>
        <w:t>3(1)</w:t>
      </w:r>
    </w:p>
    <w:p>
      <w:pPr>
        <w:pStyle w:val="DefinedTerms"/>
      </w:pPr>
      <w:r>
        <w:t>control or protective gear</w:t>
      </w:r>
      <w:r>
        <w:tab/>
        <w:t>51(3)</w:t>
      </w:r>
    </w:p>
    <w:p>
      <w:pPr>
        <w:pStyle w:val="DefinedTerms"/>
      </w:pPr>
      <w:r>
        <w:t>copy</w:t>
      </w:r>
      <w:r>
        <w:tab/>
        <w:t>3(1)</w:t>
      </w:r>
    </w:p>
    <w:p>
      <w:pPr>
        <w:pStyle w:val="DefinedTerms"/>
      </w:pPr>
      <w:r>
        <w:t>de-energised</w:t>
      </w:r>
      <w:r>
        <w:tab/>
        <w:t>3(1)</w:t>
      </w:r>
    </w:p>
    <w:p>
      <w:pPr>
        <w:pStyle w:val="DefinedTerms"/>
      </w:pPr>
      <w:r>
        <w:t>default procedure</w:t>
      </w:r>
      <w:r>
        <w:tab/>
        <w:t>52BB(1)</w:t>
      </w:r>
    </w:p>
    <w:p>
      <w:pPr>
        <w:pStyle w:val="DefinedTerms"/>
      </w:pPr>
      <w:r>
        <w:t>department</w:t>
      </w:r>
      <w:r>
        <w:tab/>
        <w:t>3(1)</w:t>
      </w:r>
    </w:p>
    <w:p>
      <w:pPr>
        <w:pStyle w:val="DefinedTerms"/>
      </w:pPr>
      <w:r>
        <w:t>electrical accident</w:t>
      </w:r>
      <w:r>
        <w:tab/>
        <w:t>63(1)</w:t>
      </w:r>
    </w:p>
    <w:p>
      <w:pPr>
        <w:pStyle w:val="DefinedTerms"/>
      </w:pPr>
      <w:r>
        <w:t>electrical appliance</w:t>
      </w:r>
      <w:r>
        <w:tab/>
        <w:t>2(1)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employer of an electrical worker in training</w:t>
      </w:r>
      <w:r>
        <w:tab/>
        <w:t>50AA(1)</w:t>
      </w:r>
    </w:p>
    <w:p>
      <w:pPr>
        <w:pStyle w:val="DefinedTerms"/>
      </w:pPr>
      <w:r>
        <w:t>energised</w:t>
      </w:r>
      <w:r>
        <w:tab/>
        <w:t>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lastRenderedPageBreak/>
        <w:t>in-house electrical installing work</w:t>
      </w:r>
      <w:r>
        <w:tab/>
        <w:t>3(1)</w:t>
      </w:r>
    </w:p>
    <w:p>
      <w:pPr>
        <w:pStyle w:val="DefinedTerms"/>
      </w:pPr>
      <w:r>
        <w:t>in-house electrical installing work licence</w:t>
      </w:r>
      <w:r>
        <w:tab/>
        <w:t>3(1)</w:t>
      </w:r>
    </w:p>
    <w:p>
      <w:pPr>
        <w:pStyle w:val="DefinedTerms"/>
      </w:pPr>
      <w:r>
        <w:t>labour hire arrangement</w:t>
      </w:r>
      <w:r>
        <w:tab/>
        <w:t>50AA(1) and (1A)</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major network operator</w:t>
      </w:r>
      <w:r>
        <w:tab/>
        <w:t>3(1)</w:t>
      </w:r>
    </w:p>
    <w:p>
      <w:pPr>
        <w:pStyle w:val="DefinedTerms"/>
      </w:pPr>
      <w:r>
        <w:t xml:space="preserve">mine </w:t>
      </w:r>
      <w:r>
        <w:tab/>
        <w:t>3(1)</w:t>
      </w:r>
    </w:p>
    <w:p>
      <w:pPr>
        <w:pStyle w:val="DefinedTerms"/>
      </w:pPr>
      <w:r>
        <w:t>modified procedure</w:t>
      </w:r>
      <w:r>
        <w:tab/>
        <w:t>52BB(1)</w:t>
      </w:r>
    </w:p>
    <w:p>
      <w:pPr>
        <w:pStyle w:val="DefinedTerms"/>
      </w:pPr>
      <w:r>
        <w:t>network</w:t>
      </w:r>
      <w:r>
        <w:tab/>
        <w:t>3(1)</w:t>
      </w:r>
    </w:p>
    <w:p>
      <w:pPr>
        <w:pStyle w:val="DefinedTerms"/>
      </w:pPr>
      <w:r>
        <w:t>nominee</w:t>
      </w:r>
      <w:r>
        <w:tab/>
        <w:t>3(1)</w:t>
      </w:r>
    </w:p>
    <w:p>
      <w:pPr>
        <w:pStyle w:val="DefinedTerms"/>
      </w:pPr>
      <w:r>
        <w:t>notice of completion</w:t>
      </w:r>
      <w:r>
        <w:tab/>
        <w:t>52A(1)</w:t>
      </w:r>
    </w:p>
    <w:p>
      <w:pPr>
        <w:pStyle w:val="DefinedTerms"/>
      </w:pPr>
      <w:r>
        <w:t>notifiable work</w:t>
      </w:r>
      <w:r>
        <w:tab/>
        <w:t>3(1), 52BB(2)</w:t>
      </w:r>
    </w:p>
    <w:p>
      <w:pPr>
        <w:pStyle w:val="DefinedTerms"/>
      </w:pPr>
      <w:r>
        <w:t>notifiable work of an electrical contractor</w:t>
      </w:r>
      <w:r>
        <w:tab/>
        <w:t>52BB(1)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 4AA(1)</w:t>
      </w:r>
    </w:p>
    <w:p>
      <w:pPr>
        <w:pStyle w:val="DefinedTerms"/>
      </w:pPr>
      <w:r>
        <w:t>professionally qualified engineer</w:t>
      </w:r>
      <w:r>
        <w:tab/>
        <w:t>19(1A)</w:t>
      </w:r>
    </w:p>
    <w:p>
      <w:pPr>
        <w:pStyle w:val="DefinedTerms"/>
      </w:pPr>
      <w:r>
        <w:t>Regional Power Corporation</w:t>
      </w:r>
      <w:r>
        <w:tab/>
        <w:t>3(1)</w:t>
      </w:r>
    </w:p>
    <w:p>
      <w:pPr>
        <w:pStyle w:val="DefinedTerms"/>
      </w:pPr>
      <w:r>
        <w:t>relevant licence</w:t>
      </w:r>
      <w:r>
        <w:tab/>
        <w:t>45A(1)</w:t>
      </w:r>
    </w:p>
    <w:p>
      <w:pPr>
        <w:pStyle w:val="DefinedTerms"/>
      </w:pPr>
      <w:r>
        <w:t>relevant network operator</w:t>
      </w:r>
      <w:r>
        <w:tab/>
        <w:t>3(1)</w:t>
      </w:r>
    </w:p>
    <w:p>
      <w:pPr>
        <w:pStyle w:val="DefinedTerms"/>
      </w:pPr>
      <w:r>
        <w:t>relevant training contract</w:t>
      </w:r>
      <w:r>
        <w:tab/>
        <w:t>19(1A)</w:t>
      </w:r>
    </w:p>
    <w:p>
      <w:pPr>
        <w:pStyle w:val="DefinedTerms"/>
      </w:pPr>
      <w:r>
        <w:t>required time</w:t>
      </w:r>
      <w:r>
        <w:tab/>
        <w:t>51(3)</w:t>
      </w:r>
    </w:p>
    <w:p>
      <w:pPr>
        <w:pStyle w:val="DefinedTerms"/>
      </w:pPr>
      <w:r>
        <w:t>revenue meter</w:t>
      </w:r>
      <w:r>
        <w:tab/>
        <w:t>52BB(1)</w:t>
      </w:r>
    </w:p>
    <w:p>
      <w:pPr>
        <w:pStyle w:val="DefinedTerms"/>
      </w:pPr>
      <w:r>
        <w:t>risk assessment</w:t>
      </w:r>
      <w:r>
        <w:tab/>
        <w:t>54A(1)</w:t>
      </w:r>
    </w:p>
    <w:p>
      <w:pPr>
        <w:pStyle w:val="DefinedTerms"/>
      </w:pPr>
      <w:r>
        <w:t>servicing</w:t>
      </w:r>
      <w:r>
        <w:tab/>
        <w:t>19(1A)</w:t>
      </w:r>
    </w:p>
    <w:p>
      <w:pPr>
        <w:pStyle w:val="DefinedTerms"/>
      </w:pPr>
      <w:r>
        <w:t>supervising electrical worker</w:t>
      </w:r>
      <w:r>
        <w:tab/>
        <w:t>49C(1), 50(3)</w:t>
      </w:r>
    </w:p>
    <w:p>
      <w:pPr>
        <w:pStyle w:val="DefinedTerms"/>
      </w:pPr>
      <w:r>
        <w:t>temporary builders supply</w:t>
      </w:r>
      <w:r>
        <w:tab/>
        <w:t>52B(4A)</w:t>
      </w:r>
    </w:p>
    <w:p>
      <w:pPr>
        <w:pStyle w:val="DefinedTerms"/>
      </w:pPr>
      <w:r>
        <w:t>transportable structure</w:t>
      </w:r>
      <w:r>
        <w:tab/>
        <w:t>3(1)</w:t>
      </w:r>
    </w:p>
    <w:p>
      <w:pPr>
        <w:pStyle w:val="DefinedTerms"/>
      </w:pPr>
      <w:r>
        <w:t>working days</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07-u0-00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07-u0-00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1" w:name="Schedule"/>
    <w:bookmarkEnd w:id="1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55" w:name="DefinedTerms"/>
    <w:bookmarkEnd w:id="15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6" w:name="Coversheet"/>
    <w:bookmarkEnd w:id="1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8095643"/>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 w:name="WAFER_20210616092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2552_GUID" w:val="ac8ae422-95a9-491e-8364-1d333bfd625f"/>
    <w:docVar w:name="WAFER_20210623153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153053_GUID" w:val="f580cff1-1843-46c9-833b-419e14891761"/>
    <w:docVar w:name="WAFER_202203081147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759_GUID" w:val="0578a4ac-fbd0-429f-9386-883f8e97bb84"/>
    <w:docVar w:name="WAFER_202203101131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0113125_GUID" w:val="30b3953f-d3a6-4492-87f3-9dbea1f47a60"/>
    <w:docVar w:name="WAFER_20220318102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8102634_GUID" w:val="1f3a138e-cafd-4853-9a0b-69225ae39549"/>
    <w:docVar w:name="WAFER_202205180956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20_GUID" w:val="f30b1d21-a5dd-4064-a91f-8c432ab23e0c"/>
    <w:docVar w:name="WAFER_202205180956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43_GUID" w:val="2fd0094c-24f2-4623-83db-f309b88de7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0100">
      <w:bodyDiv w:val="1"/>
      <w:marLeft w:val="0"/>
      <w:marRight w:val="0"/>
      <w:marTop w:val="0"/>
      <w:marBottom w:val="0"/>
      <w:divBdr>
        <w:top w:val="none" w:sz="0" w:space="0" w:color="auto"/>
        <w:left w:val="none" w:sz="0" w:space="0" w:color="auto"/>
        <w:bottom w:val="none" w:sz="0" w:space="0" w:color="auto"/>
        <w:right w:val="none" w:sz="0" w:space="0" w:color="auto"/>
      </w:divBdr>
    </w:div>
    <w:div w:id="273943828">
      <w:bodyDiv w:val="1"/>
      <w:marLeft w:val="0"/>
      <w:marRight w:val="0"/>
      <w:marTop w:val="0"/>
      <w:marBottom w:val="0"/>
      <w:divBdr>
        <w:top w:val="none" w:sz="0" w:space="0" w:color="auto"/>
        <w:left w:val="none" w:sz="0" w:space="0" w:color="auto"/>
        <w:bottom w:val="none" w:sz="0" w:space="0" w:color="auto"/>
        <w:right w:val="none" w:sz="0" w:space="0" w:color="auto"/>
      </w:divBdr>
    </w:div>
    <w:div w:id="304942466">
      <w:bodyDiv w:val="1"/>
      <w:marLeft w:val="0"/>
      <w:marRight w:val="0"/>
      <w:marTop w:val="0"/>
      <w:marBottom w:val="0"/>
      <w:divBdr>
        <w:top w:val="none" w:sz="0" w:space="0" w:color="auto"/>
        <w:left w:val="none" w:sz="0" w:space="0" w:color="auto"/>
        <w:bottom w:val="none" w:sz="0" w:space="0" w:color="auto"/>
        <w:right w:val="none" w:sz="0" w:space="0" w:color="auto"/>
      </w:divBdr>
    </w:div>
    <w:div w:id="377358709">
      <w:bodyDiv w:val="1"/>
      <w:marLeft w:val="0"/>
      <w:marRight w:val="0"/>
      <w:marTop w:val="0"/>
      <w:marBottom w:val="0"/>
      <w:divBdr>
        <w:top w:val="none" w:sz="0" w:space="0" w:color="auto"/>
        <w:left w:val="none" w:sz="0" w:space="0" w:color="auto"/>
        <w:bottom w:val="none" w:sz="0" w:space="0" w:color="auto"/>
        <w:right w:val="none" w:sz="0" w:space="0" w:color="auto"/>
      </w:divBdr>
    </w:div>
    <w:div w:id="515073760">
      <w:bodyDiv w:val="1"/>
      <w:marLeft w:val="0"/>
      <w:marRight w:val="0"/>
      <w:marTop w:val="0"/>
      <w:marBottom w:val="0"/>
      <w:divBdr>
        <w:top w:val="none" w:sz="0" w:space="0" w:color="auto"/>
        <w:left w:val="none" w:sz="0" w:space="0" w:color="auto"/>
        <w:bottom w:val="none" w:sz="0" w:space="0" w:color="auto"/>
        <w:right w:val="none" w:sz="0" w:space="0" w:color="auto"/>
      </w:divBdr>
    </w:div>
    <w:div w:id="721052125">
      <w:bodyDiv w:val="1"/>
      <w:marLeft w:val="0"/>
      <w:marRight w:val="0"/>
      <w:marTop w:val="0"/>
      <w:marBottom w:val="0"/>
      <w:divBdr>
        <w:top w:val="none" w:sz="0" w:space="0" w:color="auto"/>
        <w:left w:val="none" w:sz="0" w:space="0" w:color="auto"/>
        <w:bottom w:val="none" w:sz="0" w:space="0" w:color="auto"/>
        <w:right w:val="none" w:sz="0" w:space="0" w:color="auto"/>
      </w:divBdr>
    </w:div>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954866730">
      <w:bodyDiv w:val="1"/>
      <w:marLeft w:val="0"/>
      <w:marRight w:val="0"/>
      <w:marTop w:val="0"/>
      <w:marBottom w:val="0"/>
      <w:divBdr>
        <w:top w:val="none" w:sz="0" w:space="0" w:color="auto"/>
        <w:left w:val="none" w:sz="0" w:space="0" w:color="auto"/>
        <w:bottom w:val="none" w:sz="0" w:space="0" w:color="auto"/>
        <w:right w:val="none" w:sz="0" w:space="0" w:color="auto"/>
      </w:divBdr>
    </w:div>
    <w:div w:id="1077283388">
      <w:bodyDiv w:val="1"/>
      <w:marLeft w:val="0"/>
      <w:marRight w:val="0"/>
      <w:marTop w:val="0"/>
      <w:marBottom w:val="0"/>
      <w:divBdr>
        <w:top w:val="none" w:sz="0" w:space="0" w:color="auto"/>
        <w:left w:val="none" w:sz="0" w:space="0" w:color="auto"/>
        <w:bottom w:val="none" w:sz="0" w:space="0" w:color="auto"/>
        <w:right w:val="none" w:sz="0" w:space="0" w:color="auto"/>
      </w:divBdr>
    </w:div>
    <w:div w:id="1095631367">
      <w:bodyDiv w:val="1"/>
      <w:marLeft w:val="0"/>
      <w:marRight w:val="0"/>
      <w:marTop w:val="0"/>
      <w:marBottom w:val="0"/>
      <w:divBdr>
        <w:top w:val="none" w:sz="0" w:space="0" w:color="auto"/>
        <w:left w:val="none" w:sz="0" w:space="0" w:color="auto"/>
        <w:bottom w:val="none" w:sz="0" w:space="0" w:color="auto"/>
        <w:right w:val="none" w:sz="0" w:space="0" w:color="auto"/>
      </w:divBdr>
    </w:div>
    <w:div w:id="1298560135">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 w:id="1421683137">
      <w:bodyDiv w:val="1"/>
      <w:marLeft w:val="0"/>
      <w:marRight w:val="0"/>
      <w:marTop w:val="0"/>
      <w:marBottom w:val="0"/>
      <w:divBdr>
        <w:top w:val="none" w:sz="0" w:space="0" w:color="auto"/>
        <w:left w:val="none" w:sz="0" w:space="0" w:color="auto"/>
        <w:bottom w:val="none" w:sz="0" w:space="0" w:color="auto"/>
        <w:right w:val="none" w:sz="0" w:space="0" w:color="auto"/>
      </w:divBdr>
    </w:div>
    <w:div w:id="1646739897">
      <w:bodyDiv w:val="1"/>
      <w:marLeft w:val="0"/>
      <w:marRight w:val="0"/>
      <w:marTop w:val="0"/>
      <w:marBottom w:val="0"/>
      <w:divBdr>
        <w:top w:val="none" w:sz="0" w:space="0" w:color="auto"/>
        <w:left w:val="none" w:sz="0" w:space="0" w:color="auto"/>
        <w:bottom w:val="none" w:sz="0" w:space="0" w:color="auto"/>
        <w:right w:val="none" w:sz="0" w:space="0" w:color="auto"/>
      </w:divBdr>
    </w:div>
    <w:div w:id="1841504350">
      <w:bodyDiv w:val="1"/>
      <w:marLeft w:val="0"/>
      <w:marRight w:val="0"/>
      <w:marTop w:val="0"/>
      <w:marBottom w:val="0"/>
      <w:divBdr>
        <w:top w:val="none" w:sz="0" w:space="0" w:color="auto"/>
        <w:left w:val="none" w:sz="0" w:space="0" w:color="auto"/>
        <w:bottom w:val="none" w:sz="0" w:space="0" w:color="auto"/>
        <w:right w:val="none" w:sz="0" w:space="0" w:color="auto"/>
      </w:divBdr>
    </w:div>
    <w:div w:id="1851874460">
      <w:bodyDiv w:val="1"/>
      <w:marLeft w:val="0"/>
      <w:marRight w:val="0"/>
      <w:marTop w:val="0"/>
      <w:marBottom w:val="0"/>
      <w:divBdr>
        <w:top w:val="none" w:sz="0" w:space="0" w:color="auto"/>
        <w:left w:val="none" w:sz="0" w:space="0" w:color="auto"/>
        <w:bottom w:val="none" w:sz="0" w:space="0" w:color="auto"/>
        <w:right w:val="none" w:sz="0" w:space="0" w:color="auto"/>
      </w:divBdr>
    </w:div>
    <w:div w:id="2002926168">
      <w:bodyDiv w:val="1"/>
      <w:marLeft w:val="0"/>
      <w:marRight w:val="0"/>
      <w:marTop w:val="0"/>
      <w:marBottom w:val="0"/>
      <w:divBdr>
        <w:top w:val="none" w:sz="0" w:space="0" w:color="auto"/>
        <w:left w:val="none" w:sz="0" w:space="0" w:color="auto"/>
        <w:bottom w:val="none" w:sz="0" w:space="0" w:color="auto"/>
        <w:right w:val="none" w:sz="0" w:space="0" w:color="auto"/>
      </w:divBdr>
    </w:div>
    <w:div w:id="20212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F4A8-D708-4BD5-A91F-085B00BB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29404</Words>
  <Characters>147318</Characters>
  <Application>Microsoft Office Word</Application>
  <DocSecurity>0</DocSecurity>
  <Lines>4092</Lines>
  <Paragraphs>2103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1991 - 07-u0-00</dc:title>
  <dc:subject/>
  <dc:creator/>
  <cp:keywords/>
  <dc:description/>
  <cp:lastModifiedBy>Master Repository Process</cp:lastModifiedBy>
  <cp:revision>4</cp:revision>
  <cp:lastPrinted>2019-01-07T07:12:00Z</cp:lastPrinted>
  <dcterms:created xsi:type="dcterms:W3CDTF">2022-05-19T08:30:00Z</dcterms:created>
  <dcterms:modified xsi:type="dcterms:W3CDTF">2022-05-19T08:30:00Z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20 May 2022</vt:lpwstr>
  </property>
  <property fmtid="{D5CDD505-2E9C-101B-9397-08002B2CF9AE}" pid="8" name="Suffix">
    <vt:lpwstr>07-u0-00</vt:lpwstr>
  </property>
  <property fmtid="{D5CDD505-2E9C-101B-9397-08002B2CF9AE}" pid="9" name="CommencementDate">
    <vt:lpwstr>20220520</vt:lpwstr>
  </property>
</Properties>
</file>