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Dealers Act 1973</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(Licensing)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_Toc103776521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False information in applications etc., offence</w:t>
      </w:r>
      <w:r>
        <w:tab/>
      </w:r>
      <w:r>
        <w:fldChar w:fldCharType="begin"/>
      </w:r>
      <w:r>
        <w:instrText xml:space="preserve"> PAGEREF _Toc103776522 \h </w:instrText>
      </w:r>
      <w:r>
        <w:fldChar w:fldCharType="separate"/>
      </w:r>
      <w:r>
        <w:t>1</w:t>
      </w:r>
      <w:r>
        <w:fldChar w:fldCharType="end"/>
      </w:r>
    </w:p>
    <w:p>
      <w:pPr>
        <w:pStyle w:val="TOC8"/>
        <w:rPr>
          <w:rFonts w:asciiTheme="minorHAnsi" w:eastAsiaTheme="minorEastAsia" w:hAnsiTheme="minorHAnsi" w:cstheme="minorBidi"/>
          <w:szCs w:val="22"/>
        </w:rPr>
      </w:pPr>
      <w:r>
        <w:t>6A</w:t>
      </w:r>
      <w:r>
        <w:rPr>
          <w:snapToGrid w:val="0"/>
        </w:rPr>
        <w:t xml:space="preserve">. </w:t>
      </w:r>
      <w:r>
        <w:rPr>
          <w:snapToGrid w:val="0"/>
        </w:rPr>
        <w:tab/>
        <w:t>Period prescribed (Act s. 19(1))</w:t>
      </w:r>
      <w:r>
        <w:tab/>
      </w:r>
      <w:r>
        <w:fldChar w:fldCharType="begin"/>
      </w:r>
      <w:r>
        <w:instrText xml:space="preserve"> PAGEREF _Toc103776523 \h </w:instrText>
      </w:r>
      <w:r>
        <w:fldChar w:fldCharType="separate"/>
      </w:r>
      <w:r>
        <w:t>1</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Penalty for late application prescribed (Act s. 19(3))</w:t>
      </w:r>
      <w:r>
        <w:tab/>
      </w:r>
      <w:r>
        <w:fldChar w:fldCharType="begin"/>
      </w:r>
      <w:r>
        <w:instrText xml:space="preserve"> PAGEREF _Toc103776524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w:t>
      </w:r>
      <w:r>
        <w:tab/>
      </w:r>
      <w:r>
        <w:fldChar w:fldCharType="begin"/>
      </w:r>
      <w:r>
        <w:instrText xml:space="preserve"> PAGEREF _Toc103776525 \h </w:instrText>
      </w:r>
      <w:r>
        <w:fldChar w:fldCharType="separate"/>
      </w:r>
      <w:r>
        <w:t>2</w:t>
      </w:r>
      <w:r>
        <w:fldChar w:fldCharType="end"/>
      </w:r>
    </w:p>
    <w:p>
      <w:pPr>
        <w:pStyle w:val="TOC8"/>
        <w:rPr>
          <w:rFonts w:asciiTheme="minorHAnsi" w:eastAsiaTheme="minorEastAsia" w:hAnsiTheme="minorHAnsi" w:cstheme="minorBidi"/>
          <w:szCs w:val="22"/>
        </w:rPr>
      </w:pPr>
      <w:r>
        <w:t>7A.</w:t>
      </w:r>
      <w:r>
        <w:tab/>
        <w:t>Prescribed particulars for register of authorisations</w:t>
      </w:r>
      <w:r>
        <w:tab/>
      </w:r>
      <w:r>
        <w:fldChar w:fldCharType="begin"/>
      </w:r>
      <w:r>
        <w:instrText xml:space="preserve"> PAGEREF _Toc103776526 \h </w:instrText>
      </w:r>
      <w:r>
        <w:fldChar w:fldCharType="separate"/>
      </w:r>
      <w:r>
        <w:t>2</w:t>
      </w:r>
      <w:r>
        <w:fldChar w:fldCharType="end"/>
      </w:r>
    </w:p>
    <w:p>
      <w:pPr>
        <w:pStyle w:val="TOC8"/>
        <w:rPr>
          <w:rFonts w:asciiTheme="minorHAnsi" w:eastAsiaTheme="minorEastAsia" w:hAnsiTheme="minorHAnsi" w:cstheme="minorBidi"/>
          <w:szCs w:val="22"/>
        </w:rPr>
      </w:pPr>
      <w:r>
        <w:t>7B.</w:t>
      </w:r>
      <w:r>
        <w:tab/>
        <w:t>Changes in employment of yard managers and salespersons must be notified to Commissioner</w:t>
      </w:r>
      <w:r>
        <w:tab/>
      </w:r>
      <w:r>
        <w:fldChar w:fldCharType="begin"/>
      </w:r>
      <w:r>
        <w:instrText xml:space="preserve"> PAGEREF _Toc103776527 \h </w:instrText>
      </w:r>
      <w:r>
        <w:fldChar w:fldCharType="separate"/>
      </w:r>
      <w:r>
        <w:t>4</w:t>
      </w:r>
      <w:r>
        <w:fldChar w:fldCharType="end"/>
      </w:r>
    </w:p>
    <w:p>
      <w:pPr>
        <w:pStyle w:val="TOC8"/>
        <w:rPr>
          <w:rFonts w:asciiTheme="minorHAnsi" w:eastAsiaTheme="minorEastAsia" w:hAnsiTheme="minorHAnsi" w:cstheme="minorBidi"/>
          <w:szCs w:val="22"/>
        </w:rPr>
      </w:pPr>
      <w:r>
        <w:t>8.</w:t>
      </w:r>
      <w:r>
        <w:tab/>
        <w:t>Classes of business and categories of licence prescribed (Act s. 5A)</w:t>
      </w:r>
      <w:r>
        <w:tab/>
      </w:r>
      <w:r>
        <w:fldChar w:fldCharType="begin"/>
      </w:r>
      <w:r>
        <w:instrText xml:space="preserve"> PAGEREF _Toc103776528 \h </w:instrText>
      </w:r>
      <w:r>
        <w:fldChar w:fldCharType="separate"/>
      </w:r>
      <w:r>
        <w:t>4</w:t>
      </w:r>
      <w:r>
        <w:fldChar w:fldCharType="end"/>
      </w:r>
    </w:p>
    <w:p>
      <w:pPr>
        <w:pStyle w:val="TOC8"/>
        <w:rPr>
          <w:rFonts w:asciiTheme="minorHAnsi" w:eastAsiaTheme="minorEastAsia" w:hAnsiTheme="minorHAnsi" w:cstheme="minorBidi"/>
          <w:szCs w:val="22"/>
        </w:rPr>
      </w:pPr>
      <w:r>
        <w:t>9.</w:t>
      </w:r>
      <w:r>
        <w:tab/>
        <w:t>Exempt sales and exempt exchanges prescribed (Act s. 5B(4))</w:t>
      </w:r>
      <w:r>
        <w:tab/>
      </w:r>
      <w:r>
        <w:fldChar w:fldCharType="begin"/>
      </w:r>
      <w:r>
        <w:instrText xml:space="preserve"> PAGEREF _Toc103776529 \h </w:instrText>
      </w:r>
      <w:r>
        <w:fldChar w:fldCharType="separate"/>
      </w:r>
      <w:r>
        <w:t>4</w:t>
      </w:r>
      <w:r>
        <w:fldChar w:fldCharType="end"/>
      </w:r>
    </w:p>
    <w:p>
      <w:pPr>
        <w:pStyle w:val="TOC8"/>
        <w:rPr>
          <w:rFonts w:asciiTheme="minorHAnsi" w:eastAsiaTheme="minorEastAsia" w:hAnsiTheme="minorHAnsi" w:cstheme="minorBidi"/>
          <w:szCs w:val="22"/>
        </w:rPr>
      </w:pPr>
      <w:r>
        <w:t>10.</w:t>
      </w:r>
      <w:r>
        <w:tab/>
        <w:t>Transitional</w:t>
      </w:r>
      <w:r>
        <w:tab/>
      </w:r>
      <w:r>
        <w:fldChar w:fldCharType="begin"/>
      </w:r>
      <w:r>
        <w:instrText xml:space="preserve"> PAGEREF _Toc103776530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Schedule 4 — Classes and descriptions of business and categories of dealer’s licence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_Toc103776534 \h </w:instrText>
      </w:r>
      <w:r>
        <w:fldChar w:fldCharType="separate"/>
      </w:r>
      <w:r>
        <w:t>11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_Toc103776535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Motor Vehicle Dealers Act 1973</w:t>
      </w:r>
    </w:p>
    <w:p>
      <w:pPr>
        <w:pStyle w:val="NameofActReg"/>
        <w:ind w:left="567" w:right="575"/>
      </w:pPr>
      <w:r>
        <w:t>Motor Vehicle Dealers (Licensing) Regulations 1974</w:t>
      </w:r>
    </w:p>
    <w:p>
      <w:pPr>
        <w:pStyle w:val="Heading5"/>
        <w:rPr>
          <w:snapToGrid w:val="0"/>
        </w:rPr>
      </w:pPr>
      <w:bookmarkStart w:id="3" w:name="_Toc103776521"/>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Ednotesection"/>
      </w:pPr>
      <w:r>
        <w:t>[</w:t>
      </w:r>
      <w:r>
        <w:rPr>
          <w:b/>
        </w:rPr>
        <w:t>2.</w:t>
      </w:r>
      <w:r>
        <w:tab/>
        <w:t>Deleted: SL 2021/86 r. 46.]</w:t>
      </w:r>
    </w:p>
    <w:p>
      <w:pPr>
        <w:pStyle w:val="Ednotesection"/>
      </w:pPr>
      <w:r>
        <w:t>[</w:t>
      </w:r>
      <w:r>
        <w:rPr>
          <w:b/>
        </w:rPr>
        <w:t>3</w:t>
      </w:r>
      <w:r>
        <w:rPr>
          <w:b/>
        </w:rPr>
        <w:noBreakHyphen/>
        <w:t>5.</w:t>
      </w:r>
      <w:r>
        <w:tab/>
        <w:t>Deleted: Gazette 27 Jun 2017 p. 3413.]</w:t>
      </w:r>
    </w:p>
    <w:p>
      <w:pPr>
        <w:pStyle w:val="Heading5"/>
        <w:rPr>
          <w:snapToGrid w:val="0"/>
        </w:rPr>
      </w:pPr>
      <w:bookmarkStart w:id="4" w:name="_Toc103776522"/>
      <w:r>
        <w:rPr>
          <w:rStyle w:val="CharSectno"/>
        </w:rPr>
        <w:t>6</w:t>
      </w:r>
      <w:r>
        <w:rPr>
          <w:snapToGrid w:val="0"/>
        </w:rPr>
        <w:t>.</w:t>
      </w:r>
      <w:r>
        <w:rPr>
          <w:snapToGrid w:val="0"/>
        </w:rPr>
        <w:tab/>
        <w:t>False information in applications etc., offence</w:t>
      </w:r>
      <w:bookmarkEnd w:id="4"/>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Gazette 13 Aug 2002 p. 4156.]</w:t>
      </w:r>
    </w:p>
    <w:p>
      <w:pPr>
        <w:pStyle w:val="Heading5"/>
        <w:rPr>
          <w:snapToGrid w:val="0"/>
        </w:rPr>
      </w:pPr>
      <w:bookmarkStart w:id="5" w:name="_Toc103776523"/>
      <w:r>
        <w:rPr>
          <w:rStyle w:val="CharSectno"/>
        </w:rPr>
        <w:t>6A</w:t>
      </w:r>
      <w:r>
        <w:rPr>
          <w:snapToGrid w:val="0"/>
        </w:rPr>
        <w:t xml:space="preserve">. </w:t>
      </w:r>
      <w:r>
        <w:rPr>
          <w:snapToGrid w:val="0"/>
        </w:rPr>
        <w:tab/>
        <w:t>Period prescribed (Act s. 19(1))</w:t>
      </w:r>
      <w:bookmarkEnd w:id="5"/>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Gazette 29 Dec 1995 p. 6343.] </w:t>
      </w:r>
    </w:p>
    <w:p>
      <w:pPr>
        <w:pStyle w:val="Heading5"/>
        <w:rPr>
          <w:snapToGrid w:val="0"/>
        </w:rPr>
      </w:pPr>
      <w:bookmarkStart w:id="6" w:name="_Toc103776524"/>
      <w:r>
        <w:rPr>
          <w:rStyle w:val="CharSectno"/>
        </w:rPr>
        <w:t>6B</w:t>
      </w:r>
      <w:r>
        <w:rPr>
          <w:snapToGrid w:val="0"/>
        </w:rPr>
        <w:t>.</w:t>
      </w:r>
      <w:r>
        <w:rPr>
          <w:snapToGrid w:val="0"/>
        </w:rPr>
        <w:tab/>
        <w:t>Penalty for late application prescribed (Act s. 19(3))</w:t>
      </w:r>
      <w:bookmarkEnd w:id="6"/>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Gazette 29 Dec 1995 p. 6343.] </w:t>
      </w:r>
    </w:p>
    <w:p>
      <w:pPr>
        <w:pStyle w:val="Heading5"/>
        <w:rPr>
          <w:snapToGrid w:val="0"/>
        </w:rPr>
      </w:pPr>
      <w:bookmarkStart w:id="7" w:name="_Toc103776525"/>
      <w:r>
        <w:rPr>
          <w:rStyle w:val="CharSectno"/>
        </w:rPr>
        <w:lastRenderedPageBreak/>
        <w:t>7</w:t>
      </w:r>
      <w:r>
        <w:rPr>
          <w:snapToGrid w:val="0"/>
        </w:rPr>
        <w:t>.</w:t>
      </w:r>
      <w:r>
        <w:rPr>
          <w:snapToGrid w:val="0"/>
        </w:rPr>
        <w:tab/>
        <w:t>Fees</w:t>
      </w:r>
      <w:bookmarkEnd w:id="7"/>
    </w:p>
    <w:p>
      <w:pPr>
        <w:pStyle w:val="Subsection"/>
        <w:rPr>
          <w:snapToGrid w:val="0"/>
        </w:rPr>
      </w:pPr>
      <w:r>
        <w:rPr>
          <w:snapToGrid w:val="0"/>
        </w:rPr>
        <w:tab/>
      </w:r>
      <w:r>
        <w:rPr>
          <w:snapToGrid w:val="0"/>
        </w:rPr>
        <w:tab/>
        <w:t xml:space="preserve">The </w:t>
      </w:r>
      <w:r>
        <w:t>fees</w:t>
      </w:r>
      <w:r>
        <w:rPr>
          <w:snapToGrid w:val="0"/>
        </w:rPr>
        <w:t xml:space="preserve"> set out in Schedule 3 are the fees to be paid in respect of the matters to which they are applicable.</w:t>
      </w:r>
    </w:p>
    <w:p>
      <w:pPr>
        <w:pStyle w:val="Footnotesection"/>
      </w:pPr>
      <w:r>
        <w:tab/>
        <w:t xml:space="preserve">[Regulation 7 inserted: SL 2021/86 r. 47.] </w:t>
      </w:r>
    </w:p>
    <w:p>
      <w:pPr>
        <w:pStyle w:val="Ednotesection"/>
      </w:pPr>
      <w:r>
        <w:t>[</w:t>
      </w:r>
      <w:r>
        <w:rPr>
          <w:b/>
        </w:rPr>
        <w:t>7AA.</w:t>
      </w:r>
      <w:r>
        <w:tab/>
        <w:t>Deleted: SL 2021/86 r. 47.]</w:t>
      </w:r>
    </w:p>
    <w:p>
      <w:pPr>
        <w:pStyle w:val="Heading5"/>
      </w:pPr>
      <w:bookmarkStart w:id="8" w:name="_Toc103776526"/>
      <w:r>
        <w:rPr>
          <w:rStyle w:val="CharSectno"/>
        </w:rPr>
        <w:t>7A</w:t>
      </w:r>
      <w:r>
        <w:t>.</w:t>
      </w:r>
      <w:r>
        <w:tab/>
        <w:t>Prescribed particulars for register of authorisations</w:t>
      </w:r>
      <w:bookmarkEnd w:id="8"/>
    </w:p>
    <w:p>
      <w:pPr>
        <w:pStyle w:val="Subsection"/>
      </w:pPr>
      <w:r>
        <w:tab/>
        <w:t>(1)</w:t>
      </w:r>
      <w:r>
        <w:tab/>
        <w:t>The particulars set out in subregulations (2) to (4) are prescribed for the purposes of the register of authorisations to be kept under section 24(1) of the Act.</w:t>
      </w:r>
    </w:p>
    <w:p>
      <w:pPr>
        <w:pStyle w:val="Subsection"/>
      </w:pPr>
      <w:r>
        <w:tab/>
        <w:t>(2)</w:t>
      </w:r>
      <w:r>
        <w:tab/>
        <w:t xml:space="preserve">For each holder of a vehicle dealer’s licence, the particulars are — </w:t>
      </w:r>
    </w:p>
    <w:p>
      <w:pPr>
        <w:pStyle w:val="Indenta"/>
      </w:pPr>
      <w:r>
        <w:tab/>
        <w:t>(a)</w:t>
      </w:r>
      <w:r>
        <w:tab/>
        <w:t>the name of the licensee;</w:t>
      </w:r>
    </w:p>
    <w:p>
      <w:pPr>
        <w:pStyle w:val="Indenta"/>
      </w:pPr>
      <w:r>
        <w:tab/>
        <w:t>(b)</w:t>
      </w:r>
      <w:r>
        <w:tab/>
        <w:t>the registered office of the licensee;</w:t>
      </w:r>
    </w:p>
    <w:p>
      <w:pPr>
        <w:pStyle w:val="Indenta"/>
      </w:pPr>
      <w:r>
        <w:tab/>
        <w:t>(c)</w:t>
      </w:r>
      <w:r>
        <w:tab/>
        <w:t>the licence number of the licensee;</w:t>
      </w:r>
    </w:p>
    <w:p>
      <w:pPr>
        <w:pStyle w:val="Indenta"/>
      </w:pPr>
      <w:r>
        <w:tab/>
        <w:t>(d)</w:t>
      </w:r>
      <w:r>
        <w:tab/>
        <w:t>whether the licensee is a natural person, a firm or a body corporate;</w:t>
      </w:r>
    </w:p>
    <w:p>
      <w:pPr>
        <w:pStyle w:val="Indenta"/>
      </w:pPr>
      <w:r>
        <w:tab/>
        <w:t>(e)</w:t>
      </w:r>
      <w:r>
        <w:tab/>
        <w:t>the date the application for the licence was lodged;</w:t>
      </w:r>
    </w:p>
    <w:p>
      <w:pPr>
        <w:pStyle w:val="Indenta"/>
      </w:pPr>
      <w:r>
        <w:tab/>
        <w:t>(f)</w:t>
      </w:r>
      <w:r>
        <w:tab/>
        <w:t>the date any application for the renewal of the licence was lodged;</w:t>
      </w:r>
    </w:p>
    <w:p>
      <w:pPr>
        <w:pStyle w:val="Indenta"/>
      </w:pPr>
      <w:r>
        <w:tab/>
        <w:t>(g)</w:t>
      </w:r>
      <w:r>
        <w:tab/>
        <w:t>the date on which the licence was granted;</w:t>
      </w:r>
    </w:p>
    <w:p>
      <w:pPr>
        <w:pStyle w:val="Indenta"/>
      </w:pPr>
      <w:r>
        <w:tab/>
        <w:t>(h)</w:t>
      </w:r>
      <w:r>
        <w:tab/>
        <w:t>if applicable — the date on which the licence was renewed;</w:t>
      </w:r>
    </w:p>
    <w:p>
      <w:pPr>
        <w:pStyle w:val="Indenta"/>
      </w:pPr>
      <w:r>
        <w:tab/>
        <w:t>(i)</w:t>
      </w:r>
      <w:r>
        <w:tab/>
        <w:t>the business names listed in the application for the licence or the application for the renewal of the licence;</w:t>
      </w:r>
    </w:p>
    <w:p>
      <w:pPr>
        <w:pStyle w:val="Indenta"/>
      </w:pPr>
      <w:r>
        <w:tab/>
        <w:t>(j)</w:t>
      </w:r>
      <w:r>
        <w:tab/>
        <w:t>if the licensee is a body corporate — the names of the directors and secretary of the licensee;</w:t>
      </w:r>
    </w:p>
    <w:p>
      <w:pPr>
        <w:pStyle w:val="Indenta"/>
      </w:pPr>
      <w:r>
        <w:tab/>
        <w:t>(k)</w:t>
      </w:r>
      <w:r>
        <w:tab/>
        <w:t>the names of the managers of the licensee;</w:t>
      </w:r>
    </w:p>
    <w:p>
      <w:pPr>
        <w:pStyle w:val="Indenta"/>
      </w:pPr>
      <w:r>
        <w:tab/>
        <w:t>(l)</w:t>
      </w:r>
      <w:r>
        <w:tab/>
        <w:t>the authorised premises of the licensee;</w:t>
      </w:r>
    </w:p>
    <w:p>
      <w:pPr>
        <w:pStyle w:val="Indenta"/>
      </w:pPr>
      <w:r>
        <w:tab/>
        <w:t>(m)</w:t>
      </w:r>
      <w:r>
        <w:tab/>
        <w:t>the names of the yard manager for the authorised premises.</w:t>
      </w:r>
    </w:p>
    <w:p>
      <w:pPr>
        <w:pStyle w:val="Subsection"/>
      </w:pPr>
      <w:r>
        <w:lastRenderedPageBreak/>
        <w:tab/>
        <w:t>(3)</w:t>
      </w:r>
      <w:r>
        <w:tab/>
        <w:t xml:space="preserve">For each holder of a yard manager’s licence, the particulars are — </w:t>
      </w:r>
    </w:p>
    <w:p>
      <w:pPr>
        <w:pStyle w:val="Indenta"/>
      </w:pPr>
      <w:r>
        <w:tab/>
        <w:t>(a)</w:t>
      </w:r>
      <w:r>
        <w:tab/>
        <w:t>the name of the licensee;</w:t>
      </w:r>
    </w:p>
    <w:p>
      <w:pPr>
        <w:pStyle w:val="Indenta"/>
      </w:pPr>
      <w:r>
        <w:tab/>
        <w:t>(b)</w:t>
      </w:r>
      <w:r>
        <w:tab/>
        <w:t>the licence number of the licensee;</w:t>
      </w:r>
    </w:p>
    <w:p>
      <w:pPr>
        <w:pStyle w:val="Indenta"/>
      </w:pPr>
      <w:r>
        <w:tab/>
        <w:t>(c)</w:t>
      </w:r>
      <w:r>
        <w:tab/>
        <w:t>the residential address of the licensee;</w:t>
      </w:r>
    </w:p>
    <w:p>
      <w:pPr>
        <w:pStyle w:val="Indenta"/>
      </w:pPr>
      <w:r>
        <w:tab/>
        <w:t>(d)</w:t>
      </w:r>
      <w:r>
        <w:tab/>
        <w:t>the date the application for the licence was lodged;</w:t>
      </w:r>
    </w:p>
    <w:p>
      <w:pPr>
        <w:pStyle w:val="Indenta"/>
      </w:pPr>
      <w:r>
        <w:tab/>
        <w:t>(e)</w:t>
      </w:r>
      <w:r>
        <w:tab/>
        <w:t>the date any application for the renewal of the licence was lodged;</w:t>
      </w:r>
    </w:p>
    <w:p>
      <w:pPr>
        <w:pStyle w:val="Indenta"/>
      </w:pPr>
      <w:r>
        <w:tab/>
        <w:t>(f)</w:t>
      </w:r>
      <w:r>
        <w:tab/>
        <w:t>the date on which the licence was granted;</w:t>
      </w:r>
    </w:p>
    <w:p>
      <w:pPr>
        <w:pStyle w:val="Indenta"/>
      </w:pPr>
      <w:r>
        <w:tab/>
        <w:t>(g)</w:t>
      </w:r>
      <w:r>
        <w:tab/>
        <w:t>if applicable — the date on which the licence was renewed;</w:t>
      </w:r>
    </w:p>
    <w:p>
      <w:pPr>
        <w:pStyle w:val="Indenta"/>
      </w:pPr>
      <w:r>
        <w:tab/>
        <w:t>(h)</w:t>
      </w:r>
      <w:r>
        <w:tab/>
        <w:t>the name and address of the vehicle dealer that employs the licensee;</w:t>
      </w:r>
    </w:p>
    <w:p>
      <w:pPr>
        <w:pStyle w:val="Indenta"/>
      </w:pPr>
      <w:r>
        <w:tab/>
        <w:t>(i)</w:t>
      </w:r>
      <w:r>
        <w:tab/>
        <w:t>the authorised premises at which the licensee is situated.</w:t>
      </w:r>
    </w:p>
    <w:p>
      <w:pPr>
        <w:pStyle w:val="Subsection"/>
      </w:pPr>
      <w:r>
        <w:tab/>
        <w:t>(4)</w:t>
      </w:r>
      <w:r>
        <w:tab/>
        <w:t xml:space="preserve">For each holder of a salespersons licence, the particulars are — </w:t>
      </w:r>
    </w:p>
    <w:p>
      <w:pPr>
        <w:pStyle w:val="Indenta"/>
      </w:pPr>
      <w:r>
        <w:tab/>
        <w:t>(a)</w:t>
      </w:r>
      <w:r>
        <w:tab/>
        <w:t>the name of the licensee;</w:t>
      </w:r>
    </w:p>
    <w:p>
      <w:pPr>
        <w:pStyle w:val="Indenta"/>
      </w:pPr>
      <w:r>
        <w:tab/>
        <w:t>(b)</w:t>
      </w:r>
      <w:r>
        <w:tab/>
        <w:t>the licence number of the licensee;</w:t>
      </w:r>
    </w:p>
    <w:p>
      <w:pPr>
        <w:pStyle w:val="Indenta"/>
      </w:pPr>
      <w:r>
        <w:tab/>
        <w:t>(c)</w:t>
      </w:r>
      <w:r>
        <w:tab/>
        <w:t>the residential address of the licensee;</w:t>
      </w:r>
    </w:p>
    <w:p>
      <w:pPr>
        <w:pStyle w:val="Indenta"/>
      </w:pPr>
      <w:r>
        <w:tab/>
        <w:t>(d)</w:t>
      </w:r>
      <w:r>
        <w:tab/>
        <w:t>the date the application for the licence was lodged;</w:t>
      </w:r>
    </w:p>
    <w:p>
      <w:pPr>
        <w:pStyle w:val="Indenta"/>
      </w:pPr>
      <w:r>
        <w:tab/>
        <w:t>(e)</w:t>
      </w:r>
      <w:r>
        <w:tab/>
        <w:t>the date any application for the renewal of the licence was lodged;</w:t>
      </w:r>
    </w:p>
    <w:p>
      <w:pPr>
        <w:pStyle w:val="Indenta"/>
      </w:pPr>
      <w:r>
        <w:tab/>
        <w:t>(f)</w:t>
      </w:r>
      <w:r>
        <w:tab/>
        <w:t>the date on which the licence was granted;</w:t>
      </w:r>
    </w:p>
    <w:p>
      <w:pPr>
        <w:pStyle w:val="Indenta"/>
      </w:pPr>
      <w:r>
        <w:tab/>
        <w:t>(g)</w:t>
      </w:r>
      <w:r>
        <w:tab/>
        <w:t>if applicable — the date on which the licence was renewed;</w:t>
      </w:r>
    </w:p>
    <w:p>
      <w:pPr>
        <w:pStyle w:val="Indenta"/>
      </w:pPr>
      <w:r>
        <w:tab/>
        <w:t>(h)</w:t>
      </w:r>
      <w:r>
        <w:tab/>
        <w:t>the name and address of the vehicle dealer that employs the licensee;</w:t>
      </w:r>
    </w:p>
    <w:p>
      <w:pPr>
        <w:pStyle w:val="Indenta"/>
      </w:pPr>
      <w:r>
        <w:tab/>
        <w:t>(i)</w:t>
      </w:r>
      <w:r>
        <w:tab/>
        <w:t>the authorised premises at which the licensee is situated.</w:t>
      </w:r>
    </w:p>
    <w:p>
      <w:pPr>
        <w:pStyle w:val="Footnotesection"/>
      </w:pPr>
      <w:r>
        <w:tab/>
        <w:t>[Regulation 7A inserted: Gazette 27 Jun 2017 p. 3413</w:t>
      </w:r>
      <w:r>
        <w:noBreakHyphen/>
        <w:t xml:space="preserve">14.] </w:t>
      </w:r>
    </w:p>
    <w:p>
      <w:pPr>
        <w:pStyle w:val="Heading5"/>
      </w:pPr>
      <w:bookmarkStart w:id="9" w:name="_Toc103776527"/>
      <w:r>
        <w:rPr>
          <w:rStyle w:val="CharSectno"/>
        </w:rPr>
        <w:lastRenderedPageBreak/>
        <w:t>7B</w:t>
      </w:r>
      <w:r>
        <w:t>.</w:t>
      </w:r>
      <w:r>
        <w:tab/>
        <w:t>Changes in employment of yard managers and salespersons must be notified to Commissioner</w:t>
      </w:r>
      <w:bookmarkEnd w:id="9"/>
    </w:p>
    <w:p>
      <w:pPr>
        <w:pStyle w:val="Subsection"/>
      </w:pPr>
      <w:r>
        <w:tab/>
        <w:t>(1)</w:t>
      </w:r>
      <w:r>
        <w:tab/>
        <w:t>A yard manager or salesperson must give a notice in the approved form to the Commissioner if there is a change in any of the information relating to the employment or place of employment of the yard manager or salesperson.</w:t>
      </w:r>
    </w:p>
    <w:p>
      <w:pPr>
        <w:pStyle w:val="Subsection"/>
      </w:pPr>
      <w:r>
        <w:tab/>
        <w:t>(2)</w:t>
      </w:r>
      <w:r>
        <w:tab/>
        <w:t>The notice must be given within 14 days after the change in the information relating to the yard manager or salesperson.</w:t>
      </w:r>
    </w:p>
    <w:p>
      <w:pPr>
        <w:pStyle w:val="Footnotesection"/>
      </w:pPr>
      <w:r>
        <w:tab/>
        <w:t xml:space="preserve">[Regulation 7B inserted: Gazette 27 Jun 2017 p. 3414.] </w:t>
      </w:r>
    </w:p>
    <w:p>
      <w:pPr>
        <w:pStyle w:val="Heading5"/>
      </w:pPr>
      <w:bookmarkStart w:id="10" w:name="_Toc103776528"/>
      <w:r>
        <w:rPr>
          <w:rStyle w:val="CharSectno"/>
        </w:rPr>
        <w:t>8</w:t>
      </w:r>
      <w:r>
        <w:t>.</w:t>
      </w:r>
      <w:r>
        <w:tab/>
        <w:t>Classes of business and categories of licence prescribed (Act s. 5A)</w:t>
      </w:r>
      <w:bookmarkEnd w:id="10"/>
    </w:p>
    <w:p>
      <w:pPr>
        <w:pStyle w:val="Subsection"/>
        <w:spacing w:before="120"/>
      </w:pPr>
      <w:r>
        <w:tab/>
        <w:t>(1)</w:t>
      </w:r>
      <w:r>
        <w:tab/>
        <w:t>A business described in Schedule 4 column 2 is prescribed for the purposes of section 5A.</w:t>
      </w:r>
    </w:p>
    <w:p>
      <w:pPr>
        <w:pStyle w:val="Subsection"/>
        <w:spacing w:before="120"/>
      </w:pPr>
      <w:r>
        <w:tab/>
        <w:t>(2)</w:t>
      </w:r>
      <w:r>
        <w:tab/>
        <w:t>A category of dealer’s licence listed in Schedule 4 column 1 is prescribed for the description of business opposite that category in column 2.</w:t>
      </w:r>
    </w:p>
    <w:p>
      <w:pPr>
        <w:pStyle w:val="Footnotesection"/>
      </w:pPr>
      <w:r>
        <w:tab/>
        <w:t>[Regulation 8 inserted: Gazette 13 Aug 2002 p. 4156; amended: SL 2021/164 r. 8.]</w:t>
      </w:r>
    </w:p>
    <w:p>
      <w:pPr>
        <w:pStyle w:val="Heading5"/>
        <w:spacing w:before="160"/>
      </w:pPr>
      <w:bookmarkStart w:id="11" w:name="_Toc103776529"/>
      <w:r>
        <w:rPr>
          <w:rStyle w:val="CharSectno"/>
        </w:rPr>
        <w:t>9</w:t>
      </w:r>
      <w:r>
        <w:t>.</w:t>
      </w:r>
      <w:r>
        <w:tab/>
        <w:t>Exempt sales and exempt exchanges prescribed (Act s. 5B(4))</w:t>
      </w:r>
      <w:bookmarkEnd w:id="11"/>
    </w:p>
    <w:p>
      <w:pPr>
        <w:pStyle w:val="Subsection"/>
        <w:spacing w:before="120"/>
      </w:pPr>
      <w:r>
        <w:tab/>
        <w:t>(1)</w:t>
      </w:r>
      <w:r>
        <w:tab/>
        <w:t xml:space="preserve">In this regulation — </w:t>
      </w:r>
    </w:p>
    <w:p>
      <w:pPr>
        <w:pStyle w:val="Defstart"/>
      </w:pPr>
      <w:r>
        <w:tab/>
      </w:r>
      <w:r>
        <w:rPr>
          <w:rStyle w:val="CharDefText"/>
        </w:rPr>
        <w:t>related company</w:t>
      </w:r>
      <w:r>
        <w:t xml:space="preserve">, in relation to a body corporate, means a body corporate that is a related body corporate (within the meaning of the </w:t>
      </w:r>
      <w:r>
        <w:rPr>
          <w:i/>
        </w:rPr>
        <w:t>Corporations Act 2001</w:t>
      </w:r>
      <w:r>
        <w:t xml:space="preserve"> (Commonwealth)) of that body corporate.</w:t>
      </w:r>
    </w:p>
    <w:p>
      <w:pPr>
        <w:pStyle w:val="Subsection"/>
        <w:spacing w:before="120"/>
      </w:pPr>
      <w:r>
        <w:tab/>
        <w:t>(2)</w:t>
      </w:r>
      <w:r>
        <w:tab/>
        <w:t xml:space="preserve">For the purposes of section 5B(4) the following sales and exchanges are prescribed to be exempt sales and exchanges — </w:t>
      </w:r>
    </w:p>
    <w:p>
      <w:pPr>
        <w:pStyle w:val="Indenta"/>
      </w:pPr>
      <w:r>
        <w:tab/>
        <w:t>(a)</w:t>
      </w:r>
      <w:r>
        <w:tab/>
        <w:t xml:space="preserve">sale of a vehicle to — </w:t>
      </w:r>
    </w:p>
    <w:p>
      <w:pPr>
        <w:pStyle w:val="Indenti"/>
      </w:pPr>
      <w:r>
        <w:tab/>
        <w:t>(i)</w:t>
      </w:r>
      <w:r>
        <w:tab/>
        <w:t>a licensed dealer; or</w:t>
      </w:r>
    </w:p>
    <w:p>
      <w:pPr>
        <w:pStyle w:val="Indenti"/>
      </w:pPr>
      <w:r>
        <w:tab/>
        <w:t>(ii)</w:t>
      </w:r>
      <w:r>
        <w:tab/>
        <w:t>a financier or a company related to a financier; or</w:t>
      </w:r>
    </w:p>
    <w:p>
      <w:pPr>
        <w:pStyle w:val="Indenti"/>
      </w:pPr>
      <w:r>
        <w:lastRenderedPageBreak/>
        <w:tab/>
        <w:t>(iii)</w:t>
      </w:r>
      <w:r>
        <w:tab/>
        <w:t>an employee, or (if the vendor is a company) an employee of a related company;</w:t>
      </w:r>
    </w:p>
    <w:p>
      <w:pPr>
        <w:pStyle w:val="Indenta"/>
      </w:pPr>
      <w:r>
        <w:tab/>
        <w:t>(b)</w:t>
      </w:r>
      <w:r>
        <w:tab/>
        <w:t xml:space="preserve">sale of a vehicle, at public auction or by way of public tender, by a financier where the vehicle — </w:t>
      </w:r>
    </w:p>
    <w:p>
      <w:pPr>
        <w:pStyle w:val="Indenti"/>
      </w:pPr>
      <w:r>
        <w:tab/>
        <w:t>(i)</w:t>
      </w:r>
      <w:r>
        <w:tab/>
        <w:t>has been returned to the financier by a person who is not a dealer, pursuant to a contract between the financier and that person; or</w:t>
      </w:r>
    </w:p>
    <w:p>
      <w:pPr>
        <w:pStyle w:val="Indenti"/>
      </w:pPr>
      <w:r>
        <w:tab/>
        <w:t>(ii)</w:t>
      </w:r>
      <w:r>
        <w:tab/>
        <w:t>has been repossessed by the financier from a person who is not a dealer, pursuant to a contract between the financier and that person;</w:t>
      </w:r>
    </w:p>
    <w:p>
      <w:pPr>
        <w:pStyle w:val="Indenta"/>
      </w:pPr>
      <w:r>
        <w:tab/>
        <w:t>(c)</w:t>
      </w:r>
      <w:r>
        <w:tab/>
        <w:t>sale of a vehicle by private treaty by a financier, to a person introduced to the financier by a person from whom the vehicle has been repossessed;</w:t>
      </w:r>
    </w:p>
    <w:p>
      <w:pPr>
        <w:pStyle w:val="Indenta"/>
      </w:pPr>
      <w:r>
        <w:tab/>
        <w:t>(d)</w:t>
      </w:r>
      <w:r>
        <w:tab/>
        <w:t xml:space="preserve">sale of a vehicle at a public auction, when the vehicle — </w:t>
      </w:r>
    </w:p>
    <w:p>
      <w:pPr>
        <w:pStyle w:val="Indenti"/>
      </w:pPr>
      <w:r>
        <w:tab/>
        <w:t>(i)</w:t>
      </w:r>
      <w:r>
        <w:tab/>
        <w:t>was last owned or used by an employee of a government department or a statutory authority, in his or her capacity as an employee; or</w:t>
      </w:r>
    </w:p>
    <w:p>
      <w:pPr>
        <w:pStyle w:val="Indenti"/>
      </w:pPr>
      <w:r>
        <w:tab/>
        <w:t>(ii)</w:t>
      </w:r>
      <w:r>
        <w:tab/>
        <w:t xml:space="preserve">was last owned by a company, that was not a dealer, that has been wound up and when the sale — </w:t>
      </w:r>
    </w:p>
    <w:p>
      <w:pPr>
        <w:pStyle w:val="IndentI0"/>
      </w:pPr>
      <w:r>
        <w:tab/>
        <w:t>(I)</w:t>
      </w:r>
      <w:r>
        <w:tab/>
        <w:t xml:space="preserve">is by a liquidator under a power conferred by the </w:t>
      </w:r>
      <w:r>
        <w:rPr>
          <w:i/>
        </w:rPr>
        <w:t>Corporations Act 2001</w:t>
      </w:r>
      <w:r>
        <w:t xml:space="preserve"> (Commonwealth); or</w:t>
      </w:r>
    </w:p>
    <w:p>
      <w:pPr>
        <w:pStyle w:val="IndentI0"/>
      </w:pPr>
      <w:r>
        <w:tab/>
        <w:t>(II)</w:t>
      </w:r>
      <w:r>
        <w:tab/>
        <w:t>is the result of an order of the Supreme Court.</w:t>
      </w:r>
    </w:p>
    <w:p>
      <w:pPr>
        <w:pStyle w:val="Subsection"/>
      </w:pPr>
      <w:r>
        <w:tab/>
        <w:t>(3)</w:t>
      </w:r>
      <w:r>
        <w:tab/>
        <w:t xml:space="preserve">For the purposes of section 5B(4) the sale or exchange of a vehicle that has been licensed as of Class B under the </w:t>
      </w:r>
      <w:r>
        <w:rPr>
          <w:i/>
        </w:rPr>
        <w:t>Road Traffic (Vehicles) Regulations 2014</w:t>
      </w:r>
      <w:r>
        <w:t xml:space="preserve"> regulation 35(1) or (2) —</w:t>
      </w:r>
    </w:p>
    <w:p>
      <w:pPr>
        <w:pStyle w:val="Indenta"/>
      </w:pPr>
      <w:r>
        <w:tab/>
        <w:t>(a)</w:t>
      </w:r>
      <w:r>
        <w:tab/>
        <w:t>subject to conditions of use based on car club membership; or</w:t>
      </w:r>
    </w:p>
    <w:p>
      <w:pPr>
        <w:pStyle w:val="Indenta"/>
      </w:pPr>
      <w:r>
        <w:tab/>
        <w:t>(b)</w:t>
      </w:r>
      <w:r>
        <w:tab/>
        <w:t>despite certain non</w:t>
      </w:r>
      <w:r>
        <w:noBreakHyphen/>
        <w:t>compliant features, due to the vehicle being a unique or historic vehicle; or</w:t>
      </w:r>
    </w:p>
    <w:p>
      <w:pPr>
        <w:pStyle w:val="Indenta"/>
        <w:keepNext/>
      </w:pPr>
      <w:r>
        <w:lastRenderedPageBreak/>
        <w:tab/>
        <w:t>(c)</w:t>
      </w:r>
      <w:r>
        <w:tab/>
        <w:t>for a concessional charge, due to limited use conditions and club membership requirements imposed on the use of the vehicle,</w:t>
      </w:r>
    </w:p>
    <w:p>
      <w:pPr>
        <w:pStyle w:val="Subsection"/>
      </w:pPr>
      <w:r>
        <w:tab/>
      </w:r>
      <w:r>
        <w:tab/>
        <w:t>is prescribed to be an exempt sale or exchange.</w:t>
      </w:r>
    </w:p>
    <w:p>
      <w:pPr>
        <w:pStyle w:val="Footnotesection"/>
      </w:pPr>
      <w:r>
        <w:tab/>
        <w:t>[Regulation 9 inserted: Gazette 10 Jan 2012 p. 409</w:t>
      </w:r>
      <w:r>
        <w:noBreakHyphen/>
        <w:t>11; amended: Gazette 8 Jan 2015 p. 86.]</w:t>
      </w:r>
    </w:p>
    <w:p>
      <w:pPr>
        <w:pStyle w:val="Heading5"/>
      </w:pPr>
      <w:bookmarkStart w:id="12" w:name="_Toc103776530"/>
      <w:r>
        <w:rPr>
          <w:rStyle w:val="CharSectno"/>
        </w:rPr>
        <w:t>10</w:t>
      </w:r>
      <w:r>
        <w:t>.</w:t>
      </w:r>
      <w:r>
        <w:tab/>
        <w:t>Transitional</w:t>
      </w:r>
      <w:bookmarkEnd w:id="12"/>
    </w:p>
    <w:p>
      <w:pPr>
        <w:pStyle w:val="Subsection"/>
      </w:pPr>
      <w:r>
        <w:tab/>
        <w:t>(1)</w:t>
      </w:r>
      <w:r>
        <w:tab/>
        <w:t xml:space="preserve">A dealer’s licence that is in force immediately before the commencement of the </w:t>
      </w:r>
      <w:r>
        <w:rPr>
          <w:i/>
        </w:rPr>
        <w:t>Commerce Regulations Amendment (Motor Vehicle Dealers and Repairers) Regulations 2021</w:t>
      </w:r>
      <w:r>
        <w:t xml:space="preserve"> regulation 10 continues to have effect, on and after that commencement, as if those regulations had not come into operation.</w:t>
      </w:r>
    </w:p>
    <w:p>
      <w:pPr>
        <w:pStyle w:val="Subsection"/>
      </w:pPr>
      <w:r>
        <w:tab/>
        <w:t>(2)</w:t>
      </w:r>
      <w:r>
        <w:tab/>
        <w:t xml:space="preserve">Subregulation (1) ceases to operate in relation to a dealer’s licence on the day on which — </w:t>
      </w:r>
    </w:p>
    <w:p>
      <w:pPr>
        <w:pStyle w:val="Indenta"/>
      </w:pPr>
      <w:r>
        <w:tab/>
        <w:t>(a)</w:t>
      </w:r>
      <w:r>
        <w:tab/>
        <w:t>the licence expires; or</w:t>
      </w:r>
    </w:p>
    <w:p>
      <w:pPr>
        <w:pStyle w:val="Indenta"/>
      </w:pPr>
      <w:r>
        <w:tab/>
        <w:t>(b)</w:t>
      </w:r>
      <w:r>
        <w:tab/>
        <w:t>if the licence is to be renewed — the licence would have expired.</w:t>
      </w:r>
    </w:p>
    <w:p>
      <w:pPr>
        <w:pStyle w:val="Footnotesection"/>
      </w:pPr>
      <w:r>
        <w:tab/>
        <w:t>[Regulation 10 inserted: SL 2021/164 r. 9.]</w:t>
      </w:r>
    </w:p>
    <w:p>
      <w:pPr>
        <w:pStyle w:val="yEdnoteschedule"/>
      </w:pPr>
      <w:r>
        <w:t>[First and Second Schedule deleted: Gazette 27 Jun 2017 p. 3414.]</w:t>
      </w:r>
    </w:p>
    <w:p>
      <w:pPr>
        <w:pStyle w:val="yEdnoteschedule"/>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3" w:name="_Toc103756846"/>
      <w:bookmarkStart w:id="14" w:name="_Toc103756970"/>
      <w:bookmarkStart w:id="15" w:name="_Toc103776515"/>
      <w:bookmarkStart w:id="16" w:name="_Toc103776531"/>
      <w:r>
        <w:rPr>
          <w:rStyle w:val="CharSchNo"/>
        </w:rPr>
        <w:lastRenderedPageBreak/>
        <w:t>Schedule 3</w:t>
      </w:r>
      <w:r>
        <w:t> — </w:t>
      </w:r>
      <w:r>
        <w:rPr>
          <w:rStyle w:val="CharSchText"/>
        </w:rPr>
        <w:t>Fees</w:t>
      </w:r>
      <w:bookmarkEnd w:id="13"/>
      <w:bookmarkEnd w:id="14"/>
      <w:bookmarkEnd w:id="15"/>
      <w:bookmarkEnd w:id="16"/>
    </w:p>
    <w:p>
      <w:pPr>
        <w:pStyle w:val="yShoulderClause"/>
      </w:pPr>
      <w:r>
        <w:t>[r. 7]</w:t>
      </w:r>
    </w:p>
    <w:p>
      <w:pPr>
        <w:pStyle w:val="yFootnoteheading"/>
        <w:spacing w:after="120"/>
      </w:pPr>
      <w:r>
        <w:tab/>
        <w:t>[Heading inserted: SL 2021/86 r. 48.]</w:t>
      </w: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4253"/>
        <w:gridCol w:w="1701"/>
      </w:tblGrid>
      <w:tr>
        <w:trPr>
          <w:cantSplit/>
          <w:tblHeader/>
          <w:jc w:val="center"/>
        </w:trPr>
        <w:tc>
          <w:tcPr>
            <w:tcW w:w="709" w:type="dxa"/>
            <w:tcBorders>
              <w:left w:val="nil"/>
              <w:bottom w:val="single" w:sz="4" w:space="0" w:color="auto"/>
              <w:right w:val="nil"/>
            </w:tcBorders>
            <w:noWrap/>
          </w:tcPr>
          <w:p>
            <w:pPr>
              <w:pStyle w:val="yTableNAm"/>
              <w:jc w:val="center"/>
              <w:rPr>
                <w:b/>
              </w:rPr>
            </w:pPr>
            <w:r>
              <w:rPr>
                <w:b/>
              </w:rPr>
              <w:t>Item</w:t>
            </w:r>
          </w:p>
        </w:tc>
        <w:tc>
          <w:tcPr>
            <w:tcW w:w="4253" w:type="dxa"/>
            <w:tcBorders>
              <w:left w:val="nil"/>
              <w:bottom w:val="single" w:sz="4" w:space="0" w:color="auto"/>
              <w:right w:val="nil"/>
            </w:tcBorders>
            <w:noWrap/>
          </w:tcPr>
          <w:p>
            <w:pPr>
              <w:pStyle w:val="yTableNAm"/>
              <w:jc w:val="center"/>
              <w:rPr>
                <w:b/>
              </w:rPr>
            </w:pPr>
            <w:r>
              <w:rPr>
                <w:b/>
              </w:rPr>
              <w:t>Column 1</w:t>
            </w:r>
          </w:p>
          <w:p>
            <w:pPr>
              <w:pStyle w:val="yTableNAm"/>
              <w:jc w:val="center"/>
              <w:rPr>
                <w:b/>
              </w:rPr>
            </w:pPr>
            <w:r>
              <w:rPr>
                <w:b/>
              </w:rPr>
              <w:t>Matter</w:t>
            </w:r>
          </w:p>
        </w:tc>
        <w:tc>
          <w:tcPr>
            <w:tcW w:w="1701" w:type="dxa"/>
            <w:tcBorders>
              <w:left w:val="nil"/>
              <w:bottom w:val="single" w:sz="4" w:space="0" w:color="auto"/>
              <w:right w:val="nil"/>
            </w:tcBorders>
            <w:noWrap/>
          </w:tcPr>
          <w:p>
            <w:pPr>
              <w:pStyle w:val="yTableNAm"/>
              <w:jc w:val="center"/>
              <w:rPr>
                <w:b/>
              </w:rPr>
            </w:pPr>
            <w:r>
              <w:rPr>
                <w:b/>
              </w:rPr>
              <w:t>Column 2</w:t>
            </w:r>
          </w:p>
          <w:p>
            <w:pPr>
              <w:pStyle w:val="yTableNAm"/>
              <w:jc w:val="center"/>
              <w:rPr>
                <w:b/>
              </w:rPr>
            </w:pPr>
            <w:r>
              <w:rPr>
                <w:b/>
              </w:rPr>
              <w:t>Fee ($)</w:t>
            </w:r>
          </w:p>
        </w:tc>
      </w:tr>
      <w:tr>
        <w:trPr>
          <w:cantSplit/>
          <w:trHeight w:val="897"/>
          <w:jc w:val="center"/>
        </w:trPr>
        <w:tc>
          <w:tcPr>
            <w:tcW w:w="709" w:type="dxa"/>
            <w:tcBorders>
              <w:left w:val="nil"/>
              <w:bottom w:val="nil"/>
              <w:right w:val="nil"/>
            </w:tcBorders>
            <w:noWrap/>
          </w:tcPr>
          <w:p>
            <w:pPr>
              <w:pStyle w:val="yTableNAm"/>
            </w:pPr>
            <w:r>
              <w:t>1.</w:t>
            </w:r>
          </w:p>
        </w:tc>
        <w:tc>
          <w:tcPr>
            <w:tcW w:w="4253" w:type="dxa"/>
            <w:tcBorders>
              <w:left w:val="nil"/>
              <w:bottom w:val="nil"/>
              <w:right w:val="nil"/>
            </w:tcBorders>
            <w:noWrap/>
          </w:tcPr>
          <w:p>
            <w:pPr>
              <w:pStyle w:val="yTableNAm"/>
            </w:pPr>
            <w:r>
              <w:t xml:space="preserve">Application for a dealer’s licence or renewal of a dealer’s licence for the period prescribed by regulation 6A — </w:t>
            </w:r>
          </w:p>
        </w:tc>
        <w:tc>
          <w:tcPr>
            <w:tcW w:w="1701" w:type="dxa"/>
            <w:tcBorders>
              <w:left w:val="nil"/>
              <w:bottom w:val="nil"/>
              <w:right w:val="nil"/>
            </w:tcBorders>
            <w:noWrap/>
            <w:vAlign w:val="bottom"/>
          </w:tcPr>
          <w:p>
            <w:pPr>
              <w:pStyle w:val="yTableNAm"/>
              <w:jc w:val="right"/>
            </w:pPr>
            <w:r>
              <w:br/>
            </w:r>
            <w:r>
              <w:br/>
              <w:t>1 010.00 plus 955.00 for each premises to be authorised under section 20E(3) of the Act in relation to the licence</w:t>
            </w:r>
          </w:p>
        </w:tc>
      </w:tr>
      <w:tr>
        <w:trPr>
          <w:cantSplit/>
          <w:jc w:val="center"/>
        </w:trPr>
        <w:tc>
          <w:tcPr>
            <w:tcW w:w="709" w:type="dxa"/>
            <w:tcBorders>
              <w:top w:val="nil"/>
              <w:left w:val="nil"/>
              <w:bottom w:val="nil"/>
              <w:right w:val="nil"/>
            </w:tcBorders>
            <w:noWrap/>
          </w:tcPr>
          <w:p>
            <w:pPr>
              <w:pStyle w:val="yTableNAm"/>
            </w:pPr>
            <w:r>
              <w:t>2.</w:t>
            </w:r>
          </w:p>
        </w:tc>
        <w:tc>
          <w:tcPr>
            <w:tcW w:w="4253" w:type="dxa"/>
            <w:tcBorders>
              <w:top w:val="nil"/>
              <w:left w:val="nil"/>
              <w:bottom w:val="nil"/>
              <w:right w:val="nil"/>
            </w:tcBorders>
            <w:noWrap/>
          </w:tcPr>
          <w:p>
            <w:pPr>
              <w:pStyle w:val="yTableNAm"/>
            </w:pPr>
            <w:r>
              <w:t>Application under section 20F of the Act to alter particulars of premises</w:t>
            </w:r>
          </w:p>
        </w:tc>
        <w:tc>
          <w:tcPr>
            <w:tcW w:w="1701" w:type="dxa"/>
            <w:tcBorders>
              <w:top w:val="nil"/>
              <w:left w:val="nil"/>
              <w:bottom w:val="nil"/>
              <w:right w:val="nil"/>
            </w:tcBorders>
            <w:noWrap/>
            <w:vAlign w:val="bottom"/>
          </w:tcPr>
          <w:p>
            <w:pPr>
              <w:pStyle w:val="yTableNAm"/>
              <w:jc w:val="right"/>
            </w:pPr>
            <w:r>
              <w:t>165.00</w:t>
            </w:r>
          </w:p>
        </w:tc>
      </w:tr>
      <w:tr>
        <w:trPr>
          <w:cantSplit/>
          <w:jc w:val="center"/>
        </w:trPr>
        <w:tc>
          <w:tcPr>
            <w:tcW w:w="709" w:type="dxa"/>
            <w:tcBorders>
              <w:top w:val="nil"/>
              <w:left w:val="nil"/>
              <w:bottom w:val="nil"/>
              <w:right w:val="nil"/>
            </w:tcBorders>
            <w:noWrap/>
          </w:tcPr>
          <w:p>
            <w:pPr>
              <w:pStyle w:val="yTableNAm"/>
            </w:pPr>
            <w:r>
              <w:t>3.</w:t>
            </w:r>
          </w:p>
        </w:tc>
        <w:tc>
          <w:tcPr>
            <w:tcW w:w="4253" w:type="dxa"/>
            <w:tcBorders>
              <w:top w:val="nil"/>
              <w:left w:val="nil"/>
              <w:bottom w:val="nil"/>
              <w:right w:val="nil"/>
            </w:tcBorders>
            <w:noWrap/>
          </w:tcPr>
          <w:p>
            <w:pPr>
              <w:pStyle w:val="yTableNAm"/>
            </w:pPr>
            <w:r>
              <w:t>Application under section 20F of the Act to add to particulars of premises</w:t>
            </w:r>
          </w:p>
        </w:tc>
        <w:tc>
          <w:tcPr>
            <w:tcW w:w="1701" w:type="dxa"/>
            <w:tcBorders>
              <w:top w:val="nil"/>
              <w:left w:val="nil"/>
              <w:bottom w:val="nil"/>
              <w:right w:val="nil"/>
            </w:tcBorders>
            <w:noWrap/>
            <w:vAlign w:val="bottom"/>
          </w:tcPr>
          <w:p>
            <w:pPr>
              <w:pStyle w:val="yTableNAm"/>
              <w:jc w:val="right"/>
            </w:pPr>
            <w:r>
              <w:br/>
            </w:r>
            <w:r>
              <w:rPr>
                <w:szCs w:val="22"/>
              </w:rPr>
              <w:t>157.00</w:t>
            </w:r>
            <w:r>
              <w:t xml:space="preserve"> for</w:t>
            </w:r>
            <w:r>
              <w:br/>
              <w:t>each addition</w:t>
            </w:r>
          </w:p>
        </w:tc>
      </w:tr>
      <w:tr>
        <w:trPr>
          <w:cantSplit/>
          <w:jc w:val="center"/>
        </w:trPr>
        <w:tc>
          <w:tcPr>
            <w:tcW w:w="709" w:type="dxa"/>
            <w:tcBorders>
              <w:top w:val="nil"/>
              <w:left w:val="nil"/>
              <w:bottom w:val="nil"/>
              <w:right w:val="nil"/>
            </w:tcBorders>
            <w:noWrap/>
          </w:tcPr>
          <w:p>
            <w:pPr>
              <w:pStyle w:val="yTableNAm"/>
            </w:pPr>
            <w:r>
              <w:t>4.</w:t>
            </w:r>
          </w:p>
        </w:tc>
        <w:tc>
          <w:tcPr>
            <w:tcW w:w="4253" w:type="dxa"/>
            <w:tcBorders>
              <w:top w:val="nil"/>
              <w:left w:val="nil"/>
              <w:bottom w:val="nil"/>
              <w:right w:val="nil"/>
            </w:tcBorders>
            <w:noWrap/>
          </w:tcPr>
          <w:p>
            <w:pPr>
              <w:pStyle w:val="yTableNAm"/>
            </w:pPr>
            <w:r>
              <w:t>Application for a temporary permit under section 20H of the Act</w:t>
            </w:r>
          </w:p>
        </w:tc>
        <w:tc>
          <w:tcPr>
            <w:tcW w:w="1701" w:type="dxa"/>
            <w:tcBorders>
              <w:top w:val="nil"/>
              <w:left w:val="nil"/>
              <w:bottom w:val="nil"/>
              <w:right w:val="nil"/>
            </w:tcBorders>
            <w:noWrap/>
            <w:vAlign w:val="bottom"/>
          </w:tcPr>
          <w:p>
            <w:pPr>
              <w:pStyle w:val="yTableNAm"/>
              <w:jc w:val="right"/>
            </w:pPr>
            <w:r>
              <w:t>211.00</w:t>
            </w:r>
          </w:p>
        </w:tc>
      </w:tr>
      <w:tr>
        <w:trPr>
          <w:cantSplit/>
          <w:jc w:val="center"/>
        </w:trPr>
        <w:tc>
          <w:tcPr>
            <w:tcW w:w="709" w:type="dxa"/>
            <w:tcBorders>
              <w:top w:val="nil"/>
              <w:left w:val="nil"/>
              <w:bottom w:val="nil"/>
              <w:right w:val="nil"/>
            </w:tcBorders>
            <w:noWrap/>
          </w:tcPr>
          <w:p>
            <w:pPr>
              <w:pStyle w:val="yTableNAm"/>
            </w:pPr>
            <w:r>
              <w:t>5.</w:t>
            </w:r>
          </w:p>
        </w:tc>
        <w:tc>
          <w:tcPr>
            <w:tcW w:w="4253" w:type="dxa"/>
            <w:tcBorders>
              <w:top w:val="nil"/>
              <w:left w:val="nil"/>
              <w:bottom w:val="nil"/>
              <w:right w:val="nil"/>
            </w:tcBorders>
            <w:noWrap/>
          </w:tcPr>
          <w:p>
            <w:pPr>
              <w:pStyle w:val="yTableNAm"/>
            </w:pPr>
            <w:r>
              <w:t>Application for yard manager’s licence or renewal of yard manager’s licence for the period prescribed by regulation 6A</w:t>
            </w:r>
          </w:p>
        </w:tc>
        <w:tc>
          <w:tcPr>
            <w:tcW w:w="1701" w:type="dxa"/>
            <w:tcBorders>
              <w:top w:val="nil"/>
              <w:left w:val="nil"/>
              <w:bottom w:val="nil"/>
              <w:right w:val="nil"/>
            </w:tcBorders>
            <w:noWrap/>
            <w:vAlign w:val="bottom"/>
          </w:tcPr>
          <w:p>
            <w:pPr>
              <w:pStyle w:val="yTableNAm"/>
              <w:jc w:val="right"/>
            </w:pPr>
            <w:r>
              <w:t>508.00</w:t>
            </w:r>
          </w:p>
        </w:tc>
      </w:tr>
      <w:tr>
        <w:trPr>
          <w:cantSplit/>
          <w:jc w:val="center"/>
        </w:trPr>
        <w:tc>
          <w:tcPr>
            <w:tcW w:w="709" w:type="dxa"/>
            <w:tcBorders>
              <w:top w:val="nil"/>
              <w:left w:val="nil"/>
              <w:bottom w:val="nil"/>
              <w:right w:val="nil"/>
            </w:tcBorders>
            <w:noWrap/>
          </w:tcPr>
          <w:p>
            <w:pPr>
              <w:pStyle w:val="yTableNAm"/>
            </w:pPr>
            <w:r>
              <w:t>6.</w:t>
            </w:r>
          </w:p>
        </w:tc>
        <w:tc>
          <w:tcPr>
            <w:tcW w:w="4253" w:type="dxa"/>
            <w:tcBorders>
              <w:top w:val="nil"/>
              <w:left w:val="nil"/>
              <w:bottom w:val="nil"/>
              <w:right w:val="nil"/>
            </w:tcBorders>
            <w:noWrap/>
          </w:tcPr>
          <w:p>
            <w:pPr>
              <w:pStyle w:val="yTableNAm"/>
            </w:pPr>
            <w:r>
              <w:t>Application for salesperson’s licence or renewal of salesperson’s licence for the period prescribed by regulation 6A</w:t>
            </w:r>
          </w:p>
        </w:tc>
        <w:tc>
          <w:tcPr>
            <w:tcW w:w="1701" w:type="dxa"/>
            <w:tcBorders>
              <w:top w:val="nil"/>
              <w:left w:val="nil"/>
              <w:bottom w:val="nil"/>
              <w:right w:val="nil"/>
            </w:tcBorders>
            <w:noWrap/>
            <w:vAlign w:val="bottom"/>
          </w:tcPr>
          <w:p>
            <w:pPr>
              <w:pStyle w:val="yTableNAm"/>
              <w:jc w:val="right"/>
            </w:pPr>
            <w:r>
              <w:t>345.00</w:t>
            </w:r>
          </w:p>
        </w:tc>
      </w:tr>
      <w:tr>
        <w:trPr>
          <w:cantSplit/>
          <w:trHeight w:val="768"/>
          <w:jc w:val="center"/>
        </w:trPr>
        <w:tc>
          <w:tcPr>
            <w:tcW w:w="709" w:type="dxa"/>
            <w:tcBorders>
              <w:top w:val="nil"/>
              <w:left w:val="nil"/>
              <w:bottom w:val="nil"/>
              <w:right w:val="nil"/>
            </w:tcBorders>
            <w:noWrap/>
          </w:tcPr>
          <w:p>
            <w:pPr>
              <w:pStyle w:val="yTableNAm"/>
            </w:pPr>
            <w:r>
              <w:lastRenderedPageBreak/>
              <w:t>7.</w:t>
            </w:r>
          </w:p>
        </w:tc>
        <w:tc>
          <w:tcPr>
            <w:tcW w:w="4253" w:type="dxa"/>
            <w:tcBorders>
              <w:top w:val="nil"/>
              <w:left w:val="nil"/>
              <w:bottom w:val="nil"/>
              <w:right w:val="nil"/>
            </w:tcBorders>
            <w:noWrap/>
          </w:tcPr>
          <w:p>
            <w:pPr>
              <w:pStyle w:val="yTableNAm"/>
            </w:pPr>
            <w:r>
              <w:t xml:space="preserve">Application for car market operator’s registration or renewal of car market operator’s registration — </w:t>
            </w:r>
          </w:p>
        </w:tc>
        <w:tc>
          <w:tcPr>
            <w:tcW w:w="1701" w:type="dxa"/>
            <w:tcBorders>
              <w:top w:val="nil"/>
              <w:left w:val="nil"/>
              <w:bottom w:val="nil"/>
              <w:right w:val="nil"/>
            </w:tcBorders>
            <w:noWrap/>
            <w:vAlign w:val="bottom"/>
          </w:tcPr>
          <w:p>
            <w:pPr>
              <w:pStyle w:val="yTableNAm"/>
              <w:jc w:val="right"/>
            </w:pPr>
            <w:r>
              <w:br/>
            </w:r>
            <w:r>
              <w:br/>
              <w:t>1 000.00 plus 955.00 for each premises to be authorised under section 21A(3) of the Act in relation to the registration</w:t>
            </w:r>
          </w:p>
        </w:tc>
      </w:tr>
      <w:tr>
        <w:trPr>
          <w:cantSplit/>
          <w:jc w:val="center"/>
        </w:trPr>
        <w:tc>
          <w:tcPr>
            <w:tcW w:w="709" w:type="dxa"/>
            <w:tcBorders>
              <w:top w:val="nil"/>
              <w:left w:val="nil"/>
              <w:bottom w:val="nil"/>
              <w:right w:val="nil"/>
            </w:tcBorders>
            <w:noWrap/>
          </w:tcPr>
          <w:p>
            <w:pPr>
              <w:pStyle w:val="yTableNAm"/>
            </w:pPr>
            <w:r>
              <w:t>8.</w:t>
            </w:r>
          </w:p>
        </w:tc>
        <w:tc>
          <w:tcPr>
            <w:tcW w:w="4253" w:type="dxa"/>
            <w:tcBorders>
              <w:top w:val="nil"/>
              <w:left w:val="nil"/>
              <w:bottom w:val="nil"/>
              <w:right w:val="nil"/>
            </w:tcBorders>
            <w:noWrap/>
          </w:tcPr>
          <w:p>
            <w:pPr>
              <w:pStyle w:val="yTableNAm"/>
            </w:pPr>
            <w:r>
              <w:t>Application under section 21B of the Act to alter particulars of premises</w:t>
            </w:r>
          </w:p>
        </w:tc>
        <w:tc>
          <w:tcPr>
            <w:tcW w:w="1701" w:type="dxa"/>
            <w:tcBorders>
              <w:top w:val="nil"/>
              <w:left w:val="nil"/>
              <w:bottom w:val="nil"/>
              <w:right w:val="nil"/>
            </w:tcBorders>
            <w:noWrap/>
            <w:vAlign w:val="bottom"/>
          </w:tcPr>
          <w:p>
            <w:pPr>
              <w:pStyle w:val="yTableNAm"/>
              <w:jc w:val="right"/>
            </w:pPr>
            <w:r>
              <w:t>156.00</w:t>
            </w:r>
          </w:p>
        </w:tc>
      </w:tr>
      <w:tr>
        <w:trPr>
          <w:cantSplit/>
          <w:jc w:val="center"/>
        </w:trPr>
        <w:tc>
          <w:tcPr>
            <w:tcW w:w="709" w:type="dxa"/>
            <w:tcBorders>
              <w:top w:val="nil"/>
              <w:left w:val="nil"/>
              <w:bottom w:val="nil"/>
              <w:right w:val="nil"/>
            </w:tcBorders>
            <w:noWrap/>
          </w:tcPr>
          <w:p>
            <w:pPr>
              <w:pStyle w:val="yTableNAm"/>
            </w:pPr>
            <w:r>
              <w:t>9.</w:t>
            </w:r>
          </w:p>
        </w:tc>
        <w:tc>
          <w:tcPr>
            <w:tcW w:w="4253" w:type="dxa"/>
            <w:tcBorders>
              <w:top w:val="nil"/>
              <w:left w:val="nil"/>
              <w:bottom w:val="nil"/>
              <w:right w:val="nil"/>
            </w:tcBorders>
            <w:noWrap/>
          </w:tcPr>
          <w:p>
            <w:pPr>
              <w:pStyle w:val="yTableNAm"/>
            </w:pPr>
            <w:r>
              <w:t>Application under section 21B of the Act to add to particulars of premises</w:t>
            </w:r>
          </w:p>
        </w:tc>
        <w:tc>
          <w:tcPr>
            <w:tcW w:w="1701" w:type="dxa"/>
            <w:tcBorders>
              <w:top w:val="nil"/>
              <w:left w:val="nil"/>
              <w:bottom w:val="nil"/>
              <w:right w:val="nil"/>
            </w:tcBorders>
            <w:noWrap/>
            <w:vAlign w:val="bottom"/>
          </w:tcPr>
          <w:p>
            <w:pPr>
              <w:pStyle w:val="yTableNAm"/>
              <w:jc w:val="right"/>
            </w:pPr>
            <w:r>
              <w:br/>
            </w:r>
            <w:r>
              <w:rPr>
                <w:szCs w:val="22"/>
              </w:rPr>
              <w:t>149.00</w:t>
            </w:r>
            <w:r>
              <w:t xml:space="preserve"> for</w:t>
            </w:r>
            <w:r>
              <w:br/>
              <w:t>each addition</w:t>
            </w:r>
          </w:p>
        </w:tc>
      </w:tr>
      <w:tr>
        <w:trPr>
          <w:cantSplit/>
          <w:jc w:val="center"/>
        </w:trPr>
        <w:tc>
          <w:tcPr>
            <w:tcW w:w="709" w:type="dxa"/>
            <w:tcBorders>
              <w:top w:val="nil"/>
              <w:left w:val="nil"/>
              <w:bottom w:val="nil"/>
              <w:right w:val="nil"/>
            </w:tcBorders>
            <w:noWrap/>
          </w:tcPr>
          <w:p>
            <w:pPr>
              <w:pStyle w:val="yTableNAm"/>
            </w:pPr>
            <w:r>
              <w:t>10.</w:t>
            </w:r>
          </w:p>
        </w:tc>
        <w:tc>
          <w:tcPr>
            <w:tcW w:w="4253" w:type="dxa"/>
            <w:tcBorders>
              <w:top w:val="nil"/>
              <w:left w:val="nil"/>
              <w:bottom w:val="nil"/>
              <w:right w:val="nil"/>
            </w:tcBorders>
            <w:noWrap/>
          </w:tcPr>
          <w:p>
            <w:pPr>
              <w:pStyle w:val="yTableNAm"/>
            </w:pPr>
            <w:r>
              <w:t>Application for exemption from the Act under section 31(1) of the Act</w:t>
            </w:r>
          </w:p>
        </w:tc>
        <w:tc>
          <w:tcPr>
            <w:tcW w:w="1701" w:type="dxa"/>
            <w:tcBorders>
              <w:top w:val="nil"/>
              <w:left w:val="nil"/>
              <w:bottom w:val="nil"/>
              <w:right w:val="nil"/>
            </w:tcBorders>
            <w:noWrap/>
            <w:vAlign w:val="bottom"/>
          </w:tcPr>
          <w:p>
            <w:pPr>
              <w:pStyle w:val="yTableNAm"/>
              <w:jc w:val="right"/>
            </w:pPr>
            <w:r>
              <w:t>162.00</w:t>
            </w:r>
          </w:p>
        </w:tc>
      </w:tr>
      <w:tr>
        <w:trPr>
          <w:cantSplit/>
          <w:jc w:val="center"/>
        </w:trPr>
        <w:tc>
          <w:tcPr>
            <w:tcW w:w="709" w:type="dxa"/>
            <w:tcBorders>
              <w:top w:val="nil"/>
              <w:left w:val="nil"/>
              <w:bottom w:val="nil"/>
              <w:right w:val="nil"/>
            </w:tcBorders>
            <w:noWrap/>
          </w:tcPr>
          <w:p>
            <w:pPr>
              <w:pStyle w:val="yTableNAm"/>
            </w:pPr>
            <w:r>
              <w:t>11.</w:t>
            </w:r>
          </w:p>
        </w:tc>
        <w:tc>
          <w:tcPr>
            <w:tcW w:w="4253" w:type="dxa"/>
            <w:tcBorders>
              <w:top w:val="nil"/>
              <w:left w:val="nil"/>
              <w:bottom w:val="nil"/>
              <w:right w:val="nil"/>
            </w:tcBorders>
            <w:noWrap/>
          </w:tcPr>
          <w:p>
            <w:pPr>
              <w:pStyle w:val="yTableNAm"/>
            </w:pPr>
            <w:r>
              <w:t>Duplicate licence</w:t>
            </w:r>
          </w:p>
        </w:tc>
        <w:tc>
          <w:tcPr>
            <w:tcW w:w="1701" w:type="dxa"/>
            <w:tcBorders>
              <w:top w:val="nil"/>
              <w:left w:val="nil"/>
              <w:bottom w:val="nil"/>
              <w:right w:val="nil"/>
            </w:tcBorders>
            <w:noWrap/>
            <w:vAlign w:val="bottom"/>
          </w:tcPr>
          <w:p>
            <w:pPr>
              <w:pStyle w:val="yTableNAm"/>
              <w:jc w:val="right"/>
            </w:pPr>
            <w:r>
              <w:t>29.50</w:t>
            </w:r>
          </w:p>
        </w:tc>
      </w:tr>
      <w:tr>
        <w:trPr>
          <w:cantSplit/>
          <w:jc w:val="center"/>
        </w:trPr>
        <w:tc>
          <w:tcPr>
            <w:tcW w:w="709" w:type="dxa"/>
            <w:tcBorders>
              <w:top w:val="nil"/>
              <w:left w:val="nil"/>
              <w:bottom w:val="nil"/>
              <w:right w:val="nil"/>
            </w:tcBorders>
            <w:noWrap/>
          </w:tcPr>
          <w:p>
            <w:pPr>
              <w:pStyle w:val="yTableNAm"/>
            </w:pPr>
            <w:r>
              <w:t>12.</w:t>
            </w:r>
          </w:p>
        </w:tc>
        <w:tc>
          <w:tcPr>
            <w:tcW w:w="4253" w:type="dxa"/>
            <w:tcBorders>
              <w:top w:val="nil"/>
              <w:left w:val="nil"/>
              <w:bottom w:val="nil"/>
              <w:right w:val="nil"/>
            </w:tcBorders>
            <w:noWrap/>
          </w:tcPr>
          <w:p>
            <w:pPr>
              <w:pStyle w:val="yTableNAm"/>
            </w:pPr>
            <w:r>
              <w:t>Certificate showing whether or not a person was recorded in the register kept under section 24 of the Act as the holder of an authorisation on a specified date or during a specific period —</w:t>
            </w:r>
          </w:p>
        </w:tc>
        <w:tc>
          <w:tcPr>
            <w:tcW w:w="1701" w:type="dxa"/>
            <w:tcBorders>
              <w:top w:val="nil"/>
              <w:left w:val="nil"/>
              <w:bottom w:val="nil"/>
              <w:right w:val="nil"/>
            </w:tcBorders>
            <w:noWrap/>
            <w:vAlign w:val="bottom"/>
          </w:tcPr>
          <w:p>
            <w:pPr>
              <w:pStyle w:val="yTableNAm"/>
              <w:jc w:val="right"/>
            </w:pPr>
          </w:p>
        </w:tc>
      </w:tr>
      <w:tr>
        <w:trPr>
          <w:cantSplit/>
          <w:jc w:val="center"/>
        </w:trPr>
        <w:tc>
          <w:tcPr>
            <w:tcW w:w="709" w:type="dxa"/>
            <w:tcBorders>
              <w:top w:val="nil"/>
              <w:left w:val="nil"/>
              <w:bottom w:val="nil"/>
              <w:right w:val="nil"/>
            </w:tcBorders>
            <w:noWrap/>
          </w:tcPr>
          <w:p>
            <w:pPr>
              <w:pStyle w:val="yTableNAm"/>
            </w:pPr>
          </w:p>
        </w:tc>
        <w:tc>
          <w:tcPr>
            <w:tcW w:w="4253" w:type="dxa"/>
            <w:tcBorders>
              <w:top w:val="nil"/>
              <w:left w:val="nil"/>
              <w:bottom w:val="nil"/>
              <w:right w:val="nil"/>
            </w:tcBorders>
            <w:noWrap/>
          </w:tcPr>
          <w:p>
            <w:pPr>
              <w:pStyle w:val="yTableNAm"/>
            </w:pPr>
            <w:r>
              <w:t>(a)</w:t>
            </w:r>
            <w:r>
              <w:tab/>
              <w:t>first page</w:t>
            </w:r>
          </w:p>
        </w:tc>
        <w:tc>
          <w:tcPr>
            <w:tcW w:w="1701" w:type="dxa"/>
            <w:tcBorders>
              <w:top w:val="nil"/>
              <w:left w:val="nil"/>
              <w:bottom w:val="nil"/>
              <w:right w:val="nil"/>
            </w:tcBorders>
            <w:noWrap/>
            <w:vAlign w:val="bottom"/>
          </w:tcPr>
          <w:p>
            <w:pPr>
              <w:pStyle w:val="yTableNAm"/>
              <w:jc w:val="right"/>
            </w:pPr>
            <w:r>
              <w:t>12.20</w:t>
            </w:r>
          </w:p>
        </w:tc>
      </w:tr>
      <w:tr>
        <w:trPr>
          <w:cantSplit/>
          <w:jc w:val="center"/>
        </w:trPr>
        <w:tc>
          <w:tcPr>
            <w:tcW w:w="709" w:type="dxa"/>
            <w:tcBorders>
              <w:top w:val="nil"/>
              <w:left w:val="nil"/>
              <w:bottom w:val="nil"/>
              <w:right w:val="nil"/>
            </w:tcBorders>
            <w:noWrap/>
          </w:tcPr>
          <w:p>
            <w:pPr>
              <w:pStyle w:val="yTableNAm"/>
            </w:pPr>
          </w:p>
        </w:tc>
        <w:tc>
          <w:tcPr>
            <w:tcW w:w="4253" w:type="dxa"/>
            <w:tcBorders>
              <w:top w:val="nil"/>
              <w:left w:val="nil"/>
              <w:bottom w:val="nil"/>
              <w:right w:val="nil"/>
            </w:tcBorders>
            <w:noWrap/>
          </w:tcPr>
          <w:p>
            <w:pPr>
              <w:pStyle w:val="yTableNAm"/>
            </w:pPr>
            <w:r>
              <w:t>(b)</w:t>
            </w:r>
            <w:r>
              <w:tab/>
              <w:t>each subsequent page</w:t>
            </w:r>
          </w:p>
        </w:tc>
        <w:tc>
          <w:tcPr>
            <w:tcW w:w="1701" w:type="dxa"/>
            <w:tcBorders>
              <w:top w:val="nil"/>
              <w:left w:val="nil"/>
              <w:bottom w:val="nil"/>
              <w:right w:val="nil"/>
            </w:tcBorders>
            <w:noWrap/>
            <w:vAlign w:val="bottom"/>
          </w:tcPr>
          <w:p>
            <w:pPr>
              <w:pStyle w:val="yTableNAm"/>
              <w:jc w:val="right"/>
            </w:pPr>
            <w:r>
              <w:t>2.30</w:t>
            </w:r>
          </w:p>
        </w:tc>
      </w:tr>
      <w:tr>
        <w:trPr>
          <w:cantSplit/>
          <w:jc w:val="center"/>
        </w:trPr>
        <w:tc>
          <w:tcPr>
            <w:tcW w:w="709" w:type="dxa"/>
            <w:tcBorders>
              <w:top w:val="nil"/>
              <w:left w:val="nil"/>
              <w:bottom w:val="nil"/>
              <w:right w:val="nil"/>
            </w:tcBorders>
            <w:noWrap/>
          </w:tcPr>
          <w:p>
            <w:pPr>
              <w:pStyle w:val="yTableNAm"/>
            </w:pPr>
            <w:r>
              <w:t>13.</w:t>
            </w:r>
          </w:p>
        </w:tc>
        <w:tc>
          <w:tcPr>
            <w:tcW w:w="4253" w:type="dxa"/>
            <w:tcBorders>
              <w:top w:val="nil"/>
              <w:left w:val="nil"/>
              <w:bottom w:val="nil"/>
              <w:right w:val="nil"/>
            </w:tcBorders>
            <w:noWrap/>
          </w:tcPr>
          <w:p>
            <w:pPr>
              <w:pStyle w:val="yTableNAm"/>
            </w:pPr>
            <w:r>
              <w:t>Certificate showing all persons recorded in the register kept under section 24 of the Act as the holder of an authorisation on a specified date or during a specific period</w:t>
            </w:r>
          </w:p>
        </w:tc>
        <w:tc>
          <w:tcPr>
            <w:tcW w:w="1701" w:type="dxa"/>
            <w:tcBorders>
              <w:top w:val="nil"/>
              <w:left w:val="nil"/>
              <w:bottom w:val="nil"/>
              <w:right w:val="nil"/>
            </w:tcBorders>
            <w:noWrap/>
            <w:vAlign w:val="bottom"/>
          </w:tcPr>
          <w:p>
            <w:pPr>
              <w:pStyle w:val="yTableNAm"/>
              <w:jc w:val="right"/>
            </w:pPr>
            <w:r>
              <w:t>121.00</w:t>
            </w:r>
          </w:p>
        </w:tc>
      </w:tr>
      <w:tr>
        <w:trPr>
          <w:cantSplit/>
          <w:jc w:val="center"/>
        </w:trPr>
        <w:tc>
          <w:tcPr>
            <w:tcW w:w="709" w:type="dxa"/>
            <w:tcBorders>
              <w:top w:val="nil"/>
              <w:left w:val="nil"/>
              <w:bottom w:val="nil"/>
              <w:right w:val="nil"/>
            </w:tcBorders>
            <w:noWrap/>
          </w:tcPr>
          <w:p>
            <w:pPr>
              <w:pStyle w:val="yTableNAm"/>
            </w:pPr>
            <w:r>
              <w:lastRenderedPageBreak/>
              <w:t>14.</w:t>
            </w:r>
          </w:p>
        </w:tc>
        <w:tc>
          <w:tcPr>
            <w:tcW w:w="4253" w:type="dxa"/>
            <w:tcBorders>
              <w:top w:val="nil"/>
              <w:left w:val="nil"/>
              <w:bottom w:val="nil"/>
              <w:right w:val="nil"/>
            </w:tcBorders>
            <w:noWrap/>
          </w:tcPr>
          <w:p>
            <w:pPr>
              <w:pStyle w:val="yTableNAm"/>
            </w:pPr>
            <w:r>
              <w:t xml:space="preserve">Certificate showing any other matter appearing in the register kept under section 24 of the Act — </w:t>
            </w:r>
          </w:p>
        </w:tc>
        <w:tc>
          <w:tcPr>
            <w:tcW w:w="1701" w:type="dxa"/>
            <w:tcBorders>
              <w:top w:val="nil"/>
              <w:left w:val="nil"/>
              <w:bottom w:val="nil"/>
              <w:right w:val="nil"/>
            </w:tcBorders>
            <w:noWrap/>
            <w:vAlign w:val="bottom"/>
          </w:tcPr>
          <w:p>
            <w:pPr>
              <w:pStyle w:val="yTableNAm"/>
              <w:jc w:val="right"/>
            </w:pPr>
          </w:p>
        </w:tc>
      </w:tr>
      <w:tr>
        <w:trPr>
          <w:cantSplit/>
          <w:jc w:val="center"/>
        </w:trPr>
        <w:tc>
          <w:tcPr>
            <w:tcW w:w="709" w:type="dxa"/>
            <w:tcBorders>
              <w:top w:val="nil"/>
              <w:left w:val="nil"/>
              <w:bottom w:val="nil"/>
              <w:right w:val="nil"/>
            </w:tcBorders>
            <w:noWrap/>
          </w:tcPr>
          <w:p>
            <w:pPr>
              <w:pStyle w:val="yTableNAm"/>
            </w:pPr>
          </w:p>
        </w:tc>
        <w:tc>
          <w:tcPr>
            <w:tcW w:w="4253" w:type="dxa"/>
            <w:tcBorders>
              <w:top w:val="nil"/>
              <w:left w:val="nil"/>
              <w:bottom w:val="nil"/>
              <w:right w:val="nil"/>
            </w:tcBorders>
            <w:noWrap/>
          </w:tcPr>
          <w:p>
            <w:pPr>
              <w:pStyle w:val="yTableNAm"/>
            </w:pPr>
            <w:r>
              <w:t>(a)</w:t>
            </w:r>
            <w:r>
              <w:tab/>
              <w:t>first page</w:t>
            </w:r>
          </w:p>
        </w:tc>
        <w:tc>
          <w:tcPr>
            <w:tcW w:w="1701" w:type="dxa"/>
            <w:tcBorders>
              <w:top w:val="nil"/>
              <w:left w:val="nil"/>
              <w:bottom w:val="nil"/>
              <w:right w:val="nil"/>
            </w:tcBorders>
            <w:noWrap/>
            <w:vAlign w:val="bottom"/>
          </w:tcPr>
          <w:p>
            <w:pPr>
              <w:pStyle w:val="yTableNAm"/>
              <w:jc w:val="right"/>
            </w:pPr>
            <w:r>
              <w:t>12.20</w:t>
            </w:r>
          </w:p>
        </w:tc>
      </w:tr>
      <w:tr>
        <w:trPr>
          <w:cantSplit/>
          <w:jc w:val="center"/>
        </w:trPr>
        <w:tc>
          <w:tcPr>
            <w:tcW w:w="709" w:type="dxa"/>
            <w:tcBorders>
              <w:top w:val="nil"/>
              <w:left w:val="nil"/>
              <w:bottom w:val="nil"/>
              <w:right w:val="nil"/>
            </w:tcBorders>
            <w:noWrap/>
          </w:tcPr>
          <w:p>
            <w:pPr>
              <w:pStyle w:val="yTableNAm"/>
            </w:pPr>
          </w:p>
        </w:tc>
        <w:tc>
          <w:tcPr>
            <w:tcW w:w="4253" w:type="dxa"/>
            <w:tcBorders>
              <w:top w:val="nil"/>
              <w:left w:val="nil"/>
              <w:bottom w:val="nil"/>
              <w:right w:val="nil"/>
            </w:tcBorders>
            <w:noWrap/>
          </w:tcPr>
          <w:p>
            <w:pPr>
              <w:pStyle w:val="yTableNAm"/>
            </w:pPr>
            <w:r>
              <w:t>(b)</w:t>
            </w:r>
            <w:r>
              <w:tab/>
              <w:t>each subsequent page</w:t>
            </w:r>
          </w:p>
        </w:tc>
        <w:tc>
          <w:tcPr>
            <w:tcW w:w="1701" w:type="dxa"/>
            <w:tcBorders>
              <w:top w:val="nil"/>
              <w:left w:val="nil"/>
              <w:bottom w:val="nil"/>
              <w:right w:val="nil"/>
            </w:tcBorders>
            <w:noWrap/>
            <w:vAlign w:val="bottom"/>
          </w:tcPr>
          <w:p>
            <w:pPr>
              <w:pStyle w:val="yTableNAm"/>
              <w:jc w:val="right"/>
            </w:pPr>
            <w:r>
              <w:t>2.30</w:t>
            </w:r>
          </w:p>
        </w:tc>
      </w:tr>
      <w:tr>
        <w:trPr>
          <w:cantSplit/>
          <w:jc w:val="center"/>
        </w:trPr>
        <w:tc>
          <w:tcPr>
            <w:tcW w:w="709" w:type="dxa"/>
            <w:tcBorders>
              <w:top w:val="nil"/>
              <w:left w:val="nil"/>
              <w:right w:val="nil"/>
            </w:tcBorders>
            <w:noWrap/>
          </w:tcPr>
          <w:p>
            <w:pPr>
              <w:pStyle w:val="yTableNAm"/>
              <w:spacing w:after="120"/>
            </w:pPr>
            <w:r>
              <w:t>15.</w:t>
            </w:r>
          </w:p>
        </w:tc>
        <w:tc>
          <w:tcPr>
            <w:tcW w:w="4253" w:type="dxa"/>
            <w:tcBorders>
              <w:top w:val="nil"/>
              <w:left w:val="nil"/>
              <w:right w:val="nil"/>
            </w:tcBorders>
            <w:noWrap/>
          </w:tcPr>
          <w:p>
            <w:pPr>
              <w:pStyle w:val="yTableNAm"/>
              <w:spacing w:after="120"/>
            </w:pPr>
            <w:r>
              <w:t>Inspection of register kept under section 24 of the Act</w:t>
            </w:r>
          </w:p>
        </w:tc>
        <w:tc>
          <w:tcPr>
            <w:tcW w:w="1701" w:type="dxa"/>
            <w:tcBorders>
              <w:top w:val="nil"/>
              <w:left w:val="nil"/>
              <w:right w:val="nil"/>
            </w:tcBorders>
            <w:noWrap/>
            <w:vAlign w:val="bottom"/>
          </w:tcPr>
          <w:p>
            <w:pPr>
              <w:pStyle w:val="yTableNAm"/>
              <w:spacing w:after="120"/>
              <w:jc w:val="right"/>
            </w:pPr>
            <w:r>
              <w:t>11.80</w:t>
            </w:r>
          </w:p>
        </w:tc>
      </w:tr>
    </w:tbl>
    <w:p>
      <w:pPr>
        <w:pStyle w:val="yFootnotesection"/>
      </w:pPr>
      <w:r>
        <w:tab/>
        <w:t>[Schedule 3 inserted: SL 2021/86 r. 48.]</w:t>
      </w:r>
    </w:p>
    <w:p>
      <w:pPr>
        <w:pStyle w:val="yScheduleHeading"/>
      </w:pPr>
      <w:bookmarkStart w:id="17" w:name="_Toc103756847"/>
      <w:bookmarkStart w:id="18" w:name="_Toc103756971"/>
      <w:bookmarkStart w:id="19" w:name="_Toc103776516"/>
      <w:bookmarkStart w:id="20" w:name="_Toc103776532"/>
      <w:r>
        <w:rPr>
          <w:rStyle w:val="CharSchNo"/>
        </w:rPr>
        <w:lastRenderedPageBreak/>
        <w:t>Schedule 4</w:t>
      </w:r>
      <w:r>
        <w:t> — </w:t>
      </w:r>
      <w:r>
        <w:rPr>
          <w:rStyle w:val="CharSchText"/>
        </w:rPr>
        <w:t>Classes and descriptions of business and categories of dealer’s licence</w:t>
      </w:r>
      <w:bookmarkEnd w:id="17"/>
      <w:bookmarkEnd w:id="18"/>
      <w:bookmarkEnd w:id="19"/>
      <w:bookmarkEnd w:id="20"/>
    </w:p>
    <w:p>
      <w:pPr>
        <w:pStyle w:val="yShoulderClause"/>
      </w:pPr>
      <w:r>
        <w:t>[r. 8]</w:t>
      </w:r>
    </w:p>
    <w:p>
      <w:pPr>
        <w:pStyle w:val="yFootnoteheading"/>
      </w:pPr>
      <w:r>
        <w:tab/>
        <w:t>[Heading inserted: SL 2021/164 r. 10.]</w:t>
      </w:r>
    </w:p>
    <w:tbl>
      <w:tblPr>
        <w:tblW w:w="6980" w:type="dxa"/>
        <w:tblInd w:w="108" w:type="dxa"/>
        <w:tblLayout w:type="fixed"/>
        <w:tblLook w:val="0000" w:firstRow="0" w:lastRow="0" w:firstColumn="0" w:lastColumn="0" w:noHBand="0" w:noVBand="0"/>
      </w:tblPr>
      <w:tblGrid>
        <w:gridCol w:w="3544"/>
        <w:gridCol w:w="3436"/>
      </w:tblGrid>
      <w:tr>
        <w:trPr>
          <w:cantSplit/>
          <w:tblHeader/>
        </w:trPr>
        <w:tc>
          <w:tcPr>
            <w:tcW w:w="3544" w:type="dxa"/>
            <w:noWrap/>
          </w:tcPr>
          <w:p>
            <w:pPr>
              <w:pStyle w:val="yTableNAm"/>
              <w:rPr>
                <w:b/>
              </w:rPr>
            </w:pPr>
            <w:r>
              <w:rPr>
                <w:b/>
              </w:rPr>
              <w:t>Column 1</w:t>
            </w:r>
          </w:p>
        </w:tc>
        <w:tc>
          <w:tcPr>
            <w:tcW w:w="3436" w:type="dxa"/>
            <w:noWrap/>
          </w:tcPr>
          <w:p>
            <w:pPr>
              <w:pStyle w:val="yTableNAm"/>
              <w:rPr>
                <w:b/>
              </w:rPr>
            </w:pPr>
            <w:r>
              <w:rPr>
                <w:b/>
              </w:rPr>
              <w:t>Column 2</w:t>
            </w:r>
          </w:p>
        </w:tc>
      </w:tr>
      <w:tr>
        <w:trPr>
          <w:cantSplit/>
          <w:tblHeader/>
        </w:trPr>
        <w:tc>
          <w:tcPr>
            <w:tcW w:w="3544" w:type="dxa"/>
            <w:noWrap/>
          </w:tcPr>
          <w:p>
            <w:pPr>
              <w:pStyle w:val="yTableNAm"/>
              <w:rPr>
                <w:b/>
              </w:rPr>
            </w:pPr>
            <w:r>
              <w:rPr>
                <w:b/>
              </w:rPr>
              <w:t>Category of licence</w:t>
            </w:r>
          </w:p>
        </w:tc>
        <w:tc>
          <w:tcPr>
            <w:tcW w:w="3436" w:type="dxa"/>
            <w:noWrap/>
          </w:tcPr>
          <w:p>
            <w:pPr>
              <w:pStyle w:val="yTableNAm"/>
              <w:rPr>
                <w:b/>
              </w:rPr>
            </w:pPr>
            <w:r>
              <w:rPr>
                <w:b/>
              </w:rPr>
              <w:t>Description of business</w:t>
            </w:r>
          </w:p>
        </w:tc>
      </w:tr>
      <w:tr>
        <w:trPr>
          <w:cantSplit/>
        </w:trPr>
        <w:tc>
          <w:tcPr>
            <w:tcW w:w="3544" w:type="dxa"/>
            <w:noWrap/>
          </w:tcPr>
          <w:p>
            <w:pPr>
              <w:pStyle w:val="yTableNAm"/>
            </w:pPr>
            <w:r>
              <w:t>A</w:t>
            </w:r>
          </w:p>
        </w:tc>
        <w:tc>
          <w:tcPr>
            <w:tcW w:w="3436" w:type="dxa"/>
            <w:noWrap/>
          </w:tcPr>
          <w:p>
            <w:pPr>
              <w:pStyle w:val="yTableNAm"/>
            </w:pPr>
            <w:r>
              <w:t>Buying, selling and auctioning vehicles.</w:t>
            </w:r>
          </w:p>
        </w:tc>
      </w:tr>
      <w:tr>
        <w:trPr>
          <w:cantSplit/>
        </w:trPr>
        <w:tc>
          <w:tcPr>
            <w:tcW w:w="3544" w:type="dxa"/>
            <w:noWrap/>
          </w:tcPr>
          <w:p>
            <w:pPr>
              <w:pStyle w:val="yTableNAm"/>
            </w:pPr>
            <w:r>
              <w:t>B</w:t>
            </w:r>
          </w:p>
        </w:tc>
        <w:tc>
          <w:tcPr>
            <w:tcW w:w="3436" w:type="dxa"/>
            <w:noWrap/>
          </w:tcPr>
          <w:p>
            <w:pPr>
              <w:pStyle w:val="yTableNAm"/>
            </w:pPr>
            <w:r>
              <w:t>Buying any vehicles for the purpose of dismantling them and selling off the parts.</w:t>
            </w:r>
          </w:p>
        </w:tc>
      </w:tr>
      <w:tr>
        <w:trPr>
          <w:cantSplit/>
        </w:trPr>
        <w:tc>
          <w:tcPr>
            <w:tcW w:w="3544" w:type="dxa"/>
            <w:noWrap/>
          </w:tcPr>
          <w:p>
            <w:pPr>
              <w:pStyle w:val="yTableNAm"/>
            </w:pPr>
            <w:r>
              <w:t>C</w:t>
            </w:r>
          </w:p>
        </w:tc>
        <w:tc>
          <w:tcPr>
            <w:tcW w:w="3436" w:type="dxa"/>
            <w:noWrap/>
          </w:tcPr>
          <w:p>
            <w:pPr>
              <w:pStyle w:val="yTableNAm"/>
            </w:pPr>
            <w:r>
              <w:t>Acting as an agent to facilitate the sale or purchase of any vehicles on behalf of members of the public.</w:t>
            </w:r>
          </w:p>
        </w:tc>
      </w:tr>
      <w:tr>
        <w:trPr>
          <w:cantSplit/>
        </w:trPr>
        <w:tc>
          <w:tcPr>
            <w:tcW w:w="3544" w:type="dxa"/>
            <w:noWrap/>
          </w:tcPr>
          <w:p>
            <w:pPr>
              <w:pStyle w:val="yTableNAm"/>
            </w:pPr>
            <w:r>
              <w:t>D</w:t>
            </w:r>
          </w:p>
        </w:tc>
        <w:tc>
          <w:tcPr>
            <w:tcW w:w="3436" w:type="dxa"/>
            <w:noWrap/>
          </w:tcPr>
          <w:p>
            <w:pPr>
              <w:pStyle w:val="yTableNAm"/>
            </w:pPr>
            <w:r>
              <w:t>Hiring out vehicles, buying vehicles for hiring out, and selling and auctioning any vehicles that have been hired out by the dealer.</w:t>
            </w:r>
          </w:p>
        </w:tc>
      </w:tr>
      <w:tr>
        <w:trPr>
          <w:cantSplit/>
        </w:trPr>
        <w:tc>
          <w:tcPr>
            <w:tcW w:w="3544" w:type="dxa"/>
            <w:noWrap/>
          </w:tcPr>
          <w:p>
            <w:pPr>
              <w:pStyle w:val="yTableNAm"/>
            </w:pPr>
            <w:r>
              <w:t>Any combination of A, B, C and D, as nominated by the dealer.</w:t>
            </w:r>
          </w:p>
        </w:tc>
        <w:tc>
          <w:tcPr>
            <w:tcW w:w="3436" w:type="dxa"/>
            <w:noWrap/>
          </w:tcPr>
          <w:p>
            <w:pPr>
              <w:pStyle w:val="yTableNAm"/>
            </w:pPr>
            <w:r>
              <w:t>The businesses the subject of the nominated categories.</w:t>
            </w:r>
          </w:p>
        </w:tc>
      </w:tr>
    </w:tbl>
    <w:p>
      <w:pPr>
        <w:pStyle w:val="yFootnotesection"/>
      </w:pPr>
      <w:r>
        <w:tab/>
        <w:t>[Schedule 4 inserted: SL 2021/164 r. 10.]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21" w:name="_Toc103756848"/>
      <w:bookmarkStart w:id="22" w:name="_Toc103756972"/>
      <w:bookmarkStart w:id="23" w:name="_Toc103776517"/>
      <w:bookmarkStart w:id="24" w:name="_Toc103776533"/>
      <w:r>
        <w:lastRenderedPageBreak/>
        <w:t>Notes</w:t>
      </w:r>
      <w:bookmarkEnd w:id="21"/>
      <w:bookmarkEnd w:id="22"/>
      <w:bookmarkEnd w:id="23"/>
      <w:bookmarkEnd w:id="24"/>
    </w:p>
    <w:p>
      <w:pPr>
        <w:pStyle w:val="nStatement"/>
      </w:pPr>
      <w:r>
        <w:t xml:space="preserve">This is a compilation of the </w:t>
      </w:r>
      <w:r>
        <w:rPr>
          <w:i/>
          <w:noProof/>
        </w:rPr>
        <w:t>Motor Vehicle Dealers (Licensing) Regulations 1974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 w:name="_Toc103776534"/>
      <w:r>
        <w:t>Compilation table</w:t>
      </w:r>
      <w:bookmarkEnd w:id="25"/>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Regulations 1974</w:t>
            </w:r>
          </w:p>
        </w:tc>
        <w:tc>
          <w:tcPr>
            <w:tcW w:w="1276" w:type="dxa"/>
          </w:tcPr>
          <w:p>
            <w:pPr>
              <w:pStyle w:val="nTable"/>
              <w:spacing w:after="40"/>
            </w:pPr>
            <w:r>
              <w:t>29 Mar 1974 p. 1103</w:t>
            </w:r>
            <w:r>
              <w:noBreakHyphen/>
              <w:t>21</w:t>
            </w:r>
          </w:p>
        </w:tc>
        <w:tc>
          <w:tcPr>
            <w:tcW w:w="2693" w:type="dxa"/>
          </w:tcPr>
          <w:p>
            <w:pPr>
              <w:pStyle w:val="nTable"/>
              <w:spacing w:after="40"/>
            </w:pPr>
            <w:r>
              <w:t xml:space="preserve">5 Apr 1974 (see </w:t>
            </w:r>
            <w:r>
              <w:rPr>
                <w:i/>
              </w:rPr>
              <w:t>Gazette</w:t>
            </w:r>
            <w:r>
              <w:t xml:space="preserve"> 5 Apr 1974 p. 1180)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t>Untitled regulations</w:t>
            </w:r>
          </w:p>
        </w:tc>
        <w:tc>
          <w:tcPr>
            <w:tcW w:w="1276" w:type="dxa"/>
          </w:tcPr>
          <w:p>
            <w:pPr>
              <w:pStyle w:val="nTable"/>
              <w:spacing w:after="40"/>
            </w:pPr>
            <w:r>
              <w:t>10 May 1974 p. 1535</w:t>
            </w:r>
          </w:p>
        </w:tc>
        <w:tc>
          <w:tcPr>
            <w:tcW w:w="2693" w:type="dxa"/>
          </w:tcPr>
          <w:p>
            <w:pPr>
              <w:pStyle w:val="nTable"/>
              <w:spacing w:after="40"/>
            </w:pPr>
            <w:r>
              <w:t>10 May 1974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t>Untitled regulations</w:t>
            </w:r>
          </w:p>
        </w:tc>
        <w:tc>
          <w:tcPr>
            <w:tcW w:w="1276" w:type="dxa"/>
          </w:tcPr>
          <w:p>
            <w:pPr>
              <w:pStyle w:val="nTable"/>
              <w:spacing w:after="40"/>
            </w:pPr>
            <w:r>
              <w:t>11 Jun 1976 p. 1887</w:t>
            </w:r>
            <w:r>
              <w:noBreakHyphen/>
              <w:t>90</w:t>
            </w:r>
          </w:p>
        </w:tc>
        <w:tc>
          <w:tcPr>
            <w:tcW w:w="2693" w:type="dxa"/>
          </w:tcPr>
          <w:p>
            <w:pPr>
              <w:pStyle w:val="nTable"/>
              <w:spacing w:after="40"/>
            </w:pPr>
            <w:r>
              <w:t>11 Jun 1976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t>Untitled regulations</w:t>
            </w:r>
          </w:p>
        </w:tc>
        <w:tc>
          <w:tcPr>
            <w:tcW w:w="1276" w:type="dxa"/>
          </w:tcPr>
          <w:p>
            <w:pPr>
              <w:pStyle w:val="nTable"/>
              <w:spacing w:after="40"/>
            </w:pPr>
            <w:r>
              <w:t>22 Oct 1976 p. 3989</w:t>
            </w:r>
            <w:r>
              <w:noBreakHyphen/>
              <w:t>94</w:t>
            </w:r>
          </w:p>
        </w:tc>
        <w:tc>
          <w:tcPr>
            <w:tcW w:w="2693" w:type="dxa"/>
          </w:tcPr>
          <w:p>
            <w:pPr>
              <w:pStyle w:val="nTable"/>
              <w:spacing w:after="40"/>
            </w:pPr>
            <w:r>
              <w:t>22 Oct 1976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t>Untitled regulations</w:t>
            </w:r>
          </w:p>
        </w:tc>
        <w:tc>
          <w:tcPr>
            <w:tcW w:w="1276" w:type="dxa"/>
          </w:tcPr>
          <w:p>
            <w:pPr>
              <w:pStyle w:val="nTable"/>
              <w:spacing w:after="40"/>
            </w:pPr>
            <w:r>
              <w:t>12 Apr 1979 p. 1021</w:t>
            </w:r>
          </w:p>
        </w:tc>
        <w:tc>
          <w:tcPr>
            <w:tcW w:w="2693" w:type="dxa"/>
          </w:tcPr>
          <w:p>
            <w:pPr>
              <w:pStyle w:val="nTable"/>
              <w:spacing w:after="40"/>
            </w:pPr>
            <w:r>
              <w:t>1 May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1981</w:t>
            </w:r>
          </w:p>
        </w:tc>
        <w:tc>
          <w:tcPr>
            <w:tcW w:w="1276" w:type="dxa"/>
          </w:tcPr>
          <w:p>
            <w:pPr>
              <w:pStyle w:val="nTable"/>
              <w:spacing w:after="40"/>
            </w:pPr>
            <w:r>
              <w:t>28 Aug 1981 p. 3589</w:t>
            </w:r>
          </w:p>
        </w:tc>
        <w:tc>
          <w:tcPr>
            <w:tcW w:w="2693" w:type="dxa"/>
          </w:tcPr>
          <w:p>
            <w:pPr>
              <w:pStyle w:val="nTable"/>
              <w:spacing w:after="40"/>
            </w:pPr>
            <w:r>
              <w:t>1 Sep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1983</w:t>
            </w:r>
          </w:p>
        </w:tc>
        <w:tc>
          <w:tcPr>
            <w:tcW w:w="1276" w:type="dxa"/>
          </w:tcPr>
          <w:p>
            <w:pPr>
              <w:pStyle w:val="nTable"/>
              <w:spacing w:after="40"/>
            </w:pPr>
            <w:r>
              <w:t>21 Oct 1983 p. 4297</w:t>
            </w:r>
          </w:p>
        </w:tc>
        <w:tc>
          <w:tcPr>
            <w:tcW w:w="2693" w:type="dxa"/>
          </w:tcPr>
          <w:p>
            <w:pPr>
              <w:pStyle w:val="nTable"/>
              <w:spacing w:after="40"/>
            </w:pPr>
            <w:r>
              <w:t>21 Oct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1986</w:t>
            </w:r>
          </w:p>
        </w:tc>
        <w:tc>
          <w:tcPr>
            <w:tcW w:w="1276" w:type="dxa"/>
          </w:tcPr>
          <w:p>
            <w:pPr>
              <w:pStyle w:val="nTable"/>
              <w:spacing w:after="40"/>
            </w:pPr>
            <w:r>
              <w:t>30 May 1986 p. 1816</w:t>
            </w:r>
          </w:p>
        </w:tc>
        <w:tc>
          <w:tcPr>
            <w:tcW w:w="2693" w:type="dxa"/>
          </w:tcPr>
          <w:p>
            <w:pPr>
              <w:pStyle w:val="nTable"/>
              <w:spacing w:after="40"/>
            </w:pPr>
            <w:r>
              <w:t>30 May 1986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Motor Vehicle Dealers (Licensing) Regulations 1974</w:t>
            </w:r>
            <w:r>
              <w:rPr>
                <w:b/>
              </w:rPr>
              <w:t xml:space="preserve"> as at 8 Aug 1986</w:t>
            </w:r>
            <w:r>
              <w:t xml:space="preserve"> (see </w:t>
            </w:r>
            <w:r>
              <w:rPr>
                <w:i/>
              </w:rPr>
              <w:t>Gazette</w:t>
            </w:r>
            <w:r>
              <w:t xml:space="preserve"> 8 Dec 1986 p. 4523</w:t>
            </w:r>
            <w:r>
              <w:noBreakHyphen/>
              <w:t>56)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(No. 2) 1986</w:t>
            </w:r>
          </w:p>
        </w:tc>
        <w:tc>
          <w:tcPr>
            <w:tcW w:w="1276" w:type="dxa"/>
          </w:tcPr>
          <w:p>
            <w:pPr>
              <w:pStyle w:val="nTable"/>
              <w:spacing w:after="40"/>
            </w:pPr>
            <w:r>
              <w:t>24 Dec 1986 p. 4998</w:t>
            </w:r>
            <w:r>
              <w:noBreakHyphen/>
              <w:t>9</w:t>
            </w:r>
          </w:p>
        </w:tc>
        <w:tc>
          <w:tcPr>
            <w:tcW w:w="2693" w:type="dxa"/>
          </w:tcPr>
          <w:p>
            <w:pPr>
              <w:pStyle w:val="nTable"/>
              <w:spacing w:after="40"/>
            </w:pPr>
            <w:r>
              <w:t>24 Dec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1987</w:t>
            </w:r>
          </w:p>
        </w:tc>
        <w:tc>
          <w:tcPr>
            <w:tcW w:w="1276" w:type="dxa"/>
          </w:tcPr>
          <w:p>
            <w:pPr>
              <w:pStyle w:val="nTable"/>
              <w:spacing w:after="40"/>
            </w:pPr>
            <w:r>
              <w:t>6 Mar 1987 p. 573</w:t>
            </w:r>
            <w:r>
              <w:noBreakHyphen/>
              <w:t>4</w:t>
            </w:r>
          </w:p>
        </w:tc>
        <w:tc>
          <w:tcPr>
            <w:tcW w:w="2693" w:type="dxa"/>
          </w:tcPr>
          <w:p>
            <w:pPr>
              <w:pStyle w:val="nTable"/>
              <w:spacing w:after="40"/>
            </w:pPr>
            <w:r>
              <w:t>6 Mar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1987</w:t>
            </w:r>
          </w:p>
        </w:tc>
        <w:tc>
          <w:tcPr>
            <w:tcW w:w="1276" w:type="dxa"/>
          </w:tcPr>
          <w:p>
            <w:pPr>
              <w:pStyle w:val="nTable"/>
              <w:spacing w:after="40"/>
            </w:pPr>
            <w:r>
              <w:t>4 Sep 1987 p. 3518</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1988</w:t>
            </w:r>
          </w:p>
        </w:tc>
        <w:tc>
          <w:tcPr>
            <w:tcW w:w="1276" w:type="dxa"/>
          </w:tcPr>
          <w:p>
            <w:pPr>
              <w:pStyle w:val="nTable"/>
              <w:spacing w:after="40"/>
            </w:pPr>
            <w:r>
              <w:t>22 Jul 1988 p. 2520</w:t>
            </w:r>
            <w:r>
              <w:noBreakHyphen/>
              <w:t>1</w:t>
            </w:r>
          </w:p>
        </w:tc>
        <w:tc>
          <w:tcPr>
            <w:tcW w:w="2693" w:type="dxa"/>
          </w:tcPr>
          <w:p>
            <w:pPr>
              <w:pStyle w:val="nTable"/>
              <w:spacing w:after="40"/>
            </w:pPr>
            <w:r>
              <w:t>22 Jul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1989</w:t>
            </w:r>
          </w:p>
        </w:tc>
        <w:tc>
          <w:tcPr>
            <w:tcW w:w="1276" w:type="dxa"/>
          </w:tcPr>
          <w:p>
            <w:pPr>
              <w:pStyle w:val="nTable"/>
              <w:spacing w:after="40"/>
            </w:pPr>
            <w:r>
              <w:t>30 Jun 1989 p. 1975</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lastRenderedPageBreak/>
              <w:t>Motor Vehicle Dealers (Licensing) Amendment Regulations 1990</w:t>
            </w:r>
          </w:p>
        </w:tc>
        <w:tc>
          <w:tcPr>
            <w:tcW w:w="1276" w:type="dxa"/>
          </w:tcPr>
          <w:p>
            <w:pPr>
              <w:pStyle w:val="nTable"/>
              <w:spacing w:after="40"/>
            </w:pPr>
            <w:r>
              <w:t>1 Aug 1990 p. 3652</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1991</w:t>
            </w:r>
          </w:p>
        </w:tc>
        <w:tc>
          <w:tcPr>
            <w:tcW w:w="1276" w:type="dxa"/>
          </w:tcPr>
          <w:p>
            <w:pPr>
              <w:pStyle w:val="nTable"/>
              <w:spacing w:after="40"/>
            </w:pPr>
            <w:r>
              <w:t>13 Dec 1991 p. 6159</w:t>
            </w:r>
            <w:r>
              <w:noBreakHyphen/>
              <w:t>60</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1992</w:t>
            </w:r>
          </w:p>
        </w:tc>
        <w:tc>
          <w:tcPr>
            <w:tcW w:w="1276" w:type="dxa"/>
          </w:tcPr>
          <w:p>
            <w:pPr>
              <w:pStyle w:val="nTable"/>
              <w:spacing w:after="40"/>
            </w:pPr>
            <w:r>
              <w:t>14 Aug 1992 p. 4017</w:t>
            </w:r>
            <w:r>
              <w:noBreakHyphen/>
              <w:t>18</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1993</w:t>
            </w:r>
          </w:p>
        </w:tc>
        <w:tc>
          <w:tcPr>
            <w:tcW w:w="1276" w:type="dxa"/>
          </w:tcPr>
          <w:p>
            <w:pPr>
              <w:pStyle w:val="nTable"/>
              <w:spacing w:after="40"/>
            </w:pPr>
            <w:r>
              <w:t>30 Nov 1993 p. 6406</w:t>
            </w:r>
            <w:r>
              <w:noBreakHyphen/>
              <w:t>7</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1994</w:t>
            </w:r>
          </w:p>
        </w:tc>
        <w:tc>
          <w:tcPr>
            <w:tcW w:w="1276" w:type="dxa"/>
          </w:tcPr>
          <w:p>
            <w:pPr>
              <w:pStyle w:val="nTable"/>
              <w:spacing w:after="40"/>
            </w:pPr>
            <w:r>
              <w:t>13 Sep 1994 p. 4659</w:t>
            </w:r>
            <w:r>
              <w:noBreakHyphen/>
              <w:t>61</w:t>
            </w:r>
          </w:p>
        </w:tc>
        <w:tc>
          <w:tcPr>
            <w:tcW w:w="2693" w:type="dxa"/>
          </w:tcPr>
          <w:p>
            <w:pPr>
              <w:pStyle w:val="nTable"/>
              <w:spacing w:after="40"/>
            </w:pPr>
            <w:r>
              <w:t>13 Sep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1995</w:t>
            </w:r>
          </w:p>
        </w:tc>
        <w:tc>
          <w:tcPr>
            <w:tcW w:w="1276" w:type="dxa"/>
          </w:tcPr>
          <w:p>
            <w:pPr>
              <w:pStyle w:val="nTable"/>
              <w:spacing w:after="40"/>
            </w:pPr>
            <w:r>
              <w:t>29 Dec 1995 p. 6343</w:t>
            </w:r>
            <w:r>
              <w:noBreakHyphen/>
              <w:t>6</w:t>
            </w:r>
          </w:p>
        </w:tc>
        <w:tc>
          <w:tcPr>
            <w:tcW w:w="2693" w:type="dxa"/>
          </w:tcPr>
          <w:p>
            <w:pPr>
              <w:pStyle w:val="nTable"/>
              <w:spacing w:after="40"/>
            </w:pPr>
            <w:r>
              <w:t>29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Motor Vehicle Dealers (Licensing) Amendment Regulations 1996</w:t>
            </w:r>
          </w:p>
        </w:tc>
        <w:tc>
          <w:tcPr>
            <w:tcW w:w="1276" w:type="dxa"/>
          </w:tcPr>
          <w:p>
            <w:pPr>
              <w:pStyle w:val="nTable"/>
              <w:spacing w:after="40"/>
            </w:pPr>
            <w:r>
              <w:t>30 Apr 1996 p. 1862</w:t>
            </w:r>
            <w:r>
              <w:noBreakHyphen/>
              <w:t>3</w:t>
            </w:r>
          </w:p>
        </w:tc>
        <w:tc>
          <w:tcPr>
            <w:tcW w:w="2693" w:type="dxa"/>
          </w:tcPr>
          <w:p>
            <w:pPr>
              <w:pStyle w:val="nTable"/>
              <w:spacing w:after="40"/>
            </w:pPr>
            <w:r>
              <w:t>30 Apr 1996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Motor Vehicle Dealers (Licensing) Regulations 1974</w:t>
            </w:r>
            <w:r>
              <w:rPr>
                <w:b/>
              </w:rPr>
              <w:t xml:space="preserve"> as at 28 May 1996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2002</w:t>
            </w:r>
          </w:p>
        </w:tc>
        <w:tc>
          <w:tcPr>
            <w:tcW w:w="1276" w:type="dxa"/>
          </w:tcPr>
          <w:p>
            <w:pPr>
              <w:pStyle w:val="nTable"/>
              <w:spacing w:after="40"/>
            </w:pPr>
            <w:r>
              <w:t>28 Jun 2002 p. 3057</w:t>
            </w:r>
            <w:r>
              <w:noBreakHyphen/>
              <w:t>8</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(No. 2) 2002</w:t>
            </w:r>
          </w:p>
        </w:tc>
        <w:tc>
          <w:tcPr>
            <w:tcW w:w="1276" w:type="dxa"/>
          </w:tcPr>
          <w:p>
            <w:pPr>
              <w:pStyle w:val="nTable"/>
              <w:spacing w:after="40"/>
            </w:pPr>
            <w:r>
              <w:t>13 Aug 2002 p. 4155</w:t>
            </w:r>
            <w:r>
              <w:noBreakHyphen/>
              <w:t>8</w:t>
            </w:r>
          </w:p>
        </w:tc>
        <w:tc>
          <w:tcPr>
            <w:tcW w:w="2693" w:type="dxa"/>
          </w:tcPr>
          <w:p>
            <w:pPr>
              <w:pStyle w:val="nTable"/>
              <w:spacing w:after="40"/>
            </w:pPr>
            <w:r>
              <w:t xml:space="preserve">1 Sep 2002 (see r. 2 and </w:t>
            </w:r>
            <w:r>
              <w:rPr>
                <w:i/>
              </w:rPr>
              <w:t xml:space="preserve">Gazette </w:t>
            </w:r>
            <w:r>
              <w:t>13 Aug 2002 p. 4151)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2003</w:t>
            </w:r>
          </w:p>
        </w:tc>
        <w:tc>
          <w:tcPr>
            <w:tcW w:w="1276" w:type="dxa"/>
          </w:tcPr>
          <w:p>
            <w:pPr>
              <w:pStyle w:val="nTable"/>
              <w:spacing w:after="40"/>
            </w:pPr>
            <w:r>
              <w:t>27 Jun 2003 p. 2553</w:t>
            </w:r>
            <w:r>
              <w:noBreakHyphen/>
              <w:t>4</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Motor Vehicle Dealers (Licensing) Regulations 1974</w:t>
            </w:r>
            <w:r>
              <w:rPr>
                <w:b/>
              </w:rPr>
              <w:t xml:space="preserve"> as at 5 Mar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2004</w:t>
            </w:r>
          </w:p>
        </w:tc>
        <w:tc>
          <w:tcPr>
            <w:tcW w:w="1276" w:type="dxa"/>
          </w:tcPr>
          <w:p>
            <w:pPr>
              <w:pStyle w:val="nTable"/>
              <w:spacing w:after="40"/>
            </w:pPr>
            <w:r>
              <w:t>29 Jun 2004 p. 2508</w:t>
            </w:r>
            <w:r>
              <w:noBreakHyphen/>
              <w:t>10</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2005</w:t>
            </w:r>
          </w:p>
        </w:tc>
        <w:tc>
          <w:tcPr>
            <w:tcW w:w="1276" w:type="dxa"/>
          </w:tcPr>
          <w:p>
            <w:pPr>
              <w:pStyle w:val="nTable"/>
              <w:spacing w:after="40"/>
            </w:pPr>
            <w:r>
              <w:t>28 Jun 2005 p. 2899</w:t>
            </w:r>
            <w:r>
              <w:noBreakHyphen/>
              <w:t>900</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2006</w:t>
            </w:r>
          </w:p>
        </w:tc>
        <w:tc>
          <w:tcPr>
            <w:tcW w:w="1276" w:type="dxa"/>
          </w:tcPr>
          <w:p>
            <w:pPr>
              <w:pStyle w:val="nTable"/>
              <w:spacing w:after="40"/>
            </w:pPr>
            <w:r>
              <w:t>27 Jun 2006 p. 2257</w:t>
            </w:r>
            <w:r>
              <w:noBreakHyphen/>
              <w:t>9</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2007</w:t>
            </w:r>
          </w:p>
        </w:tc>
        <w:tc>
          <w:tcPr>
            <w:tcW w:w="1276" w:type="dxa"/>
          </w:tcPr>
          <w:p>
            <w:pPr>
              <w:pStyle w:val="nTable"/>
              <w:spacing w:after="40"/>
            </w:pPr>
            <w:r>
              <w:t>15 Jun 2007 p. 2776</w:t>
            </w:r>
            <w:r>
              <w:noBreakHyphen/>
              <w:t>8</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Motor Vehicle Dealers (Licensing) Regulations 1974</w:t>
            </w:r>
            <w:r>
              <w:rPr>
                <w:b/>
              </w:rPr>
              <w:t xml:space="preserve"> as at 3 Aug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Motor Vehicle Dealers (Licensing) Amendment Regulations 2008</w:t>
            </w:r>
          </w:p>
        </w:tc>
        <w:tc>
          <w:tcPr>
            <w:tcW w:w="1276" w:type="dxa"/>
          </w:tcPr>
          <w:p>
            <w:pPr>
              <w:pStyle w:val="nTable"/>
              <w:spacing w:after="40"/>
            </w:pPr>
            <w:r>
              <w:t>17 Jun 2008 p. 2552</w:t>
            </w:r>
            <w:r>
              <w:noBreakHyphen/>
              <w:t>4</w:t>
            </w:r>
          </w:p>
        </w:tc>
        <w:tc>
          <w:tcPr>
            <w:tcW w:w="2693" w:type="dxa"/>
          </w:tcPr>
          <w:p>
            <w:pPr>
              <w:pStyle w:val="nTable"/>
              <w:spacing w:after="40"/>
            </w:pPr>
            <w:r>
              <w:rPr>
                <w:snapToGrid w:val="0"/>
              </w:rPr>
              <w:t>r. 1 and 2: 17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2009</w:t>
            </w:r>
          </w:p>
        </w:tc>
        <w:tc>
          <w:tcPr>
            <w:tcW w:w="1276" w:type="dxa"/>
          </w:tcPr>
          <w:p>
            <w:pPr>
              <w:pStyle w:val="nTable"/>
              <w:spacing w:after="40"/>
            </w:pPr>
            <w:r>
              <w:t>23 Jun 2009 p. 2444</w:t>
            </w:r>
            <w:r>
              <w:noBreakHyphen/>
              <w:t>6</w:t>
            </w:r>
          </w:p>
        </w:tc>
        <w:tc>
          <w:tcPr>
            <w:tcW w:w="2693" w:type="dxa"/>
          </w:tcPr>
          <w:p>
            <w:pPr>
              <w:pStyle w:val="nTable"/>
              <w:spacing w:after="40"/>
              <w:rPr>
                <w:snapToGrid w:val="0"/>
              </w:rPr>
            </w:pPr>
            <w:r>
              <w:rPr>
                <w:snapToGrid w:val="0"/>
                <w:spacing w:val="-2"/>
              </w:rPr>
              <w:t>r. 1 and 2: 23 Jun 2009 (see r. 2(a));</w:t>
            </w:r>
            <w:r>
              <w:rPr>
                <w:snapToGrid w:val="0"/>
                <w:spacing w:val="-2"/>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2010</w:t>
            </w:r>
          </w:p>
        </w:tc>
        <w:tc>
          <w:tcPr>
            <w:tcW w:w="1276" w:type="dxa"/>
          </w:tcPr>
          <w:p>
            <w:pPr>
              <w:pStyle w:val="nTable"/>
              <w:spacing w:after="40"/>
            </w:pPr>
            <w:r>
              <w:t>25 Jun 2010 p. 2848</w:t>
            </w:r>
            <w:r>
              <w:noBreakHyphen/>
              <w:t>51</w:t>
            </w:r>
          </w:p>
        </w:tc>
        <w:tc>
          <w:tcPr>
            <w:tcW w:w="2693" w:type="dxa"/>
          </w:tcPr>
          <w:p>
            <w:pPr>
              <w:pStyle w:val="nTable"/>
              <w:spacing w:after="40"/>
              <w:rPr>
                <w:snapToGrid w:val="0"/>
                <w:spacing w:val="-2"/>
              </w:rPr>
            </w:pPr>
            <w:r>
              <w:rPr>
                <w:snapToGrid w:val="0"/>
                <w:spacing w:val="-2"/>
              </w:rPr>
              <w:t>r. 1 and 2: 25 Jun 2010 (see r. 2(a));</w:t>
            </w:r>
            <w:r>
              <w:rPr>
                <w:snapToGrid w:val="0"/>
                <w:spacing w:val="-2"/>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2011</w:t>
            </w:r>
          </w:p>
        </w:tc>
        <w:tc>
          <w:tcPr>
            <w:tcW w:w="1276" w:type="dxa"/>
          </w:tcPr>
          <w:p>
            <w:pPr>
              <w:pStyle w:val="nTable"/>
              <w:spacing w:after="40"/>
            </w:pPr>
            <w:r>
              <w:t>22 Jun 2011 p. 2357</w:t>
            </w:r>
            <w:r>
              <w:noBreakHyphen/>
              <w:t>60</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(No. 2) 2011</w:t>
            </w:r>
          </w:p>
        </w:tc>
        <w:tc>
          <w:tcPr>
            <w:tcW w:w="1276" w:type="dxa"/>
          </w:tcPr>
          <w:p>
            <w:pPr>
              <w:pStyle w:val="nTable"/>
              <w:spacing w:after="40"/>
            </w:pPr>
            <w:r>
              <w:t>30 Jun 2011 p. 2661</w:t>
            </w:r>
            <w:r>
              <w:noBreakHyphen/>
              <w:t>2</w:t>
            </w:r>
          </w:p>
        </w:tc>
        <w:tc>
          <w:tcPr>
            <w:tcW w:w="2693" w:type="dxa"/>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(No. 3) 2011</w:t>
            </w:r>
          </w:p>
        </w:tc>
        <w:tc>
          <w:tcPr>
            <w:tcW w:w="1276" w:type="dxa"/>
          </w:tcPr>
          <w:p>
            <w:pPr>
              <w:pStyle w:val="nTable"/>
              <w:spacing w:after="40"/>
            </w:pPr>
            <w:r>
              <w:t>10 Jan 2012 p. 409</w:t>
            </w:r>
            <w:r>
              <w:noBreakHyphen/>
              <w:t>11</w:t>
            </w:r>
          </w:p>
        </w:tc>
        <w:tc>
          <w:tcPr>
            <w:tcW w:w="2693" w:type="dxa"/>
          </w:tcPr>
          <w:p>
            <w:pPr>
              <w:pStyle w:val="nTable"/>
              <w:spacing w:after="40"/>
              <w:rPr>
                <w:snapToGrid w:val="0"/>
                <w:spacing w:val="-2"/>
              </w:rPr>
            </w:pPr>
            <w:r>
              <w:rPr>
                <w:snapToGrid w:val="0"/>
                <w:spacing w:val="-2"/>
              </w:rPr>
              <w:t>r. 1 and 2: 10 Jan 2012 (see r. 2(a));</w:t>
            </w:r>
            <w:r>
              <w:rPr>
                <w:snapToGrid w:val="0"/>
                <w:spacing w:val="-2"/>
              </w:rPr>
              <w:br/>
              <w:t>Regulations other than r. 1 and 2: 11 Jan 2012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Motor Vehicle Dealers (Licensing) Regulations 1974</w:t>
            </w:r>
            <w:r>
              <w:rPr>
                <w:b/>
              </w:rPr>
              <w:t xml:space="preserve"> as at 13 Apr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2012</w:t>
            </w:r>
          </w:p>
        </w:tc>
        <w:tc>
          <w:tcPr>
            <w:tcW w:w="1276" w:type="dxa"/>
          </w:tcPr>
          <w:p>
            <w:pPr>
              <w:pStyle w:val="nTable"/>
              <w:spacing w:after="40"/>
            </w:pPr>
            <w:r>
              <w:t>15 Jun 2012 p. 2591</w:t>
            </w:r>
            <w:r>
              <w:noBreakHyphen/>
              <w:t>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2013</w:t>
            </w:r>
          </w:p>
        </w:tc>
        <w:tc>
          <w:tcPr>
            <w:tcW w:w="1276" w:type="dxa"/>
          </w:tcPr>
          <w:p>
            <w:pPr>
              <w:pStyle w:val="nTable"/>
              <w:spacing w:after="40"/>
            </w:pPr>
            <w:r>
              <w:t>27 Jun 2013 p. 2687-90</w:t>
            </w:r>
          </w:p>
        </w:tc>
        <w:tc>
          <w:tcPr>
            <w:tcW w:w="2693" w:type="dxa"/>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(No. 3) 2014</w:t>
            </w:r>
          </w:p>
        </w:tc>
        <w:tc>
          <w:tcPr>
            <w:tcW w:w="1276" w:type="dxa"/>
          </w:tcPr>
          <w:p>
            <w:pPr>
              <w:pStyle w:val="nTable"/>
              <w:spacing w:after="40"/>
            </w:pPr>
            <w:r>
              <w:t>17 Jun 2014 p. 1968-70</w:t>
            </w:r>
          </w:p>
        </w:tc>
        <w:tc>
          <w:tcPr>
            <w:tcW w:w="2693" w:type="dxa"/>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Motor Vehicle Dealers (Licensing) Amendment Regulations 2014</w:t>
            </w:r>
          </w:p>
        </w:tc>
        <w:tc>
          <w:tcPr>
            <w:tcW w:w="1276" w:type="dxa"/>
          </w:tcPr>
          <w:p>
            <w:pPr>
              <w:pStyle w:val="nTable"/>
              <w:spacing w:after="40"/>
            </w:pPr>
            <w:r>
              <w:t>15 Jul 2014 p. 2461-2</w:t>
            </w:r>
          </w:p>
        </w:tc>
        <w:tc>
          <w:tcPr>
            <w:tcW w:w="2693" w:type="dxa"/>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lastRenderedPageBreak/>
              <w:t>Motor Vehicle Dealers (Licensing) Amendment Regulations (No. 2) 2014</w:t>
            </w:r>
          </w:p>
        </w:tc>
        <w:tc>
          <w:tcPr>
            <w:tcW w:w="1276" w:type="dxa"/>
            <w:shd w:val="clear" w:color="auto" w:fill="auto"/>
          </w:tcPr>
          <w:p>
            <w:pPr>
              <w:pStyle w:val="nTable"/>
              <w:spacing w:after="40"/>
            </w:pPr>
            <w:r>
              <w:t>8 Jan 2015 p. 85</w:t>
            </w:r>
            <w:r>
              <w:noBreakHyphen/>
              <w:t>6</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Motor Vehicle Dealers (Licensing) Amendment Regulations 2015</w:t>
            </w:r>
          </w:p>
        </w:tc>
        <w:tc>
          <w:tcPr>
            <w:tcW w:w="1276" w:type="dxa"/>
            <w:shd w:val="clear" w:color="auto" w:fill="auto"/>
          </w:tcPr>
          <w:p>
            <w:pPr>
              <w:pStyle w:val="nTable"/>
              <w:spacing w:after="40"/>
            </w:pPr>
            <w:r>
              <w:t>23 Jun 2015 p. 2178</w:t>
            </w:r>
            <w:r>
              <w:noBreakHyphen/>
              <w:t>9</w:t>
            </w:r>
          </w:p>
        </w:tc>
        <w:tc>
          <w:tcPr>
            <w:tcW w:w="2693" w:type="dxa"/>
            <w:shd w:val="clear" w:color="auto" w:fill="auto"/>
          </w:tcPr>
          <w:p>
            <w:pPr>
              <w:pStyle w:val="nTable"/>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6: The </w:t>
            </w:r>
            <w:r>
              <w:rPr>
                <w:b/>
                <w:bCs/>
                <w:i/>
                <w:noProof/>
                <w:snapToGrid w:val="0"/>
                <w:spacing w:val="-2"/>
              </w:rPr>
              <w:t>Motor Vehicle Dealers (Licensing) Regulations 1974</w:t>
            </w:r>
            <w:r>
              <w:rPr>
                <w:b/>
                <w:bCs/>
                <w:snapToGrid w:val="0"/>
                <w:spacing w:val="-2"/>
              </w:rPr>
              <w:t xml:space="preserve"> as at 7 Aug 2015</w:t>
            </w:r>
            <w:r>
              <w:rPr>
                <w:bCs/>
                <w:snapToGrid w:val="0"/>
                <w:spacing w:val="-2"/>
              </w:rPr>
              <w:t xml:space="preserve"> (includes amendments listed above)</w:t>
            </w:r>
          </w:p>
        </w:tc>
      </w:tr>
      <w:tr>
        <w:tc>
          <w:tcPr>
            <w:tcW w:w="3119" w:type="dxa"/>
            <w:tcBorders>
              <w:top w:val="nil"/>
              <w:bottom w:val="nil"/>
            </w:tcBorders>
          </w:tcPr>
          <w:p>
            <w:pPr>
              <w:pStyle w:val="nTable"/>
              <w:spacing w:after="40"/>
            </w:pPr>
            <w:r>
              <w:rPr>
                <w:i/>
              </w:rPr>
              <w:t>Commerce Regulations Amendment (Fees and Charges) Regulations 2016</w:t>
            </w:r>
            <w:r>
              <w:t xml:space="preserve"> Pt. 12</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14</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Licensing Provisions Regulations Amendment Regulations 2017 </w:t>
            </w:r>
            <w:r>
              <w:t>Pt. 4</w:t>
            </w:r>
          </w:p>
        </w:tc>
        <w:tc>
          <w:tcPr>
            <w:tcW w:w="1276" w:type="dxa"/>
          </w:tcPr>
          <w:p>
            <w:pPr>
              <w:pStyle w:val="nTable"/>
              <w:spacing w:after="40"/>
            </w:pPr>
            <w:r>
              <w:t>27 Jun 2017 p. 3408</w:t>
            </w:r>
            <w:r>
              <w:noBreakHyphen/>
              <w:t>16</w:t>
            </w:r>
          </w:p>
        </w:tc>
        <w:tc>
          <w:tcPr>
            <w:tcW w:w="2693" w:type="dxa"/>
          </w:tcPr>
          <w:p>
            <w:pPr>
              <w:pStyle w:val="nTable"/>
              <w:spacing w:after="40"/>
            </w:pPr>
            <w:r>
              <w:t>1 Jul 2017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14</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 xml:space="preserve">Commerce Regulations Amendment (Fees and Charges) Regulations 2019 </w:t>
            </w:r>
            <w:r>
              <w:t>Pt. 13</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9" w:type="dxa"/>
            <w:tcBorders>
              <w:top w:val="nil"/>
              <w:bottom w:val="nil"/>
            </w:tcBorders>
          </w:tcPr>
          <w:p>
            <w:pPr>
              <w:pStyle w:val="nTable"/>
              <w:spacing w:after="40"/>
              <w:rPr>
                <w:i/>
              </w:rPr>
            </w:pPr>
            <w:r>
              <w:rPr>
                <w:i/>
              </w:rPr>
              <w:t>Commerce Regulations Amendment (COVID-19 Response) Regulations (No. 2) 2020</w:t>
            </w:r>
            <w:r>
              <w:t xml:space="preserve"> Pt. 13</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9" w:type="dxa"/>
            <w:tcBorders>
              <w:top w:val="nil"/>
              <w:bottom w:val="nil"/>
            </w:tcBorders>
          </w:tcPr>
          <w:p>
            <w:pPr>
              <w:pStyle w:val="nTable"/>
              <w:spacing w:after="40"/>
              <w:rPr>
                <w:i/>
              </w:rPr>
            </w:pPr>
            <w:r>
              <w:rPr>
                <w:i/>
              </w:rPr>
              <w:t>Commerce Regulations Amendment (Fees and Charges) Regulations 2021</w:t>
            </w:r>
            <w:r>
              <w:t xml:space="preserve"> Pt. 15</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9" w:type="dxa"/>
            <w:tcBorders>
              <w:top w:val="nil"/>
              <w:bottom w:val="single" w:sz="4" w:space="0" w:color="auto"/>
            </w:tcBorders>
          </w:tcPr>
          <w:p>
            <w:pPr>
              <w:pStyle w:val="nTable"/>
              <w:spacing w:after="40"/>
            </w:pPr>
            <w:r>
              <w:rPr>
                <w:i/>
              </w:rPr>
              <w:t>Commerce Regulations Amendment (Motor Vehicle Dealers and Repairers) Regulations 2021</w:t>
            </w:r>
            <w:r>
              <w:t xml:space="preserve"> Pt. 3</w:t>
            </w:r>
          </w:p>
        </w:tc>
        <w:tc>
          <w:tcPr>
            <w:tcW w:w="1276" w:type="dxa"/>
            <w:tcBorders>
              <w:top w:val="nil"/>
              <w:bottom w:val="single" w:sz="4" w:space="0" w:color="auto"/>
            </w:tcBorders>
          </w:tcPr>
          <w:p>
            <w:pPr>
              <w:pStyle w:val="nTable"/>
              <w:spacing w:after="40"/>
            </w:pPr>
            <w:r>
              <w:t>SL 2021/164 24 Sep 2021</w:t>
            </w:r>
          </w:p>
        </w:tc>
        <w:tc>
          <w:tcPr>
            <w:tcW w:w="2693" w:type="dxa"/>
            <w:tcBorders>
              <w:top w:val="nil"/>
              <w:bottom w:val="single" w:sz="4" w:space="0" w:color="auto"/>
            </w:tcBorders>
          </w:tcPr>
          <w:p>
            <w:pPr>
              <w:pStyle w:val="nTable"/>
              <w:spacing w:after="40"/>
            </w:pPr>
            <w:r>
              <w:t>25 Sep 2021 (see r. 2(c))</w:t>
            </w:r>
          </w:p>
        </w:tc>
      </w:tr>
    </w:tbl>
    <w:p>
      <w:pPr>
        <w:pStyle w:val="nHeading3"/>
      </w:pPr>
      <w:bookmarkStart w:id="26" w:name="_Toc103776535"/>
      <w:r>
        <w:lastRenderedPageBreak/>
        <w:t>Uncommenced provisions table</w:t>
      </w:r>
      <w:bookmarkEnd w:id="2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2022</w:t>
            </w:r>
            <w:r>
              <w:t xml:space="preserve"> Pt. 13</w:t>
            </w:r>
          </w:p>
        </w:tc>
        <w:tc>
          <w:tcPr>
            <w:tcW w:w="1276" w:type="dxa"/>
          </w:tcPr>
          <w:p>
            <w:pPr>
              <w:pStyle w:val="nTable"/>
              <w:spacing w:after="40"/>
            </w:pPr>
            <w:r>
              <w:t>SL 2022/59 20 May 2022</w:t>
            </w:r>
          </w:p>
        </w:tc>
        <w:tc>
          <w:tcPr>
            <w:tcW w:w="2693" w:type="dxa"/>
          </w:tcPr>
          <w:p>
            <w:pPr>
              <w:pStyle w:val="nTable"/>
              <w:spacing w:after="40"/>
            </w:pPr>
            <w:r>
              <w:t>1 Jul 2022 (see r. 2(b))</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28" w:name="_Toc103756850"/>
      <w:bookmarkStart w:id="29" w:name="_Toc103756975"/>
      <w:bookmarkStart w:id="30" w:name="_Toc103776520"/>
      <w:bookmarkStart w:id="31" w:name="_Toc103776536"/>
      <w:r>
        <w:rPr>
          <w:sz w:val="28"/>
        </w:rPr>
        <w:lastRenderedPageBreak/>
        <w:t>Defined terms</w:t>
      </w:r>
      <w:bookmarkEnd w:id="28"/>
      <w:bookmarkEnd w:id="29"/>
      <w:bookmarkEnd w:id="30"/>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related company</w:t>
      </w:r>
      <w:r>
        <w:tab/>
        <w:t>9(1)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15"/>
      <w:gridCol w:w="5348"/>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rPr>
        <w:jc w:val="center"/>
      </w:trP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styleref CharSchText</w:instrText>
          </w:r>
          <w:r>
            <w:fldChar w:fldCharType="end"/>
          </w:r>
        </w:p>
      </w:tc>
    </w:tr>
    <w:tr>
      <w:trPr>
        <w:jc w:val="center"/>
      </w:trPr>
      <w:tc>
        <w:tcPr>
          <w:tcW w:w="1915" w:type="dxa"/>
        </w:tcPr>
        <w:p>
          <w:pPr>
            <w:pStyle w:val="Header"/>
            <w:spacing w:before="40"/>
          </w:pPr>
        </w:p>
      </w:tc>
      <w:tc>
        <w:tcPr>
          <w:tcW w:w="5348" w:type="dxa"/>
          <w:vAlign w:val="bottom"/>
        </w:tcPr>
        <w:p>
          <w:pPr>
            <w:pStyle w:val="Header"/>
            <w:spacing w:before="40"/>
          </w:pPr>
        </w:p>
      </w:tc>
    </w:tr>
    <w:tr>
      <w:trPr>
        <w:jc w:val="center"/>
      </w:trP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175"/>
      <w:gridCol w:w="208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rPr>
        <w:jc w:val="center"/>
      </w:trP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175" w:type="dxa"/>
          <w:vAlign w:val="bottom"/>
        </w:tcPr>
        <w:p>
          <w:pPr>
            <w:pStyle w:val="Header"/>
            <w:spacing w:before="40"/>
            <w:jc w:val="right"/>
          </w:pPr>
        </w:p>
      </w:tc>
      <w:tc>
        <w:tcPr>
          <w:tcW w:w="2088" w:type="dxa"/>
        </w:tcPr>
        <w:p>
          <w:pPr>
            <w:pStyle w:val="Header"/>
            <w:spacing w:before="40"/>
            <w:ind w:right="17"/>
            <w:jc w:val="right"/>
          </w:pPr>
        </w:p>
      </w:tc>
    </w:tr>
    <w:tr>
      <w:trPr>
        <w:jc w:val="center"/>
      </w:trP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2" w:name="DefinedTerms"/>
    <w:bookmarkEnd w:id="3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 w:name="Coversheet"/>
    <w:bookmarkEnd w:id="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E05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F23C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AED5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AD1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80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167A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B86C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96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2AD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52B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E944B3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8085859"/>
    <w:docVar w:name="WAFER_20140121110832" w:val="RemoveTocBookmarks,RemoveUnusedBookmarks,RemoveLanguageTags,UsedStyles,ResetPageSize,UpdateArrangement"/>
    <w:docVar w:name="WAFER_20140121110832_GUID" w:val="3b8a9eb7-a6e5-481c-9d5b-299510ea7ef8"/>
    <w:docVar w:name="WAFER_20140121114504" w:val="RemoveTocBookmarks,RunningHeaders"/>
    <w:docVar w:name="WAFER_20140121114504_GUID" w:val="86942afa-2e8b-4bae-be1d-d739a622a288"/>
    <w:docVar w:name="WAFER_20140623121723" w:val="RemoveTocBookmarks,RemoveUnusedBookmarks,RemoveLanguageTags,UsedStyles,ResetPageSize,UpdateArrangement"/>
    <w:docVar w:name="WAFER_20140623121723_GUID" w:val="b249d327-92f9-4b98-8da2-b10d50aa3dcb"/>
    <w:docVar w:name="WAFER_20140804112138" w:val="RemoveTocBookmarks,RunningHeaders"/>
    <w:docVar w:name="WAFER_20140804112138_GUID" w:val="5255c59e-faed-4448-a5c2-2dc49ab37367"/>
    <w:docVar w:name="WAFER_20150107135801" w:val="RemoveTocBookmarks,RemoveUnusedBookmarks,RemoveLanguageTags,UsedStyles,ResetPageSize,UpdateArrangement"/>
    <w:docVar w:name="WAFER_20150107135801_GUID" w:val="720eb624-2de0-4b1b-9734-34df64d10805"/>
    <w:docVar w:name="WAFER_20150415174910" w:val="ResetPageSize,UpdateArrangement,UpdateNTable"/>
    <w:docVar w:name="WAFER_20150415174910_GUID" w:val="14da41ec-a753-4da3-9662-4606cda6bd71"/>
    <w:docVar w:name="WAFER_20150715142710" w:val="RemoveTocBookmarks,RemoveUnusedBookmarks,RemoveLanguageTags,UsedStyles,RemoveTrackChanges"/>
    <w:docVar w:name="WAFER_20150715142710_GUID" w:val="6b50b00b-ad43-4076-a001-599a4694a61b"/>
    <w:docVar w:name="WAFER_20150715142723" w:val="RemoveTocBookmarks,RemoveLanguageTags,RemoveTrackChanges,RunningHeaders"/>
    <w:docVar w:name="WAFER_20150715142723_GUID" w:val="4b3bfc63-921c-448d-8b60-4de03458b30f"/>
    <w:docVar w:name="WAFER_20151106151349" w:val="UpdateStyles,UsedStyles"/>
    <w:docVar w:name="WAFER_20151106151349_GUID" w:val="550a9b39-7bea-412f-bfbd-8241555dd8dd"/>
    <w:docVar w:name="WAFER_20160630102954" w:val="RemoveTocBookmarks,RemoveUnusedBookmarks,RemoveLanguageTags,UsedStyles,ResetPageSize"/>
    <w:docVar w:name="WAFER_20160630102954_GUID" w:val="d65820ed-a2c4-4202-b8d2-559912a6b1ea"/>
    <w:docVar w:name="WAFER_20190618102628" w:val="RemoveTocBookmarks,RemoveUnusedBookmarks,RemoveLanguageTags,ResetPageSize,RunningHeaders,UpdateStyles,UsedStyles"/>
    <w:docVar w:name="WAFER_20190618102628_GUID" w:val="8252436d-d676-49ea-86d0-efc9eff5c91e"/>
    <w:docVar w:name="WAFER_20190620122953" w:val="RemoveTocBookmarks,RemoveUnusedBookmarks,RemoveLanguageTags,ResetPageSize,RunningHeaders,UpdateStyles,UsedStyles"/>
    <w:docVar w:name="WAFER_20190620122953_GUID" w:val="895b28bf-fdeb-4d44-bb7d-e65c414b36f9"/>
    <w:docVar w:name="WAFER_202009031525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03152549_GUID" w:val="e3017bf6-3ba7-497f-9e33-d7277b230219"/>
    <w:docVar w:name="WAFER_202010201213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21356_GUID" w:val="e39827ea-cb82-4a7d-9e9b-46a3462e9a29"/>
    <w:docVar w:name="WAFER_20210616095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5013_GUID" w:val="c530b303-cad4-420d-8b8a-600868fa0b04"/>
    <w:docVar w:name="WAFER_20210624082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726_GUID" w:val="07c300e3-ce12-423b-9426-42ba81445dce"/>
    <w:docVar w:name="WAFER_20210922092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092317_GUID" w:val="7bd21e74-9fa3-453a-a1c5-f6665d76cb37"/>
    <w:docVar w:name="WAFER_202205180858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5859_GUID" w:val="a2e6fe40-7de8-444d-8e24-7cb1385d46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2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3331</Words>
  <Characters>16025</Characters>
  <Application>Microsoft Office Word</Application>
  <DocSecurity>0</DocSecurity>
  <Lines>728</Lines>
  <Paragraphs>460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1974 - 06-l0-00</dc:title>
  <dc:subject/>
  <dc:creator/>
  <cp:keywords/>
  <dc:description/>
  <cp:lastModifiedBy>Master Repository Process</cp:lastModifiedBy>
  <cp:revision>4</cp:revision>
  <cp:lastPrinted>2015-09-01T03:58:00Z</cp:lastPrinted>
  <dcterms:created xsi:type="dcterms:W3CDTF">2022-05-19T08:43:00Z</dcterms:created>
  <dcterms:modified xsi:type="dcterms:W3CDTF">2022-05-19T08:43:00Z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DocumentType">
    <vt:lpwstr>Reg</vt:lpwstr>
  </property>
  <property fmtid="{D5CDD505-2E9C-101B-9397-08002B2CF9AE}" pid="4" name="OwlsUID">
    <vt:i4>4648</vt:i4>
  </property>
  <property fmtid="{D5CDD505-2E9C-101B-9397-08002B2CF9AE}" pid="5" name="ReprintedAsAt">
    <vt:filetime>2015-08-06T16:00:00Z</vt:filetime>
  </property>
  <property fmtid="{D5CDD505-2E9C-101B-9397-08002B2CF9AE}" pid="6" name="ReprintNo">
    <vt:lpwstr>6</vt:lpwstr>
  </property>
  <property fmtid="{D5CDD505-2E9C-101B-9397-08002B2CF9AE}" pid="7" name="AsAtDate">
    <vt:lpwstr>20 May 2022</vt:lpwstr>
  </property>
  <property fmtid="{D5CDD505-2E9C-101B-9397-08002B2CF9AE}" pid="8" name="Suffix">
    <vt:lpwstr>06-l0-00</vt:lpwstr>
  </property>
  <property fmtid="{D5CDD505-2E9C-101B-9397-08002B2CF9AE}" pid="9" name="CommencementDate">
    <vt:lpwstr>20220520</vt:lpwstr>
  </property>
</Properties>
</file>