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_Toc103775950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_Toc103775951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_Toc103775952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_Toc103775953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_Toc103775954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_Toc103775955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_Toc103775956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_Toc103775957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_Toc103775958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_Toc103775959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_Toc103775960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_Toc103775961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_Toc103775962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_Toc103775963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_Toc103775964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_Toc103775965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_Toc103775966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_Toc103775967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_Toc103775968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_Toc103775969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_Toc103775970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_Toc103775971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_Toc103775972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_Toc103775973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_Toc103775974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_Toc103775975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_Toc103775976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_Toc103775977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_Toc103775978 \h </w:instrText>
      </w:r>
      <w:r>
        <w:fldChar w:fldCharType="separate"/>
      </w:r>
      <w:r>
        <w:t>17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keepNext w:val="0"/>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keepNext w:val="0"/>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keepNext w:val="0"/>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keepNext w:val="0"/>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keepNext w:val="0"/>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keepNext w:val="0"/>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keepNext w:val="0"/>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keepNext w:val="0"/>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keepNext w:val="0"/>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4"/>
        <w:keepNext w:val="0"/>
        <w:tabs>
          <w:tab w:val="right" w:leader="dot" w:pos="7077"/>
        </w:tabs>
        <w:rPr>
          <w:rFonts w:asciiTheme="minorHAnsi" w:eastAsiaTheme="minorEastAsia" w:hAnsiTheme="minorHAnsi" w:cstheme="minorBidi"/>
          <w:b w:val="0"/>
          <w:szCs w:val="22"/>
        </w:rPr>
      </w:pPr>
      <w:r>
        <w:t>Part 3</w:t>
      </w:r>
      <w:r>
        <w:rPr>
          <w:b w:val="0"/>
        </w:rPr>
        <w:t> — </w:t>
      </w:r>
      <w:r>
        <w:t>Other offence</w:t>
      </w:r>
    </w:p>
    <w:p>
      <w:pPr>
        <w:pStyle w:val="TOC2"/>
        <w:tabs>
          <w:tab w:val="right" w:leader="dot" w:pos="7077"/>
        </w:tabs>
        <w:rPr>
          <w:rFonts w:asciiTheme="minorHAnsi" w:eastAsiaTheme="minorEastAsia" w:hAnsiTheme="minorHAnsi" w:cstheme="minorBidi"/>
          <w:b w:val="0"/>
          <w:sz w:val="22"/>
          <w:szCs w:val="22"/>
        </w:rPr>
      </w:pPr>
      <w:r>
        <w:lastRenderedPageBreak/>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_Toc103775992 \h </w:instrText>
      </w:r>
      <w:r>
        <w:fldChar w:fldCharType="separate"/>
      </w:r>
      <w:r>
        <w:t>31</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_Toc103775993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_Toc103775995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_Toc103775996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_Toc103775997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0377595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03775951"/>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03775952"/>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03775953"/>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03775954"/>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03775955"/>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03775956"/>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lastRenderedPageBreak/>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03775957"/>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03775958"/>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03775959"/>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03775960"/>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03775961"/>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lastRenderedPageBreak/>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03775962"/>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03775963"/>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lastRenderedPageBreak/>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03775964"/>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03775965"/>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w:t>
      </w:r>
      <w:r>
        <w:rPr>
          <w:snapToGrid w:val="0"/>
        </w:rPr>
        <w:lastRenderedPageBreak/>
        <w:t>(d),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03775966"/>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lastRenderedPageBreak/>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03775967"/>
      <w:r>
        <w:rPr>
          <w:rStyle w:val="CharSectno"/>
        </w:rPr>
        <w:lastRenderedPageBreak/>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03775968"/>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03775969"/>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03775970"/>
      <w:r>
        <w:rPr>
          <w:rStyle w:val="CharSectno"/>
        </w:rPr>
        <w:lastRenderedPageBreak/>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03775971"/>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03775972"/>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103775973"/>
      <w:r>
        <w:rPr>
          <w:rStyle w:val="CharSectno"/>
        </w:rPr>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lastRenderedPageBreak/>
        <w:tab/>
        <w:t>[Regulation 13 inserted: Gazette 29 Oct 1982 p. 4323; amended: Gazette 23 May 1997 p. 2420.]</w:t>
      </w:r>
    </w:p>
    <w:p>
      <w:pPr>
        <w:pStyle w:val="Heading5"/>
        <w:rPr>
          <w:snapToGrid w:val="0"/>
        </w:rPr>
      </w:pPr>
      <w:bookmarkStart w:id="27" w:name="_Toc103775974"/>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03775975"/>
      <w:r>
        <w:rPr>
          <w:rStyle w:val="CharSectno"/>
        </w:rPr>
        <w:lastRenderedPageBreak/>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103775976"/>
      <w:r>
        <w:rPr>
          <w:rStyle w:val="CharSectno"/>
        </w:rPr>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03775977"/>
      <w:r>
        <w:rPr>
          <w:rStyle w:val="CharSectno"/>
        </w:rPr>
        <w:lastRenderedPageBreak/>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03775978"/>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 w:name="_Toc103697829"/>
      <w:bookmarkStart w:id="33" w:name="_Toc103698041"/>
      <w:bookmarkStart w:id="34" w:name="_Toc103775979"/>
      <w:r>
        <w:rPr>
          <w:rStyle w:val="CharSchNo"/>
        </w:rPr>
        <w:lastRenderedPageBreak/>
        <w:t>Schedule 1</w:t>
      </w:r>
      <w:r>
        <w:t> — </w:t>
      </w:r>
      <w:r>
        <w:rPr>
          <w:rStyle w:val="CharSchText"/>
        </w:rPr>
        <w:t>Fees</w:t>
      </w:r>
      <w:bookmarkEnd w:id="32"/>
      <w:bookmarkEnd w:id="33"/>
      <w:bookmarkEnd w:id="34"/>
    </w:p>
    <w:p>
      <w:pPr>
        <w:pStyle w:val="yShoulderClause"/>
      </w:pPr>
      <w:r>
        <w:t>[r. 4 and 4A]</w:t>
      </w:r>
    </w:p>
    <w:p>
      <w:pPr>
        <w:pStyle w:val="yFootnoteheading"/>
        <w:spacing w:after="120"/>
      </w:pPr>
      <w:r>
        <w:tab/>
        <w:t>[Heading inserted: SL 2021/86 r. 69.]</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903.00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747.00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29.50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12.20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121.00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2021/86 r. 69.]</w:t>
      </w:r>
    </w:p>
    <w:p>
      <w:pPr>
        <w:pStyle w:val="yScheduleHeading"/>
      </w:pPr>
      <w:bookmarkStart w:id="35" w:name="_Toc103697830"/>
      <w:bookmarkStart w:id="36" w:name="_Toc103698042"/>
      <w:bookmarkStart w:id="37" w:name="_Toc103775980"/>
      <w:r>
        <w:rPr>
          <w:rStyle w:val="CharSchNo"/>
        </w:rPr>
        <w:lastRenderedPageBreak/>
        <w:t>Schedule 1A</w:t>
      </w:r>
      <w:r>
        <w:rPr>
          <w:rStyle w:val="CharSDivNo"/>
        </w:rPr>
        <w:t> </w:t>
      </w:r>
      <w:r>
        <w:t>—</w:t>
      </w:r>
      <w:r>
        <w:rPr>
          <w:rStyle w:val="CharSDivText"/>
        </w:rPr>
        <w:t> </w:t>
      </w:r>
      <w:r>
        <w:rPr>
          <w:rStyle w:val="CharSchText"/>
        </w:rPr>
        <w:t>Professional development subjects</w:t>
      </w:r>
      <w:bookmarkEnd w:id="35"/>
      <w:bookmarkEnd w:id="36"/>
      <w:bookmarkEnd w:id="37"/>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38" w:name="_Toc103697831"/>
      <w:bookmarkStart w:id="39" w:name="_Toc103698043"/>
      <w:bookmarkStart w:id="40" w:name="_Toc103775981"/>
      <w:r>
        <w:rPr>
          <w:rStyle w:val="CharSchNo"/>
        </w:rPr>
        <w:lastRenderedPageBreak/>
        <w:t>Schedule 2</w:t>
      </w:r>
      <w:r>
        <w:t> — </w:t>
      </w:r>
      <w:r>
        <w:rPr>
          <w:rStyle w:val="CharSchText"/>
        </w:rPr>
        <w:t>Notice under section 26A or 26B of the Act</w:t>
      </w:r>
      <w:bookmarkEnd w:id="38"/>
      <w:bookmarkEnd w:id="39"/>
      <w:bookmarkEnd w:id="40"/>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103697832"/>
      <w:bookmarkStart w:id="42" w:name="_Toc103698044"/>
      <w:bookmarkStart w:id="43" w:name="_Toc103775982"/>
      <w:r>
        <w:rPr>
          <w:rStyle w:val="CharSchNo"/>
        </w:rPr>
        <w:lastRenderedPageBreak/>
        <w:t>Schedule 3</w:t>
      </w:r>
      <w:r>
        <w:t> — </w:t>
      </w:r>
      <w:r>
        <w:rPr>
          <w:rStyle w:val="CharSchText"/>
        </w:rPr>
        <w:t>Documents that a real estate settlement agent may draw or prepare</w:t>
      </w:r>
      <w:bookmarkEnd w:id="41"/>
      <w:bookmarkEnd w:id="42"/>
      <w:bookmarkEnd w:id="43"/>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4" w:name="_Toc103697833"/>
      <w:bookmarkStart w:id="45" w:name="_Toc103698045"/>
      <w:bookmarkStart w:id="46" w:name="_Toc103775983"/>
      <w:r>
        <w:rPr>
          <w:rStyle w:val="CharSDivNo"/>
        </w:rPr>
        <w:t>Part A</w:t>
      </w:r>
      <w:r>
        <w:rPr>
          <w:snapToGrid w:val="0"/>
        </w:rPr>
        <w:t> — </w:t>
      </w:r>
      <w:r>
        <w:rPr>
          <w:rStyle w:val="CharSDivText"/>
        </w:rPr>
        <w:t>Offer and acceptance</w:t>
      </w:r>
      <w:bookmarkEnd w:id="44"/>
      <w:bookmarkEnd w:id="45"/>
      <w:bookmarkEnd w:id="46"/>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47" w:name="_Toc103697834"/>
      <w:bookmarkStart w:id="48" w:name="_Toc103698046"/>
      <w:bookmarkStart w:id="49" w:name="_Toc103775984"/>
      <w:r>
        <w:rPr>
          <w:rStyle w:val="CharSDivNo"/>
        </w:rPr>
        <w:t>Part B</w:t>
      </w:r>
      <w:r>
        <w:rPr>
          <w:snapToGrid w:val="0"/>
        </w:rPr>
        <w:t> — </w:t>
      </w:r>
      <w:r>
        <w:rPr>
          <w:rStyle w:val="CharSDivText"/>
        </w:rPr>
        <w:t>Requisitions on title</w:t>
      </w:r>
      <w:bookmarkEnd w:id="47"/>
      <w:bookmarkEnd w:id="48"/>
      <w:bookmarkEnd w:id="4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lastRenderedPageBreak/>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0" w:name="_Toc103697835"/>
      <w:bookmarkStart w:id="51" w:name="_Toc103698047"/>
      <w:bookmarkStart w:id="52" w:name="_Toc103775985"/>
      <w:r>
        <w:rPr>
          <w:rStyle w:val="CharSDivNo"/>
        </w:rPr>
        <w:t>Part C</w:t>
      </w:r>
      <w:r>
        <w:rPr>
          <w:snapToGrid w:val="0"/>
        </w:rPr>
        <w:t> — </w:t>
      </w:r>
      <w:r>
        <w:rPr>
          <w:rStyle w:val="CharSDivText"/>
        </w:rPr>
        <w:t>Documents for registration or lodgement</w:t>
      </w:r>
      <w:bookmarkEnd w:id="50"/>
      <w:bookmarkEnd w:id="51"/>
      <w:bookmarkEnd w:id="5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lastRenderedPageBreak/>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lastRenderedPageBreak/>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lastRenderedPageBreak/>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lastRenderedPageBreak/>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53" w:name="_Toc103697836"/>
      <w:bookmarkStart w:id="54" w:name="_Toc103698048"/>
      <w:bookmarkStart w:id="55" w:name="_Toc103775986"/>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53"/>
      <w:bookmarkEnd w:id="54"/>
      <w:bookmarkEnd w:id="5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56" w:name="_Toc103697837"/>
      <w:bookmarkStart w:id="57" w:name="_Toc103698049"/>
      <w:bookmarkStart w:id="58" w:name="_Toc103775987"/>
      <w:r>
        <w:rPr>
          <w:rStyle w:val="CharSchNo"/>
        </w:rPr>
        <w:lastRenderedPageBreak/>
        <w:t>Schedule 5</w:t>
      </w:r>
      <w:r>
        <w:t> — </w:t>
      </w:r>
      <w:r>
        <w:rPr>
          <w:rStyle w:val="CharSchText"/>
        </w:rPr>
        <w:t>Prescribed offences and modified penalties</w:t>
      </w:r>
      <w:bookmarkEnd w:id="56"/>
      <w:bookmarkEnd w:id="57"/>
      <w:bookmarkEnd w:id="58"/>
    </w:p>
    <w:p>
      <w:pPr>
        <w:pStyle w:val="yShoulderClause"/>
      </w:pPr>
      <w:r>
        <w:t>[r. 15]</w:t>
      </w:r>
    </w:p>
    <w:p>
      <w:pPr>
        <w:pStyle w:val="yFootnoteheading"/>
      </w:pPr>
      <w:r>
        <w:tab/>
        <w:t>[Heading inserted: Gazette 23 Dec 2008 p. 5470.]</w:t>
      </w:r>
    </w:p>
    <w:p>
      <w:pPr>
        <w:pStyle w:val="yHeading3"/>
      </w:pPr>
      <w:bookmarkStart w:id="59" w:name="_Toc103697838"/>
      <w:bookmarkStart w:id="60" w:name="_Toc103698050"/>
      <w:bookmarkStart w:id="61" w:name="_Toc103775988"/>
      <w:r>
        <w:rPr>
          <w:rStyle w:val="CharSDivNo"/>
        </w:rPr>
        <w:t>Part 1</w:t>
      </w:r>
      <w:r>
        <w:rPr>
          <w:b w:val="0"/>
        </w:rPr>
        <w:t> — </w:t>
      </w:r>
      <w:r>
        <w:rPr>
          <w:rStyle w:val="CharSDivText"/>
        </w:rPr>
        <w:t>Offences under section 65</w:t>
      </w:r>
      <w:bookmarkEnd w:id="59"/>
      <w:bookmarkEnd w:id="60"/>
      <w:bookmarkEnd w:id="61"/>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2" w:name="_Toc103697839"/>
      <w:bookmarkStart w:id="63" w:name="_Toc103698051"/>
      <w:bookmarkStart w:id="64" w:name="_Toc103775989"/>
      <w:r>
        <w:rPr>
          <w:rStyle w:val="CharSDivNo"/>
        </w:rPr>
        <w:t>Part 2</w:t>
      </w:r>
      <w:r>
        <w:rPr>
          <w:b w:val="0"/>
        </w:rPr>
        <w:t> — </w:t>
      </w:r>
      <w:r>
        <w:rPr>
          <w:rStyle w:val="CharSDivText"/>
        </w:rPr>
        <w:t>Offences under section 120</w:t>
      </w:r>
      <w:bookmarkEnd w:id="62"/>
      <w:bookmarkEnd w:id="63"/>
      <w:bookmarkEnd w:id="64"/>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65" w:name="_Toc103697840"/>
      <w:bookmarkStart w:id="66" w:name="_Toc103698052"/>
      <w:bookmarkStart w:id="67" w:name="_Toc103775990"/>
      <w:r>
        <w:rPr>
          <w:rStyle w:val="CharSDivNo"/>
        </w:rPr>
        <w:lastRenderedPageBreak/>
        <w:t>Part 3</w:t>
      </w:r>
      <w:r>
        <w:rPr>
          <w:b w:val="0"/>
        </w:rPr>
        <w:t> — </w:t>
      </w:r>
      <w:r>
        <w:rPr>
          <w:rStyle w:val="CharSDivText"/>
        </w:rPr>
        <w:t>Other offence</w:t>
      </w:r>
      <w:bookmarkEnd w:id="65"/>
      <w:bookmarkEnd w:id="66"/>
      <w:bookmarkEnd w:id="67"/>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68" w:name="_Toc103697841"/>
      <w:bookmarkStart w:id="69" w:name="_Toc103698053"/>
      <w:bookmarkStart w:id="70" w:name="_Toc103775991"/>
      <w:r>
        <w:rPr>
          <w:rStyle w:val="CharSchNo"/>
        </w:rPr>
        <w:lastRenderedPageBreak/>
        <w:t>Schedule 6</w:t>
      </w:r>
      <w:r>
        <w:t> — </w:t>
      </w:r>
      <w:r>
        <w:rPr>
          <w:rStyle w:val="CharSchText"/>
        </w:rPr>
        <w:t>Forms</w:t>
      </w:r>
      <w:bookmarkEnd w:id="68"/>
      <w:bookmarkEnd w:id="69"/>
      <w:bookmarkEnd w:id="70"/>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1" w:name="_Toc103775992"/>
      <w:r>
        <w:rPr>
          <w:rStyle w:val="CharSDivNo"/>
          <w:sz w:val="22"/>
          <w:szCs w:val="22"/>
        </w:rPr>
        <w:t>Form 1</w:t>
      </w:r>
      <w:r>
        <w:rPr>
          <w:szCs w:val="22"/>
        </w:rPr>
        <w:t> — </w:t>
      </w:r>
      <w:r>
        <w:rPr>
          <w:rStyle w:val="CharSDivText"/>
          <w:sz w:val="22"/>
          <w:szCs w:val="22"/>
        </w:rPr>
        <w:t>Infringement notice</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72" w:name="_Toc103775993"/>
      <w:r>
        <w:rPr>
          <w:rStyle w:val="CharSDivNo"/>
          <w:sz w:val="22"/>
          <w:szCs w:val="22"/>
        </w:rPr>
        <w:lastRenderedPageBreak/>
        <w:t>Form 2</w:t>
      </w:r>
      <w:r>
        <w:t> — </w:t>
      </w:r>
      <w:r>
        <w:rPr>
          <w:rStyle w:val="CharSDivText"/>
          <w:sz w:val="22"/>
          <w:szCs w:val="22"/>
        </w:rPr>
        <w:t>Withdrawal of infringement notice</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4" w:name="_Toc103697844"/>
      <w:bookmarkStart w:id="75" w:name="_Toc103698056"/>
      <w:bookmarkStart w:id="76" w:name="_Toc103775994"/>
      <w:r>
        <w:lastRenderedPageBreak/>
        <w:t>Notes</w:t>
      </w:r>
      <w:bookmarkEnd w:id="74"/>
      <w:bookmarkEnd w:id="75"/>
      <w:bookmarkEnd w:id="76"/>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7" w:name="_Toc103775995"/>
      <w: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lastRenderedPageBreak/>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lastRenderedPageBreak/>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lastRenderedPageBreak/>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lastRenderedPageBreak/>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Borders>
              <w:bottom w:val="single" w:sz="4" w:space="0" w:color="auto"/>
            </w:tcBorders>
          </w:tcPr>
          <w:p>
            <w:pPr>
              <w:pStyle w:val="nTable"/>
              <w:spacing w:after="40"/>
              <w:rPr>
                <w:i/>
              </w:rPr>
            </w:pPr>
            <w:r>
              <w:rPr>
                <w:i/>
              </w:rPr>
              <w:t>Settlement Agents Amendment Regulations 2021</w:t>
            </w:r>
          </w:p>
        </w:tc>
        <w:tc>
          <w:tcPr>
            <w:tcW w:w="1276" w:type="dxa"/>
            <w:tcBorders>
              <w:bottom w:val="single" w:sz="4" w:space="0" w:color="auto"/>
            </w:tcBorders>
          </w:tcPr>
          <w:p>
            <w:pPr>
              <w:pStyle w:val="nTable"/>
              <w:spacing w:after="40"/>
            </w:pPr>
            <w:r>
              <w:t>SL 2021/202 3 Dec 2021</w:t>
            </w:r>
          </w:p>
        </w:tc>
        <w:tc>
          <w:tcPr>
            <w:tcW w:w="2693" w:type="dxa"/>
            <w:tcBorders>
              <w:bottom w:val="single" w:sz="4" w:space="0" w:color="auto"/>
            </w:tcBorders>
          </w:tcPr>
          <w:p>
            <w:pPr>
              <w:pStyle w:val="nTable"/>
              <w:spacing w:after="40"/>
            </w:pPr>
            <w:r>
              <w:t>r. 1 and 2: 3 Dec 2021 (see r. 2(a));</w:t>
            </w:r>
            <w:r>
              <w:br/>
              <w:t>Regulations other than r. 1 and 2: 4 Dec 2021 (see r. 2(b))</w:t>
            </w:r>
          </w:p>
        </w:tc>
      </w:tr>
    </w:tbl>
    <w:p>
      <w:pPr>
        <w:pStyle w:val="nHeading3"/>
      </w:pPr>
      <w:bookmarkStart w:id="78" w:name="_Toc103775996"/>
      <w:r>
        <w:lastRenderedPageBreak/>
        <w:t>Uncommenced provisions table</w:t>
      </w:r>
      <w:bookmarkEnd w:id="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17</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79" w:name="_Toc103775997"/>
      <w:r>
        <w:t>Other notes</w:t>
      </w:r>
      <w:bookmarkEnd w:id="79"/>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lastRenderedPageBreak/>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1" w:name="_Toc103697847"/>
      <w:bookmarkStart w:id="82" w:name="_Toc103698060"/>
      <w:bookmarkStart w:id="83" w:name="_Toc103775998"/>
      <w:r>
        <w:rPr>
          <w:sz w:val="28"/>
        </w:rPr>
        <w:lastRenderedPageBreak/>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6353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B4C4-0111-4E1E-A79E-CEE4D0F4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9429</Words>
  <Characters>46110</Characters>
  <Application>Microsoft Office Word</Application>
  <DocSecurity>0</DocSecurity>
  <Lines>1646</Lines>
  <Paragraphs>1068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1982 - 07-p0-00</dc:title>
  <dc:subject/>
  <dc:creator/>
  <cp:keywords/>
  <dc:description/>
  <cp:lastModifiedBy>Master Repository Process</cp:lastModifiedBy>
  <cp:revision>4</cp:revision>
  <cp:lastPrinted>2016-11-04T01:14:00Z</cp:lastPrinted>
  <dcterms:created xsi:type="dcterms:W3CDTF">2022-05-19T08:56:00Z</dcterms:created>
  <dcterms:modified xsi:type="dcterms:W3CDTF">2022-05-19T08:56:00Z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20 May 2022</vt:lpwstr>
  </property>
  <property fmtid="{D5CDD505-2E9C-101B-9397-08002B2CF9AE}" pid="8" name="Suffix">
    <vt:lpwstr>07-p0-00</vt:lpwstr>
  </property>
  <property fmtid="{D5CDD505-2E9C-101B-9397-08002B2CF9AE}" pid="9" name="CommencementDate">
    <vt:lpwstr>20220520</vt:lpwstr>
  </property>
</Properties>
</file>