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COVID-19 Response Legislation Amendment (Extension of Expiring Provisions) Act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COVID-19 Response Legislation Amendment (Extension of Expiring Provisions) Act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_Toc104551950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_Toc104551951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The Criminal Code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_Toc104551953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318 amended</w:t>
      </w:r>
      <w:r>
        <w:tab/>
      </w:r>
      <w:r>
        <w:fldChar w:fldCharType="begin"/>
      </w:r>
      <w:r>
        <w:instrText xml:space="preserve"> PAGEREF _Toc104551954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338B amended</w:t>
      </w:r>
      <w:r>
        <w:tab/>
      </w:r>
      <w:r>
        <w:fldChar w:fldCharType="begin"/>
      </w:r>
      <w:r>
        <w:instrText xml:space="preserve"> PAGEREF _Toc104551955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Criminal Code Amendment (COVID</w:t>
      </w:r>
      <w:r>
        <w:rPr>
          <w:i/>
        </w:rPr>
        <w:noBreakHyphen/>
        <w:t>19 Response) Act 2020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Act amended</w:t>
      </w:r>
      <w:r>
        <w:tab/>
      </w:r>
      <w:r>
        <w:fldChar w:fldCharType="begin"/>
      </w:r>
      <w:r>
        <w:instrText xml:space="preserve"> PAGEREF _Toc104551957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2 amended</w:t>
      </w:r>
      <w:r>
        <w:tab/>
      </w:r>
      <w:r>
        <w:fldChar w:fldCharType="begin"/>
      </w:r>
      <w:r>
        <w:instrText xml:space="preserve"> PAGEREF _Toc104551958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</w:rPr>
        <w:t>Emergency Management Amendment (COVID</w:t>
      </w:r>
      <w:r>
        <w:rPr>
          <w:i/>
        </w:rPr>
        <w:noBreakHyphen/>
        <w:t>19 Response) Act 2020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Act amended</w:t>
      </w:r>
      <w:r>
        <w:tab/>
      </w:r>
      <w:r>
        <w:fldChar w:fldCharType="begin"/>
      </w:r>
      <w:r>
        <w:instrText xml:space="preserve"> PAGEREF _Toc104551960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2 amended</w:t>
      </w:r>
      <w:r>
        <w:tab/>
      </w:r>
      <w:r>
        <w:fldChar w:fldCharType="begin"/>
      </w:r>
      <w:r>
        <w:instrText xml:space="preserve"> PAGEREF _Toc104551961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COVID</w:t>
      </w:r>
      <w:r>
        <w:noBreakHyphen/>
        <w:t>19 Response Legislation Amendment (Extension of Expiring Provisions) Act 2022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15 of 2022</w:t>
      </w:r>
    </w:p>
    <w:p>
      <w:pPr>
        <w:pStyle w:val="LongTitle"/>
      </w:pPr>
      <w:r>
        <w:t>An Act to amend the following to extend the operation of provisions relating to the COVID</w:t>
      </w:r>
      <w:r>
        <w:noBreakHyphen/>
        <w:t xml:space="preserve">19 pandemic — </w:t>
      </w:r>
    </w:p>
    <w:p>
      <w:pPr>
        <w:pStyle w:val="LongTitle"/>
        <w:numPr>
          <w:ilvl w:val="0"/>
          <w:numId w:val="3"/>
        </w:numPr>
      </w:pPr>
      <w:r>
        <w:rPr>
          <w:i/>
        </w:rPr>
        <w:t>The Criminal Code</w:t>
      </w:r>
      <w:r>
        <w:t>;</w:t>
      </w:r>
    </w:p>
    <w:p>
      <w:pPr>
        <w:pStyle w:val="LongTitle"/>
        <w:numPr>
          <w:ilvl w:val="0"/>
          <w:numId w:val="3"/>
        </w:numPr>
      </w:pPr>
      <w:r>
        <w:t xml:space="preserve">the </w:t>
      </w:r>
      <w:r>
        <w:rPr>
          <w:i/>
        </w:rPr>
        <w:t>Criminal Code Amendment (COVID</w:t>
      </w:r>
      <w:r>
        <w:rPr>
          <w:i/>
        </w:rPr>
        <w:noBreakHyphen/>
        <w:t>19 Response) Act 2020</w:t>
      </w:r>
      <w:r>
        <w:t>;</w:t>
      </w:r>
    </w:p>
    <w:p>
      <w:pPr>
        <w:pStyle w:val="LongTitle"/>
        <w:numPr>
          <w:ilvl w:val="0"/>
          <w:numId w:val="3"/>
        </w:numPr>
      </w:pPr>
      <w:r>
        <w:t xml:space="preserve">the </w:t>
      </w:r>
      <w:r>
        <w:rPr>
          <w:i/>
        </w:rPr>
        <w:t>Emergency Management Amendment (COVID</w:t>
      </w:r>
      <w:r>
        <w:rPr>
          <w:i/>
        </w:rPr>
        <w:noBreakHyphen/>
        <w:t>19 Response) Act 2020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27 May 2022</w:t>
      </w:r>
      <w:r>
        <w:t>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104551808"/>
      <w:bookmarkStart w:id="5" w:name="_Toc104551832"/>
      <w:bookmarkStart w:id="6" w:name="_Toc104551949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</w:p>
    <w:p>
      <w:pPr>
        <w:pStyle w:val="Heading5"/>
      </w:pPr>
      <w:bookmarkStart w:id="7" w:name="_Toc104551950"/>
      <w:r>
        <w:rPr>
          <w:rStyle w:val="CharSectno"/>
        </w:rPr>
        <w:t>1</w:t>
      </w:r>
      <w:r>
        <w:t>.</w:t>
      </w:r>
      <w:r>
        <w:tab/>
        <w:t>Short title</w:t>
      </w:r>
      <w:bookmarkEnd w:id="7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COVID</w:t>
      </w:r>
      <w:r>
        <w:rPr>
          <w:i/>
        </w:rPr>
        <w:noBreakHyphen/>
        <w:t>19 Response Legislation Amendment (Extension of Expiring Provisions) Act 2022</w:t>
      </w:r>
      <w:r>
        <w:t>.</w:t>
      </w:r>
    </w:p>
    <w:p>
      <w:pPr>
        <w:pStyle w:val="Heading5"/>
      </w:pPr>
      <w:bookmarkStart w:id="8" w:name="_Toc104551951"/>
      <w:r>
        <w:rPr>
          <w:rStyle w:val="CharSectno"/>
        </w:rPr>
        <w:t>2</w:t>
      </w:r>
      <w:r>
        <w:t>.</w:t>
      </w:r>
      <w:r>
        <w:tab/>
        <w:t>Commencement</w:t>
      </w:r>
      <w:bookmarkEnd w:id="8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2"/>
      </w:pPr>
      <w:bookmarkStart w:id="9" w:name="_Toc104551811"/>
      <w:bookmarkStart w:id="10" w:name="_Toc104551835"/>
      <w:bookmarkStart w:id="11" w:name="_Toc104551952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The Criminal Code</w:t>
      </w:r>
      <w:r>
        <w:rPr>
          <w:rStyle w:val="CharPartText"/>
        </w:rPr>
        <w:t xml:space="preserve"> amended</w:t>
      </w:r>
      <w:bookmarkEnd w:id="9"/>
      <w:bookmarkEnd w:id="10"/>
      <w:bookmarkEnd w:id="11"/>
    </w:p>
    <w:p>
      <w:pPr>
        <w:pStyle w:val="Heading5"/>
        <w:rPr>
          <w:snapToGrid w:val="0"/>
        </w:rPr>
      </w:pPr>
      <w:bookmarkStart w:id="12" w:name="_Toc10455195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2"/>
    </w:p>
    <w:p>
      <w:pPr>
        <w:pStyle w:val="Subsection"/>
      </w:pPr>
      <w:r>
        <w:tab/>
      </w:r>
      <w:r>
        <w:tab/>
        <w:t xml:space="preserve">This Part amends </w:t>
      </w:r>
      <w:r>
        <w:rPr>
          <w:i/>
        </w:rPr>
        <w:t>The Criminal Code</w:t>
      </w:r>
      <w:r>
        <w:t>.</w:t>
      </w:r>
    </w:p>
    <w:p>
      <w:pPr>
        <w:pStyle w:val="Heading5"/>
      </w:pPr>
      <w:bookmarkStart w:id="13" w:name="_Toc104551954"/>
      <w:r>
        <w:rPr>
          <w:rStyle w:val="CharSectno"/>
        </w:rPr>
        <w:t>4</w:t>
      </w:r>
      <w:r>
        <w:t>.</w:t>
      </w:r>
      <w:r>
        <w:tab/>
        <w:t>Section 318 amended</w:t>
      </w:r>
      <w:bookmarkEnd w:id="13"/>
    </w:p>
    <w:p>
      <w:pPr>
        <w:pStyle w:val="Subsection"/>
      </w:pPr>
      <w:r>
        <w:tab/>
      </w:r>
      <w:r>
        <w:tab/>
        <w:t>In section 318(1A) delete the passage that begins with “period” and ends with “operation,”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period beginning on 4 April 2020 and ending at the close of 3 January 2023,</w:t>
      </w:r>
    </w:p>
    <w:p>
      <w:pPr>
        <w:pStyle w:val="BlankClose"/>
      </w:pPr>
    </w:p>
    <w:p>
      <w:pPr>
        <w:pStyle w:val="Heading5"/>
      </w:pPr>
      <w:bookmarkStart w:id="14" w:name="_Toc104551955"/>
      <w:r>
        <w:rPr>
          <w:rStyle w:val="CharSectno"/>
        </w:rPr>
        <w:t>5</w:t>
      </w:r>
      <w:r>
        <w:t>.</w:t>
      </w:r>
      <w:r>
        <w:tab/>
        <w:t>Section 338B amended</w:t>
      </w:r>
      <w:bookmarkEnd w:id="14"/>
    </w:p>
    <w:p>
      <w:pPr>
        <w:pStyle w:val="Subsection"/>
      </w:pPr>
      <w:r>
        <w:tab/>
      </w:r>
      <w:r>
        <w:tab/>
        <w:t>In section 338B(2) delete the passage that begins with “period” and ends with “operation,”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period beginning on 4 April 2020 and ending at the close of 3 January 2023,</w:t>
      </w:r>
    </w:p>
    <w:p>
      <w:pPr>
        <w:pStyle w:val="BlankClose"/>
      </w:pPr>
    </w:p>
    <w:p>
      <w:pPr>
        <w:pStyle w:val="Heading2"/>
      </w:pPr>
      <w:bookmarkStart w:id="15" w:name="_Toc104551815"/>
      <w:bookmarkStart w:id="16" w:name="_Toc104551839"/>
      <w:bookmarkStart w:id="17" w:name="_Toc104551956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 </w:t>
      </w:r>
      <w:r>
        <w:rPr>
          <w:rStyle w:val="CharPartText"/>
          <w:i/>
        </w:rPr>
        <w:t>Criminal Code Amendment (COVID</w:t>
      </w:r>
      <w:r>
        <w:rPr>
          <w:rStyle w:val="CharPartText"/>
          <w:i/>
        </w:rPr>
        <w:noBreakHyphen/>
        <w:t>19 Response) Act 2020</w:t>
      </w:r>
      <w:r>
        <w:rPr>
          <w:rStyle w:val="CharPartText"/>
        </w:rPr>
        <w:t xml:space="preserve"> amended</w:t>
      </w:r>
      <w:bookmarkEnd w:id="15"/>
      <w:bookmarkEnd w:id="16"/>
      <w:bookmarkEnd w:id="17"/>
    </w:p>
    <w:p>
      <w:pPr>
        <w:pStyle w:val="Heading5"/>
      </w:pPr>
      <w:bookmarkStart w:id="18" w:name="_Toc104551957"/>
      <w:r>
        <w:rPr>
          <w:rStyle w:val="CharSectno"/>
        </w:rPr>
        <w:t>6</w:t>
      </w:r>
      <w:r>
        <w:t>.</w:t>
      </w:r>
      <w:r>
        <w:tab/>
        <w:t>Act amended</w:t>
      </w:r>
      <w:bookmarkEnd w:id="1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Criminal Code Amendment (COVID</w:t>
      </w:r>
      <w:r>
        <w:rPr>
          <w:i/>
        </w:rPr>
        <w:noBreakHyphen/>
        <w:t>19 Response) Act 2020</w:t>
      </w:r>
      <w:r>
        <w:t>.</w:t>
      </w:r>
    </w:p>
    <w:p>
      <w:pPr>
        <w:pStyle w:val="Heading5"/>
      </w:pPr>
      <w:bookmarkStart w:id="19" w:name="_Toc104551958"/>
      <w:r>
        <w:rPr>
          <w:rStyle w:val="CharSectno"/>
        </w:rPr>
        <w:t>7</w:t>
      </w:r>
      <w:r>
        <w:t>.</w:t>
      </w:r>
      <w:r>
        <w:tab/>
        <w:t>Section 2 amended</w:t>
      </w:r>
      <w:bookmarkEnd w:id="19"/>
    </w:p>
    <w:p>
      <w:pPr>
        <w:pStyle w:val="Subsection"/>
      </w:pPr>
      <w:r>
        <w:tab/>
      </w:r>
      <w:r>
        <w:tab/>
        <w:t>In section 2(b) delete “4 July 2022;”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4 January 2023;</w:t>
      </w:r>
    </w:p>
    <w:p>
      <w:pPr>
        <w:pStyle w:val="BlankClose"/>
      </w:pPr>
    </w:p>
    <w:p>
      <w:pPr>
        <w:pStyle w:val="Heading2"/>
      </w:pPr>
      <w:bookmarkStart w:id="20" w:name="_Toc104551818"/>
      <w:bookmarkStart w:id="21" w:name="_Toc104551842"/>
      <w:bookmarkStart w:id="22" w:name="_Toc104551959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 </w:t>
      </w:r>
      <w:r>
        <w:rPr>
          <w:rStyle w:val="CharPartText"/>
          <w:i/>
        </w:rPr>
        <w:t>Emergency Management Amendment (COVID</w:t>
      </w:r>
      <w:r>
        <w:rPr>
          <w:rStyle w:val="CharPartText"/>
          <w:i/>
        </w:rPr>
        <w:noBreakHyphen/>
        <w:t>19 Response) Act 2020</w:t>
      </w:r>
      <w:r>
        <w:rPr>
          <w:rStyle w:val="CharPartText"/>
        </w:rPr>
        <w:t xml:space="preserve"> amended</w:t>
      </w:r>
      <w:bookmarkEnd w:id="20"/>
      <w:bookmarkEnd w:id="21"/>
      <w:bookmarkEnd w:id="22"/>
    </w:p>
    <w:p>
      <w:pPr>
        <w:pStyle w:val="Heading5"/>
      </w:pPr>
      <w:bookmarkStart w:id="23" w:name="_Toc104551960"/>
      <w:r>
        <w:rPr>
          <w:rStyle w:val="CharSectno"/>
        </w:rPr>
        <w:t>8</w:t>
      </w:r>
      <w:r>
        <w:t>.</w:t>
      </w:r>
      <w:r>
        <w:tab/>
        <w:t>Act amended</w:t>
      </w:r>
      <w:bookmarkEnd w:id="23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Emergency Management Amendment (COVID</w:t>
      </w:r>
      <w:r>
        <w:rPr>
          <w:i/>
        </w:rPr>
        <w:noBreakHyphen/>
        <w:t>19 Response) Act 2020</w:t>
      </w:r>
      <w:r>
        <w:t>.</w:t>
      </w:r>
    </w:p>
    <w:p>
      <w:pPr>
        <w:pStyle w:val="Heading5"/>
      </w:pPr>
      <w:bookmarkStart w:id="24" w:name="_Toc104551961"/>
      <w:r>
        <w:rPr>
          <w:rStyle w:val="CharSectno"/>
        </w:rPr>
        <w:t>9</w:t>
      </w:r>
      <w:r>
        <w:t>.</w:t>
      </w:r>
      <w:r>
        <w:tab/>
        <w:t>Section 2 amended</w:t>
      </w:r>
      <w:bookmarkEnd w:id="24"/>
    </w:p>
    <w:p>
      <w:pPr>
        <w:pStyle w:val="Subsection"/>
      </w:pPr>
      <w:r>
        <w:tab/>
      </w:r>
      <w:r>
        <w:tab/>
        <w:t>In section 2(c) delete “4 July 2022;”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4 January 2023;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footerReference w:type="firs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2022.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2022.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2022.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2022.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15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May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May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15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May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15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15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May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May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15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May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15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5669"/>
        <w:tab w:val="right" w:pos="7088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ActNoFooter</w:instrText>
    </w:r>
    <w:r>
      <w:rPr>
        <w:sz w:val="20"/>
      </w:rPr>
      <w:fldChar w:fldCharType="separate"/>
    </w:r>
    <w:r>
      <w:rPr>
        <w:sz w:val="20"/>
      </w:rPr>
      <w:t>No. 15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COVID-19 Response Legislation Amendment (Extension of Expiring Provisions)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COVID-19 Response Legislation Amendment (Extension of Expiring Provisions)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COVID-19 Response Legislation Amendment (Extension of Expiring Provisions)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COVID-19 Response Legislation Amendment (Extension of Expiring Provisions)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COVID-19 Response Legislation Amendment (Extension of Expiring Provisions)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COVID-19 Response Legislation Amendment (Extension of Expiring Provisions)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2F740FE"/>
    <w:multiLevelType w:val="hybridMultilevel"/>
    <w:tmpl w:val="25D24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1"/>
  </w:num>
  <w:num w:numId="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527134835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2042609433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426094339_GUID" w:val="28357dd9-d325-48ee-be96-cdcc6a1a6a2e"/>
    <w:docVar w:name="WAFER_2022042810131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428101318_GUID" w:val="20a4cc46-1d52-44b1-ac5b-86285ba22325"/>
    <w:docVar w:name="WAFER_2022052713483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"/>
    <w:docVar w:name="WAFER_20220527134835_GUID" w:val="e3a0e7e1-39da-41b4-bec1-c19ed319597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F79502-D278-49CC-8ED2-62CF5110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158A-BED1-49FB-AA66-DF3D9ADD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2569</Characters>
  <Application>Microsoft Office Word</Application>
  <DocSecurity>0</DocSecurity>
  <Lines>122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2976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Response Legislation Amendment (Extension of Expiring Provisions) Act 2022 - 00-00-00</dc:title>
  <dc:subject/>
  <dc:creator/>
  <cp:keywords/>
  <dc:description/>
  <cp:lastModifiedBy>Master Repository Process</cp:lastModifiedBy>
  <cp:revision>4</cp:revision>
  <cp:lastPrinted>2022-05-19T02:49:00Z</cp:lastPrinted>
  <dcterms:created xsi:type="dcterms:W3CDTF">2022-05-27T06:17:00Z</dcterms:created>
  <dcterms:modified xsi:type="dcterms:W3CDTF">2022-05-27T06:17:00Z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15 of 2022</vt:lpwstr>
  </property>
  <property fmtid="{D5CDD505-2E9C-101B-9397-08002B2CF9AE}" pid="3" name="DocumentType">
    <vt:lpwstr>Act</vt:lpwstr>
  </property>
  <property fmtid="{D5CDD505-2E9C-101B-9397-08002B2CF9AE}" pid="4" name="AsAtDate">
    <vt:lpwstr>27 May 2022</vt:lpwstr>
  </property>
  <property fmtid="{D5CDD505-2E9C-101B-9397-08002B2CF9AE}" pid="5" name="Suffix">
    <vt:lpwstr>00-00-00</vt:lpwstr>
  </property>
  <property fmtid="{D5CDD505-2E9C-101B-9397-08002B2CF9AE}" pid="6" name="ActNoFooter">
    <vt:lpwstr>No. 15 of 2022</vt:lpwstr>
  </property>
  <property fmtid="{D5CDD505-2E9C-101B-9397-08002B2CF9AE}" pid="7" name="CommencementDate">
    <vt:lpwstr>20220527</vt:lpwstr>
  </property>
</Properties>
</file>