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Transfer of Land Act 1893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Transfer of Land Regulations 2004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_Toc104969038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_Toc104969039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General</w:t>
      </w:r>
    </w:p>
    <w:p>
      <w:pPr>
        <w:pStyle w:val="TOC8"/>
        <w:rPr>
          <w:rFonts w:asciiTheme="minorHAnsi" w:eastAsiaTheme="minorEastAsia" w:hAnsiTheme="minorHAnsi" w:cstheme="minorBidi"/>
          <w:szCs w:val="22"/>
        </w:rPr>
      </w:pPr>
      <w:r>
        <w:t>3A.</w:t>
      </w:r>
      <w:r>
        <w:tab/>
        <w:t>Immaterial differences between counterparts (Act s. 4(1CA)(b)(v))</w:t>
      </w:r>
      <w:r>
        <w:tab/>
      </w:r>
      <w:r>
        <w:fldChar w:fldCharType="begin"/>
      </w:r>
      <w:r>
        <w:instrText xml:space="preserve"> PAGEREF _Toc104969041 \h </w:instrText>
      </w:r>
      <w:r>
        <w:fldChar w:fldCharType="separate"/>
      </w:r>
      <w:r>
        <w:t>2</w:t>
      </w:r>
      <w:r>
        <w:fldChar w:fldCharType="end"/>
      </w:r>
    </w:p>
    <w:p>
      <w:pPr>
        <w:pStyle w:val="TOC8"/>
        <w:rPr>
          <w:rFonts w:asciiTheme="minorHAnsi" w:eastAsiaTheme="minorEastAsia" w:hAnsiTheme="minorHAnsi" w:cstheme="minorBidi"/>
          <w:szCs w:val="22"/>
        </w:rPr>
      </w:pPr>
      <w:r>
        <w:t>3.</w:t>
      </w:r>
      <w:r>
        <w:tab/>
        <w:t>Paper documents for lodgment, requirements for</w:t>
      </w:r>
      <w:r>
        <w:tab/>
      </w:r>
      <w:r>
        <w:fldChar w:fldCharType="begin"/>
      </w:r>
      <w:r>
        <w:instrText xml:space="preserve"> PAGEREF _Toc104969042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Certificates of title for land in existing certificate</w:t>
      </w:r>
      <w:r>
        <w:tab/>
      </w:r>
      <w:r>
        <w:fldChar w:fldCharType="begin"/>
      </w:r>
      <w:r>
        <w:instrText xml:space="preserve"> PAGEREF _Toc104969043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snapToGrid w:val="0"/>
        </w:rPr>
        <w:t>New certificate of title if old one too full for further endorsement</w:t>
      </w:r>
      <w:r>
        <w:tab/>
      </w:r>
      <w:r>
        <w:fldChar w:fldCharType="begin"/>
      </w:r>
      <w:r>
        <w:instrText xml:space="preserve"> PAGEREF _Toc104969044 \h </w:instrText>
      </w:r>
      <w:r>
        <w:fldChar w:fldCharType="separate"/>
      </w:r>
      <w:r>
        <w:t>4</w:t>
      </w:r>
      <w:r>
        <w:fldChar w:fldCharType="end"/>
      </w:r>
    </w:p>
    <w:p>
      <w:pPr>
        <w:pStyle w:val="TOC8"/>
        <w:rPr>
          <w:rFonts w:asciiTheme="minorHAnsi" w:eastAsiaTheme="minorEastAsia" w:hAnsiTheme="minorHAnsi" w:cstheme="minorBidi"/>
          <w:szCs w:val="22"/>
        </w:rPr>
      </w:pPr>
      <w:r>
        <w:t>8.</w:t>
      </w:r>
      <w:r>
        <w:tab/>
      </w:r>
      <w:r>
        <w:rPr>
          <w:snapToGrid w:val="0"/>
        </w:rPr>
        <w:t>Area prescribed (Act s. 129C(1a))</w:t>
      </w:r>
      <w:r>
        <w:tab/>
      </w:r>
      <w:r>
        <w:fldChar w:fldCharType="begin"/>
      </w:r>
      <w:r>
        <w:instrText xml:space="preserve"> PAGEREF _Toc104969045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3A — Provisions relating to </w:t>
      </w:r>
      <w:r>
        <w:rPr>
          <w:i/>
        </w:rPr>
        <w:t>Electronic Conveyancing Act 2014</w:t>
      </w:r>
    </w:p>
    <w:p>
      <w:pPr>
        <w:pStyle w:val="TOC4"/>
        <w:tabs>
          <w:tab w:val="right" w:leader="dot" w:pos="7077"/>
        </w:tabs>
        <w:rPr>
          <w:rFonts w:asciiTheme="minorHAnsi" w:eastAsiaTheme="minorEastAsia" w:hAnsiTheme="minorHAnsi" w:cstheme="minorBidi"/>
          <w:b w:val="0"/>
          <w:szCs w:val="22"/>
        </w:rPr>
      </w:pPr>
      <w:r>
        <w:t>Division 1 — Certain registry instruments must be lodged by means of an ELN</w:t>
      </w:r>
    </w:p>
    <w:p>
      <w:pPr>
        <w:pStyle w:val="TOC8"/>
        <w:rPr>
          <w:rFonts w:asciiTheme="minorHAnsi" w:eastAsiaTheme="minorEastAsia" w:hAnsiTheme="minorHAnsi" w:cstheme="minorBidi"/>
          <w:szCs w:val="22"/>
        </w:rPr>
      </w:pPr>
      <w:r>
        <w:t>8A.</w:t>
      </w:r>
      <w:r>
        <w:tab/>
        <w:t>Terms used</w:t>
      </w:r>
      <w:r>
        <w:tab/>
      </w:r>
      <w:r>
        <w:fldChar w:fldCharType="begin"/>
      </w:r>
      <w:r>
        <w:instrText xml:space="preserve"> PAGEREF _Toc104969048 \h </w:instrText>
      </w:r>
      <w:r>
        <w:fldChar w:fldCharType="separate"/>
      </w:r>
      <w:r>
        <w:t>6</w:t>
      </w:r>
      <w:r>
        <w:fldChar w:fldCharType="end"/>
      </w:r>
    </w:p>
    <w:p>
      <w:pPr>
        <w:pStyle w:val="TOC8"/>
        <w:rPr>
          <w:rFonts w:asciiTheme="minorHAnsi" w:eastAsiaTheme="minorEastAsia" w:hAnsiTheme="minorHAnsi" w:cstheme="minorBidi"/>
          <w:szCs w:val="22"/>
        </w:rPr>
      </w:pPr>
      <w:r>
        <w:t>8B.</w:t>
      </w:r>
      <w:r>
        <w:tab/>
        <w:t>Registry instruments to which this Division applies</w:t>
      </w:r>
      <w:r>
        <w:tab/>
      </w:r>
      <w:r>
        <w:fldChar w:fldCharType="begin"/>
      </w:r>
      <w:r>
        <w:instrText xml:space="preserve"> PAGEREF _Toc104969049 \h </w:instrText>
      </w:r>
      <w:r>
        <w:fldChar w:fldCharType="separate"/>
      </w:r>
      <w:r>
        <w:t>6</w:t>
      </w:r>
      <w:r>
        <w:fldChar w:fldCharType="end"/>
      </w:r>
    </w:p>
    <w:p>
      <w:pPr>
        <w:pStyle w:val="TOC8"/>
        <w:rPr>
          <w:rFonts w:asciiTheme="minorHAnsi" w:eastAsiaTheme="minorEastAsia" w:hAnsiTheme="minorHAnsi" w:cstheme="minorBidi"/>
          <w:szCs w:val="22"/>
        </w:rPr>
      </w:pPr>
      <w:r>
        <w:t>8C.</w:t>
      </w:r>
      <w:r>
        <w:tab/>
        <w:t>Certain registry instruments must be lodged by means of an ELN</w:t>
      </w:r>
      <w:r>
        <w:tab/>
      </w:r>
      <w:r>
        <w:fldChar w:fldCharType="begin"/>
      </w:r>
      <w:r>
        <w:instrText xml:space="preserve"> PAGEREF _Toc104969050 \h </w:instrText>
      </w:r>
      <w:r>
        <w:fldChar w:fldCharType="separate"/>
      </w:r>
      <w:r>
        <w:t>6</w:t>
      </w:r>
      <w:r>
        <w:fldChar w:fldCharType="end"/>
      </w:r>
    </w:p>
    <w:p>
      <w:pPr>
        <w:pStyle w:val="TOC8"/>
        <w:rPr>
          <w:rFonts w:asciiTheme="minorHAnsi" w:eastAsiaTheme="minorEastAsia" w:hAnsiTheme="minorHAnsi" w:cstheme="minorBidi"/>
          <w:szCs w:val="22"/>
        </w:rPr>
      </w:pPr>
      <w:r>
        <w:t>8D.</w:t>
      </w:r>
      <w:r>
        <w:tab/>
        <w:t>Where party to transaction is self</w:t>
      </w:r>
      <w:r>
        <w:noBreakHyphen/>
        <w:t>represented</w:t>
      </w:r>
      <w:r>
        <w:tab/>
      </w:r>
      <w:r>
        <w:fldChar w:fldCharType="begin"/>
      </w:r>
      <w:r>
        <w:instrText xml:space="preserve"> PAGEREF _Toc104969051 \h </w:instrText>
      </w:r>
      <w:r>
        <w:fldChar w:fldCharType="separate"/>
      </w:r>
      <w:r>
        <w:t>7</w:t>
      </w:r>
      <w:r>
        <w:fldChar w:fldCharType="end"/>
      </w:r>
    </w:p>
    <w:p>
      <w:pPr>
        <w:pStyle w:val="TOC8"/>
        <w:rPr>
          <w:rFonts w:asciiTheme="minorHAnsi" w:eastAsiaTheme="minorEastAsia" w:hAnsiTheme="minorHAnsi" w:cstheme="minorBidi"/>
          <w:szCs w:val="22"/>
        </w:rPr>
      </w:pPr>
      <w:r>
        <w:t>8E.</w:t>
      </w:r>
      <w:r>
        <w:tab/>
        <w:t>Where 2 or more registry instruments lodged simultaneously</w:t>
      </w:r>
      <w:r>
        <w:tab/>
      </w:r>
      <w:r>
        <w:fldChar w:fldCharType="begin"/>
      </w:r>
      <w:r>
        <w:instrText xml:space="preserve"> PAGEREF _Toc104969052 \h </w:instrText>
      </w:r>
      <w:r>
        <w:fldChar w:fldCharType="separate"/>
      </w:r>
      <w:r>
        <w:t>8</w:t>
      </w:r>
      <w:r>
        <w:fldChar w:fldCharType="end"/>
      </w:r>
    </w:p>
    <w:p>
      <w:pPr>
        <w:pStyle w:val="TOC8"/>
        <w:rPr>
          <w:rFonts w:asciiTheme="minorHAnsi" w:eastAsiaTheme="minorEastAsia" w:hAnsiTheme="minorHAnsi" w:cstheme="minorBidi"/>
          <w:szCs w:val="22"/>
        </w:rPr>
      </w:pPr>
      <w:r>
        <w:t>8F.</w:t>
      </w:r>
      <w:r>
        <w:tab/>
        <w:t>Registrar’s power to exempt</w:t>
      </w:r>
      <w:r>
        <w:tab/>
      </w:r>
      <w:r>
        <w:fldChar w:fldCharType="begin"/>
      </w:r>
      <w:r>
        <w:instrText xml:space="preserve"> PAGEREF _Toc104969053 \h </w:instrText>
      </w:r>
      <w:r>
        <w:fldChar w:fldCharType="separate"/>
      </w:r>
      <w:r>
        <w:t>8</w:t>
      </w:r>
      <w:r>
        <w:fldChar w:fldCharType="end"/>
      </w:r>
    </w:p>
    <w:p>
      <w:pPr>
        <w:pStyle w:val="TOC8"/>
        <w:rPr>
          <w:rFonts w:asciiTheme="minorHAnsi" w:eastAsiaTheme="minorEastAsia" w:hAnsiTheme="minorHAnsi" w:cstheme="minorBidi"/>
          <w:szCs w:val="22"/>
        </w:rPr>
      </w:pPr>
      <w:r>
        <w:lastRenderedPageBreak/>
        <w:t>8G.</w:t>
      </w:r>
      <w:r>
        <w:tab/>
        <w:t>When r. 8C(1) commences to apply to lodging certain registry instruments</w:t>
      </w:r>
      <w:r>
        <w:tab/>
      </w:r>
      <w:r>
        <w:fldChar w:fldCharType="begin"/>
      </w:r>
      <w:r>
        <w:instrText xml:space="preserve"> PAGEREF _Toc104969054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General requirements</w:t>
      </w:r>
    </w:p>
    <w:p>
      <w:pPr>
        <w:pStyle w:val="TOC8"/>
        <w:rPr>
          <w:rFonts w:asciiTheme="minorHAnsi" w:eastAsiaTheme="minorEastAsia" w:hAnsiTheme="minorHAnsi" w:cstheme="minorBidi"/>
          <w:szCs w:val="22"/>
        </w:rPr>
      </w:pPr>
      <w:r>
        <w:t>9AA.</w:t>
      </w:r>
      <w:r>
        <w:tab/>
        <w:t>Requirements relating to electronic lodgment of mortgages</w:t>
      </w:r>
      <w:r>
        <w:tab/>
      </w:r>
      <w:r>
        <w:fldChar w:fldCharType="begin"/>
      </w:r>
      <w:r>
        <w:instrText xml:space="preserve"> PAGEREF _Toc104969056 \h </w:instrText>
      </w:r>
      <w:r>
        <w:fldChar w:fldCharType="separate"/>
      </w:r>
      <w:r>
        <w:t>9</w:t>
      </w:r>
      <w:r>
        <w:fldChar w:fldCharType="end"/>
      </w:r>
    </w:p>
    <w:p>
      <w:pPr>
        <w:pStyle w:val="TOC8"/>
        <w:rPr>
          <w:rFonts w:asciiTheme="minorHAnsi" w:eastAsiaTheme="minorEastAsia" w:hAnsiTheme="minorHAnsi" w:cstheme="minorBidi"/>
          <w:szCs w:val="22"/>
        </w:rPr>
      </w:pPr>
      <w:r>
        <w:t>9AB.</w:t>
      </w:r>
      <w:r>
        <w:tab/>
        <w:t>Duplicate certificates of title where documents lodged electronically</w:t>
      </w:r>
      <w:r>
        <w:tab/>
      </w:r>
      <w:r>
        <w:fldChar w:fldCharType="begin"/>
      </w:r>
      <w:r>
        <w:instrText xml:space="preserve"> PAGEREF _Toc104969057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3B — Provisions relating to electronic service</w:t>
      </w:r>
    </w:p>
    <w:p>
      <w:pPr>
        <w:pStyle w:val="TOC8"/>
        <w:rPr>
          <w:rFonts w:asciiTheme="minorHAnsi" w:eastAsiaTheme="minorEastAsia" w:hAnsiTheme="minorHAnsi" w:cstheme="minorBidi"/>
          <w:szCs w:val="22"/>
        </w:rPr>
      </w:pPr>
      <w:r>
        <w:t>9AC.</w:t>
      </w:r>
      <w:r>
        <w:tab/>
        <w:t>Electronic service of notices</w:t>
      </w:r>
      <w:r>
        <w:tab/>
      </w:r>
      <w:r>
        <w:fldChar w:fldCharType="begin"/>
      </w:r>
      <w:r>
        <w:instrText xml:space="preserve"> PAGEREF _Toc104969059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9A.</w:t>
      </w:r>
      <w:r>
        <w:tab/>
        <w:t>Fees (Sch. 1)</w:t>
      </w:r>
      <w:r>
        <w:tab/>
      </w:r>
      <w:r>
        <w:fldChar w:fldCharType="begin"/>
      </w:r>
      <w:r>
        <w:instrText xml:space="preserve"> PAGEREF _Toc104969061 \h </w:instrText>
      </w:r>
      <w:r>
        <w:fldChar w:fldCharType="separate"/>
      </w:r>
      <w:r>
        <w:t>13</w:t>
      </w:r>
      <w:r>
        <w:fldChar w:fldCharType="end"/>
      </w:r>
    </w:p>
    <w:p>
      <w:pPr>
        <w:pStyle w:val="TOC8"/>
        <w:rPr>
          <w:rFonts w:asciiTheme="minorHAnsi" w:eastAsiaTheme="minorEastAsia" w:hAnsiTheme="minorHAnsi" w:cstheme="minorBidi"/>
          <w:szCs w:val="22"/>
        </w:rPr>
      </w:pPr>
      <w:r>
        <w:t>9B.</w:t>
      </w:r>
      <w:r>
        <w:tab/>
        <w:t>Supplementary provisions relating to fees</w:t>
      </w:r>
      <w:r>
        <w:tab/>
      </w:r>
      <w:r>
        <w:fldChar w:fldCharType="begin"/>
      </w:r>
      <w:r>
        <w:instrText xml:space="preserve"> PAGEREF _Toc104969062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Inspection of Register</w:t>
      </w:r>
    </w:p>
    <w:p>
      <w:pPr>
        <w:pStyle w:val="TOC4"/>
        <w:tabs>
          <w:tab w:val="right" w:leader="dot" w:pos="7077"/>
        </w:tabs>
        <w:rPr>
          <w:rFonts w:asciiTheme="minorHAnsi" w:eastAsiaTheme="minorEastAsia" w:hAnsiTheme="minorHAnsi" w:cstheme="minorBidi"/>
          <w:b w:val="0"/>
          <w:szCs w:val="22"/>
        </w:rPr>
      </w:pPr>
      <w:r>
        <w:t>Division 1 — Times for inspection of Register and related documents</w:t>
      </w:r>
    </w:p>
    <w:p>
      <w:pPr>
        <w:pStyle w:val="TOC8"/>
        <w:rPr>
          <w:rFonts w:asciiTheme="minorHAnsi" w:eastAsiaTheme="minorEastAsia" w:hAnsiTheme="minorHAnsi" w:cstheme="minorBidi"/>
          <w:szCs w:val="22"/>
        </w:rPr>
      </w:pPr>
      <w:r>
        <w:t>10</w:t>
      </w:r>
      <w:r>
        <w:rPr>
          <w:snapToGrid w:val="0"/>
        </w:rPr>
        <w:t>.</w:t>
      </w:r>
      <w:r>
        <w:rPr>
          <w:snapToGrid w:val="0"/>
        </w:rPr>
        <w:tab/>
        <w:t>Times for inspection prescribed (Act s. 239(1))</w:t>
      </w:r>
      <w:r>
        <w:tab/>
      </w:r>
      <w:r>
        <w:fldChar w:fldCharType="begin"/>
      </w:r>
      <w:r>
        <w:instrText xml:space="preserve"> PAGEREF _Toc104969065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Names index</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_Toc104969067 \h </w:instrText>
      </w:r>
      <w:r>
        <w:fldChar w:fldCharType="separate"/>
      </w:r>
      <w:r>
        <w:t>16</w:t>
      </w:r>
      <w:r>
        <w:fldChar w:fldCharType="end"/>
      </w:r>
    </w:p>
    <w:p>
      <w:pPr>
        <w:pStyle w:val="TOC8"/>
        <w:rPr>
          <w:rFonts w:asciiTheme="minorHAnsi" w:eastAsiaTheme="minorEastAsia" w:hAnsiTheme="minorHAnsi" w:cstheme="minorBidi"/>
          <w:szCs w:val="22"/>
        </w:rPr>
      </w:pPr>
      <w:r>
        <w:t>12.</w:t>
      </w:r>
      <w:r>
        <w:tab/>
        <w:t>Names index prescribed (Act s. 239(1)(k))</w:t>
      </w:r>
      <w:r>
        <w:tab/>
      </w:r>
      <w:r>
        <w:fldChar w:fldCharType="begin"/>
      </w:r>
      <w:r>
        <w:instrText xml:space="preserve"> PAGEREF _Toc104969068 \h </w:instrText>
      </w:r>
      <w:r>
        <w:fldChar w:fldCharType="separate"/>
      </w:r>
      <w:r>
        <w:t>17</w:t>
      </w:r>
      <w:r>
        <w:fldChar w:fldCharType="end"/>
      </w:r>
    </w:p>
    <w:p>
      <w:pPr>
        <w:pStyle w:val="TOC8"/>
        <w:rPr>
          <w:rFonts w:asciiTheme="minorHAnsi" w:eastAsiaTheme="minorEastAsia" w:hAnsiTheme="minorHAnsi" w:cstheme="minorBidi"/>
          <w:szCs w:val="22"/>
        </w:rPr>
      </w:pPr>
      <w:r>
        <w:t>13.</w:t>
      </w:r>
      <w:r>
        <w:tab/>
      </w:r>
      <w:r>
        <w:rPr>
          <w:snapToGrid w:val="0"/>
        </w:rPr>
        <w:t>Application for information in names index to be excluded from inspections</w:t>
      </w:r>
      <w:r>
        <w:tab/>
      </w:r>
      <w:r>
        <w:fldChar w:fldCharType="begin"/>
      </w:r>
      <w:r>
        <w:instrText xml:space="preserve"> PAGEREF _Toc104969069 \h </w:instrText>
      </w:r>
      <w:r>
        <w:fldChar w:fldCharType="separate"/>
      </w:r>
      <w:r>
        <w:t>17</w:t>
      </w:r>
      <w:r>
        <w:fldChar w:fldCharType="end"/>
      </w:r>
    </w:p>
    <w:p>
      <w:pPr>
        <w:pStyle w:val="TOC8"/>
        <w:rPr>
          <w:rFonts w:asciiTheme="minorHAnsi" w:eastAsiaTheme="minorEastAsia" w:hAnsiTheme="minorHAnsi" w:cstheme="minorBidi"/>
          <w:szCs w:val="22"/>
        </w:rPr>
      </w:pPr>
      <w:r>
        <w:t>14.</w:t>
      </w:r>
      <w:r>
        <w:tab/>
        <w:t>Suppressed information, provision of to government organisations</w:t>
      </w:r>
      <w:r>
        <w:tab/>
      </w:r>
      <w:r>
        <w:fldChar w:fldCharType="begin"/>
      </w:r>
      <w:r>
        <w:instrText xml:space="preserve"> PAGEREF _Toc104969070 \h </w:instrText>
      </w:r>
      <w:r>
        <w:fldChar w:fldCharType="separate"/>
      </w:r>
      <w:r>
        <w:t>18</w:t>
      </w:r>
      <w:r>
        <w:fldChar w:fldCharType="end"/>
      </w:r>
    </w:p>
    <w:p>
      <w:pPr>
        <w:pStyle w:val="TOC8"/>
        <w:rPr>
          <w:rFonts w:asciiTheme="minorHAnsi" w:eastAsiaTheme="minorEastAsia" w:hAnsiTheme="minorHAnsi" w:cstheme="minorBidi"/>
          <w:szCs w:val="22"/>
        </w:rPr>
      </w:pPr>
      <w:r>
        <w:t>15.</w:t>
      </w:r>
      <w:r>
        <w:tab/>
        <w:t>Suppressed information, provision of to others</w:t>
      </w:r>
      <w:r>
        <w:tab/>
      </w:r>
      <w:r>
        <w:fldChar w:fldCharType="begin"/>
      </w:r>
      <w:r>
        <w:instrText xml:space="preserve"> PAGEREF _Toc104969071 \h </w:instrText>
      </w:r>
      <w:r>
        <w:fldChar w:fldCharType="separate"/>
      </w:r>
      <w:r>
        <w:t>19</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Fees</w:t>
      </w:r>
    </w:p>
    <w:p>
      <w:pPr>
        <w:pStyle w:val="TOC4"/>
        <w:keepNext w:val="0"/>
        <w:tabs>
          <w:tab w:val="right" w:leader="dot" w:pos="7077"/>
        </w:tabs>
        <w:rPr>
          <w:rFonts w:asciiTheme="minorHAnsi" w:eastAsiaTheme="minorEastAsia" w:hAnsiTheme="minorHAnsi" w:cstheme="minorBidi"/>
          <w:b w:val="0"/>
          <w:szCs w:val="22"/>
        </w:rPr>
      </w:pPr>
      <w:r>
        <w:t>Division 1 — Registrations and recordings</w:t>
      </w:r>
    </w:p>
    <w:p>
      <w:pPr>
        <w:pStyle w:val="TOC4"/>
        <w:keepNext w:val="0"/>
        <w:tabs>
          <w:tab w:val="right" w:leader="dot" w:pos="7077"/>
        </w:tabs>
        <w:rPr>
          <w:rFonts w:asciiTheme="minorHAnsi" w:eastAsiaTheme="minorEastAsia" w:hAnsiTheme="minorHAnsi" w:cstheme="minorBidi"/>
          <w:b w:val="0"/>
          <w:szCs w:val="22"/>
        </w:rPr>
      </w:pPr>
      <w:r>
        <w:t>Division 2 — Lodgments</w:t>
      </w:r>
    </w:p>
    <w:p>
      <w:pPr>
        <w:pStyle w:val="TOC4"/>
        <w:keepNext w:val="0"/>
        <w:tabs>
          <w:tab w:val="right" w:leader="dot" w:pos="7077"/>
        </w:tabs>
        <w:rPr>
          <w:rFonts w:asciiTheme="minorHAnsi" w:eastAsiaTheme="minorEastAsia" w:hAnsiTheme="minorHAnsi" w:cstheme="minorBidi"/>
          <w:b w:val="0"/>
          <w:szCs w:val="22"/>
        </w:rPr>
      </w:pPr>
      <w:r>
        <w:t>Division 3 — Withdrawals</w:t>
      </w:r>
    </w:p>
    <w:p>
      <w:pPr>
        <w:pStyle w:val="TOC4"/>
        <w:keepNext w:val="0"/>
        <w:tabs>
          <w:tab w:val="right" w:leader="dot" w:pos="7077"/>
        </w:tabs>
        <w:rPr>
          <w:rFonts w:asciiTheme="minorHAnsi" w:eastAsiaTheme="minorEastAsia" w:hAnsiTheme="minorHAnsi" w:cstheme="minorBidi"/>
          <w:b w:val="0"/>
          <w:szCs w:val="22"/>
        </w:rPr>
      </w:pPr>
      <w:r>
        <w:t>Division 4 — Applications</w:t>
      </w:r>
    </w:p>
    <w:p>
      <w:pPr>
        <w:pStyle w:val="TOC4"/>
        <w:keepNext w:val="0"/>
        <w:tabs>
          <w:tab w:val="right" w:leader="dot" w:pos="7077"/>
        </w:tabs>
        <w:rPr>
          <w:rFonts w:asciiTheme="minorHAnsi" w:eastAsiaTheme="minorEastAsia" w:hAnsiTheme="minorHAnsi" w:cstheme="minorBidi"/>
          <w:b w:val="0"/>
          <w:szCs w:val="22"/>
        </w:rPr>
      </w:pPr>
      <w:r>
        <w:t>Division 5 — Certificates</w:t>
      </w:r>
    </w:p>
    <w:p>
      <w:pPr>
        <w:pStyle w:val="TOC4"/>
        <w:keepNext w:val="0"/>
        <w:tabs>
          <w:tab w:val="right" w:leader="dot" w:pos="7077"/>
        </w:tabs>
        <w:rPr>
          <w:rFonts w:asciiTheme="minorHAnsi" w:eastAsiaTheme="minorEastAsia" w:hAnsiTheme="minorHAnsi" w:cstheme="minorBidi"/>
          <w:b w:val="0"/>
          <w:szCs w:val="22"/>
        </w:rPr>
      </w:pPr>
      <w:r>
        <w:t>Division 6 — Inspection and/or copies of documents</w:t>
      </w:r>
    </w:p>
    <w:p>
      <w:pPr>
        <w:pStyle w:val="TOC4"/>
        <w:keepNext w:val="0"/>
        <w:tabs>
          <w:tab w:val="right" w:leader="dot" w:pos="7077"/>
        </w:tabs>
        <w:rPr>
          <w:rFonts w:asciiTheme="minorHAnsi" w:eastAsiaTheme="minorEastAsia" w:hAnsiTheme="minorHAnsi" w:cstheme="minorBidi"/>
          <w:b w:val="0"/>
          <w:szCs w:val="22"/>
        </w:rPr>
      </w:pPr>
      <w:r>
        <w:t>Division 7 — Miscellaneous</w:t>
      </w:r>
    </w:p>
    <w:p>
      <w:pPr>
        <w:pStyle w:val="TOC2"/>
        <w:tabs>
          <w:tab w:val="right" w:leader="dot" w:pos="7077"/>
        </w:tabs>
        <w:rPr>
          <w:rFonts w:asciiTheme="minorHAnsi" w:eastAsiaTheme="minorEastAsia" w:hAnsiTheme="minorHAnsi" w:cstheme="minorBidi"/>
          <w:b w:val="0"/>
          <w:sz w:val="22"/>
          <w:szCs w:val="22"/>
        </w:rPr>
      </w:pPr>
      <w:r>
        <w:lastRenderedPageBreak/>
        <w:t>Schedule 2 — Services and matters for which fees cannot be charged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_Toc104969082 \h </w:instrText>
      </w:r>
      <w:r>
        <w:fldChar w:fldCharType="separate"/>
      </w:r>
      <w:r>
        <w:t>31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_Toc104969083 \h </w:instrText>
      </w:r>
      <w:r>
        <w:fldChar w:fldCharType="separate"/>
      </w:r>
      <w:r>
        <w:t>33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_Toc104969084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Transfer of Land Act 1893</w:t>
      </w:r>
    </w:p>
    <w:p>
      <w:pPr>
        <w:pStyle w:val="NameofActReg"/>
        <w:spacing w:before="720" w:after="840"/>
      </w:pPr>
      <w:r>
        <w:t>Transfer of Land Regulations 2004</w:t>
      </w:r>
    </w:p>
    <w:p>
      <w:pPr>
        <w:pStyle w:val="Heading2"/>
        <w:pageBreakBefore w:val="0"/>
        <w:spacing w:before="240"/>
        <w:rPr>
          <w:rStyle w:val="CharPartText"/>
        </w:rPr>
      </w:pPr>
      <w:bookmarkStart w:id="3" w:name="_Toc104902849"/>
      <w:bookmarkStart w:id="4" w:name="_Toc104902897"/>
      <w:bookmarkStart w:id="5" w:name="_Toc104969037"/>
      <w:r>
        <w:rPr>
          <w:rStyle w:val="CharPartNo"/>
        </w:rPr>
        <w:t>Part 1</w:t>
      </w:r>
      <w:r>
        <w:rPr>
          <w:b w:val="0"/>
        </w:rPr>
        <w:t> </w:t>
      </w:r>
      <w:r>
        <w:t>—</w:t>
      </w:r>
      <w:r>
        <w:rPr>
          <w:b w:val="0"/>
        </w:rPr>
        <w:t> </w:t>
      </w:r>
      <w:r>
        <w:rPr>
          <w:rStyle w:val="CharPartText"/>
        </w:rPr>
        <w:t>Preliminary</w:t>
      </w:r>
      <w:bookmarkEnd w:id="3"/>
      <w:bookmarkEnd w:id="4"/>
      <w:bookmarkEnd w:id="5"/>
    </w:p>
    <w:p>
      <w:pPr>
        <w:pStyle w:val="Footnoteheading"/>
      </w:pPr>
      <w:r>
        <w:tab/>
        <w:t>[Heading inserted: Gazette 22 May 2009 p. 1700.]</w:t>
      </w:r>
    </w:p>
    <w:p>
      <w:pPr>
        <w:pStyle w:val="Heading5"/>
      </w:pPr>
      <w:bookmarkStart w:id="6" w:name="_Toc104969038"/>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may be cited as the </w:t>
      </w:r>
      <w:r>
        <w:rPr>
          <w:i/>
        </w:rPr>
        <w:t>Transfer of Land Regulations 2004</w:t>
      </w:r>
      <w:r>
        <w:t>.</w:t>
      </w:r>
    </w:p>
    <w:p>
      <w:pPr>
        <w:pStyle w:val="Heading5"/>
        <w:rPr>
          <w:spacing w:val="-2"/>
        </w:rPr>
      </w:pPr>
      <w:bookmarkStart w:id="7" w:name="_Toc104969039"/>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on 6 September 2004.</w:t>
      </w:r>
    </w:p>
    <w:p>
      <w:pPr>
        <w:pStyle w:val="Heading2"/>
      </w:pPr>
      <w:bookmarkStart w:id="8" w:name="_Toc104902852"/>
      <w:bookmarkStart w:id="9" w:name="_Toc104902900"/>
      <w:bookmarkStart w:id="10" w:name="_Toc104969040"/>
      <w:r>
        <w:rPr>
          <w:rStyle w:val="CharPartNo"/>
        </w:rPr>
        <w:lastRenderedPageBreak/>
        <w:t>Part 2</w:t>
      </w:r>
      <w:r>
        <w:rPr>
          <w:b w:val="0"/>
        </w:rPr>
        <w:t> </w:t>
      </w:r>
      <w:r>
        <w:t>—</w:t>
      </w:r>
      <w:r>
        <w:rPr>
          <w:b w:val="0"/>
        </w:rPr>
        <w:t> </w:t>
      </w:r>
      <w:r>
        <w:rPr>
          <w:rStyle w:val="CharPartText"/>
        </w:rPr>
        <w:t>General</w:t>
      </w:r>
      <w:bookmarkEnd w:id="8"/>
      <w:bookmarkEnd w:id="9"/>
      <w:bookmarkEnd w:id="10"/>
    </w:p>
    <w:p>
      <w:pPr>
        <w:pStyle w:val="Footnoteheading"/>
      </w:pPr>
      <w:r>
        <w:tab/>
        <w:t>[Heading inserted: Gazette 22 May 2009 p. 1701.]</w:t>
      </w:r>
    </w:p>
    <w:p>
      <w:pPr>
        <w:pStyle w:val="Heading5"/>
      </w:pPr>
      <w:bookmarkStart w:id="11" w:name="_Toc104969041"/>
      <w:r>
        <w:rPr>
          <w:rStyle w:val="CharSectno"/>
        </w:rPr>
        <w:t>3A</w:t>
      </w:r>
      <w:r>
        <w:t>.</w:t>
      </w:r>
      <w:r>
        <w:tab/>
        <w:t>Immaterial differences between counterparts (Act s. 4(1CA)(b)(v))</w:t>
      </w:r>
      <w:bookmarkEnd w:id="11"/>
    </w:p>
    <w:p>
      <w:pPr>
        <w:pStyle w:val="Subsection"/>
      </w:pPr>
      <w:r>
        <w:tab/>
      </w:r>
      <w:r>
        <w:tab/>
        <w:t xml:space="preserve">For the purposes of section 4(1CA)(b)(v) of the Act, the following are prescribed — </w:t>
      </w:r>
    </w:p>
    <w:p>
      <w:pPr>
        <w:pStyle w:val="Indenta"/>
      </w:pPr>
      <w:r>
        <w:tab/>
        <w:t>(a)</w:t>
      </w:r>
      <w:r>
        <w:tab/>
        <w:t>any certification given in accordance with the participation rules;</w:t>
      </w:r>
    </w:p>
    <w:p>
      <w:pPr>
        <w:pStyle w:val="Indenta"/>
      </w:pPr>
      <w:r>
        <w:tab/>
        <w:t>(b)</w:t>
      </w:r>
      <w:r>
        <w:tab/>
        <w:t xml:space="preserve">any certification or statement required under — </w:t>
      </w:r>
    </w:p>
    <w:p>
      <w:pPr>
        <w:pStyle w:val="Indenti"/>
      </w:pPr>
      <w:r>
        <w:tab/>
        <w:t>(i)</w:t>
      </w:r>
      <w:r>
        <w:tab/>
        <w:t>these regulations; or</w:t>
      </w:r>
    </w:p>
    <w:p>
      <w:pPr>
        <w:pStyle w:val="Indenti"/>
      </w:pPr>
      <w:r>
        <w:tab/>
        <w:t>(ii)</w:t>
      </w:r>
      <w:r>
        <w:tab/>
        <w:t>any requirement determined under section 182A of the Act;</w:t>
      </w:r>
    </w:p>
    <w:p>
      <w:pPr>
        <w:pStyle w:val="Indenta"/>
      </w:pPr>
      <w:r>
        <w:tab/>
        <w:t>(c)</w:t>
      </w:r>
      <w:r>
        <w:tab/>
        <w:t>any certification or statement required by the Commissioner or the Registrar or an approved form;</w:t>
      </w:r>
    </w:p>
    <w:p>
      <w:pPr>
        <w:pStyle w:val="Indenta"/>
      </w:pPr>
      <w:r>
        <w:tab/>
        <w:t>(d)</w:t>
      </w:r>
      <w:r>
        <w:tab/>
        <w:t xml:space="preserve">any data or information of an administrative nature and that — </w:t>
      </w:r>
    </w:p>
    <w:p>
      <w:pPr>
        <w:pStyle w:val="Indenti"/>
      </w:pPr>
      <w:r>
        <w:tab/>
        <w:t>(i)</w:t>
      </w:r>
      <w:r>
        <w:tab/>
        <w:t>is required by an approved form; or</w:t>
      </w:r>
    </w:p>
    <w:p>
      <w:pPr>
        <w:pStyle w:val="Indenti"/>
      </w:pPr>
      <w:r>
        <w:tab/>
        <w:t>(ii)</w:t>
      </w:r>
      <w:r>
        <w:tab/>
        <w:t>is required for the purposes of lodging a document electronically; or</w:t>
      </w:r>
    </w:p>
    <w:p>
      <w:pPr>
        <w:pStyle w:val="Indenti"/>
      </w:pPr>
      <w:r>
        <w:tab/>
        <w:t>(iii)</w:t>
      </w:r>
      <w:r>
        <w:tab/>
        <w:t>is included in or on a document as part of the lodgment process, or in connection with processing, registering, noting, filing or recording the document or any other document;</w:t>
      </w:r>
    </w:p>
    <w:p>
      <w:pPr>
        <w:pStyle w:val="Indenta"/>
      </w:pPr>
      <w:r>
        <w:tab/>
        <w:t>(e)</w:t>
      </w:r>
      <w:r>
        <w:tab/>
        <w:t>headings to a document or part of a document;</w:t>
      </w:r>
    </w:p>
    <w:p>
      <w:pPr>
        <w:pStyle w:val="Indenta"/>
      </w:pPr>
      <w:r>
        <w:tab/>
        <w:t>(f)</w:t>
      </w:r>
      <w:r>
        <w:tab/>
        <w:t>any identifier allocated to a document, for example a form number or approval number;</w:t>
      </w:r>
    </w:p>
    <w:p>
      <w:pPr>
        <w:pStyle w:val="Indenta"/>
      </w:pPr>
      <w:r>
        <w:tab/>
        <w:t>(g)</w:t>
      </w:r>
      <w:r>
        <w:tab/>
        <w:t>abbreviations of terms;</w:t>
      </w:r>
    </w:p>
    <w:p>
      <w:pPr>
        <w:pStyle w:val="Indenta"/>
      </w:pPr>
      <w:r>
        <w:tab/>
        <w:t>(h)</w:t>
      </w:r>
      <w:r>
        <w:tab/>
        <w:t xml:space="preserve">the formatting of a document, including (without limitation) — </w:t>
      </w:r>
    </w:p>
    <w:p>
      <w:pPr>
        <w:pStyle w:val="Indenti"/>
      </w:pPr>
      <w:r>
        <w:tab/>
        <w:t>(i)</w:t>
      </w:r>
      <w:r>
        <w:tab/>
        <w:t>the capitalisation of words;</w:t>
      </w:r>
    </w:p>
    <w:p>
      <w:pPr>
        <w:pStyle w:val="Indenti"/>
      </w:pPr>
      <w:r>
        <w:tab/>
        <w:t>(ii)</w:t>
      </w:r>
      <w:r>
        <w:tab/>
        <w:t>the numbering of provisions;</w:t>
      </w:r>
    </w:p>
    <w:p>
      <w:pPr>
        <w:pStyle w:val="Indenti"/>
      </w:pPr>
      <w:r>
        <w:lastRenderedPageBreak/>
        <w:tab/>
        <w:t>(iii)</w:t>
      </w:r>
      <w:r>
        <w:tab/>
        <w:t>page numbering;</w:t>
      </w:r>
    </w:p>
    <w:p>
      <w:pPr>
        <w:pStyle w:val="Indenti"/>
      </w:pPr>
      <w:r>
        <w:tab/>
        <w:t>(iv)</w:t>
      </w:r>
      <w:r>
        <w:tab/>
        <w:t>the presence or absence of lines, boxes and other similar typographical devices;</w:t>
      </w:r>
    </w:p>
    <w:p>
      <w:pPr>
        <w:pStyle w:val="Indenta"/>
      </w:pPr>
      <w:r>
        <w:tab/>
        <w:t>(i)</w:t>
      </w:r>
      <w:r>
        <w:tab/>
        <w:t>a logo or other similar material that identifies a document with a particular person or organisation;</w:t>
      </w:r>
    </w:p>
    <w:p>
      <w:pPr>
        <w:pStyle w:val="Indenta"/>
        <w:rPr>
          <w:szCs w:val="24"/>
        </w:rPr>
      </w:pPr>
      <w:r>
        <w:tab/>
        <w:t>(j)</w:t>
      </w:r>
      <w:r>
        <w:tab/>
        <w:t>information or data that consists of instructions or notes to assist in the completion of a document.</w:t>
      </w:r>
    </w:p>
    <w:p>
      <w:pPr>
        <w:pStyle w:val="Footnotesection"/>
      </w:pPr>
      <w:r>
        <w:tab/>
        <w:t>[Regulation 3A inserted: Gazette 30 May 2014 p. 1684.]</w:t>
      </w:r>
    </w:p>
    <w:p>
      <w:pPr>
        <w:pStyle w:val="Heading5"/>
      </w:pPr>
      <w:bookmarkStart w:id="12" w:name="_Toc104969042"/>
      <w:r>
        <w:rPr>
          <w:rStyle w:val="CharSectno"/>
        </w:rPr>
        <w:t>3</w:t>
      </w:r>
      <w:r>
        <w:t>.</w:t>
      </w:r>
      <w:r>
        <w:tab/>
        <w:t>Paper documents for lodgment, requirements for</w:t>
      </w:r>
      <w:bookmarkEnd w:id="12"/>
    </w:p>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Ednotesubsection"/>
      </w:pPr>
      <w:r>
        <w:tab/>
        <w:t>[(2)</w:t>
      </w:r>
      <w:r>
        <w:tab/>
        <w:t>deleted]</w:t>
      </w:r>
    </w:p>
    <w:p>
      <w:pPr>
        <w:pStyle w:val="Footnotesection"/>
      </w:pPr>
      <w:r>
        <w:tab/>
        <w:t>[Regulation 3 amended: Gazette 29 Dec 2006 p. 5915; 30 May 2014 p. 1685.]</w:t>
      </w:r>
    </w:p>
    <w:p>
      <w:pPr>
        <w:pStyle w:val="Heading5"/>
        <w:rPr>
          <w:snapToGrid w:val="0"/>
        </w:rPr>
      </w:pPr>
      <w:bookmarkStart w:id="13" w:name="_Toc104969043"/>
      <w:r>
        <w:rPr>
          <w:rStyle w:val="CharSectno"/>
        </w:rPr>
        <w:t>4</w:t>
      </w:r>
      <w:r>
        <w:t>.</w:t>
      </w:r>
      <w:r>
        <w:tab/>
      </w:r>
      <w:r>
        <w:rPr>
          <w:snapToGrid w:val="0"/>
        </w:rPr>
        <w:t>Certificates of title for land in existing certificate</w:t>
      </w:r>
      <w:bookmarkEnd w:id="13"/>
    </w:p>
    <w:p>
      <w:pPr>
        <w:pStyle w:val="Subsection"/>
        <w:rPr>
          <w:snapToGrid w:val="0"/>
        </w:rPr>
      </w:pPr>
      <w:r>
        <w:rPr>
          <w:snapToGrid w:val="0"/>
        </w:rPr>
        <w:tab/>
      </w:r>
      <w:r>
        <w:rPr>
          <w:snapToGrid w:val="0"/>
        </w:rPr>
        <w:tab/>
        <w:t xml:space="preserve">Where an application is made for a certificate of title for the whole or part of the land the subject of any existing certificate or certificates of title the Registrar may, if the Registrar thinks fit, instead of creating the certificate of title so applied for, </w:t>
      </w:r>
      <w:r>
        <w:rPr>
          <w:snapToGrid w:val="0"/>
        </w:rPr>
        <w:lastRenderedPageBreak/>
        <w:t>create and register a certificate of title for each lot or location or for any number of lots or locations included in that land.</w:t>
      </w:r>
    </w:p>
    <w:p>
      <w:pPr>
        <w:pStyle w:val="Heading5"/>
        <w:rPr>
          <w:snapToGrid w:val="0"/>
        </w:rPr>
      </w:pPr>
      <w:bookmarkStart w:id="14" w:name="_Toc104969044"/>
      <w:r>
        <w:rPr>
          <w:rStyle w:val="CharSectno"/>
        </w:rPr>
        <w:t>5</w:t>
      </w:r>
      <w:r>
        <w:t>.</w:t>
      </w:r>
      <w:r>
        <w:tab/>
      </w:r>
      <w:r>
        <w:rPr>
          <w:snapToGrid w:val="0"/>
        </w:rPr>
        <w:t>New certificate of title if old one too full for further endorsement</w:t>
      </w:r>
      <w:bookmarkEnd w:id="14"/>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Ednotesection"/>
      </w:pPr>
      <w:r>
        <w:t>[</w:t>
      </w:r>
      <w:r>
        <w:rPr>
          <w:b/>
          <w:bCs/>
        </w:rPr>
        <w:t>5A.</w:t>
      </w:r>
      <w:r>
        <w:tab/>
        <w:t>Deleted: Gazette 22 Mar 2016 p. 835.]</w:t>
      </w:r>
    </w:p>
    <w:p>
      <w:pPr>
        <w:pStyle w:val="Ednotesection"/>
      </w:pPr>
      <w:r>
        <w:t>[</w:t>
      </w:r>
      <w:r>
        <w:rPr>
          <w:b/>
          <w:bCs/>
        </w:rPr>
        <w:t>6, 7.</w:t>
      </w:r>
      <w:r>
        <w:tab/>
        <w:t>Deleted: Gazette 22 May 2009 p. 1701.]</w:t>
      </w:r>
    </w:p>
    <w:p>
      <w:pPr>
        <w:pStyle w:val="Heading5"/>
        <w:rPr>
          <w:snapToGrid w:val="0"/>
        </w:rPr>
      </w:pPr>
      <w:bookmarkStart w:id="15" w:name="_Toc104969045"/>
      <w:r>
        <w:rPr>
          <w:rStyle w:val="CharSectno"/>
        </w:rPr>
        <w:t>8</w:t>
      </w:r>
      <w:r>
        <w:t>.</w:t>
      </w:r>
      <w:r>
        <w:tab/>
      </w:r>
      <w:r>
        <w:rPr>
          <w:snapToGrid w:val="0"/>
        </w:rPr>
        <w:t>Area prescribed (Act s. 129C(1a))</w:t>
      </w:r>
      <w:bookmarkEnd w:id="15"/>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lastRenderedPageBreak/>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16" w:name="_Toc104902858"/>
      <w:bookmarkStart w:id="17" w:name="_Toc104902906"/>
      <w:bookmarkStart w:id="18" w:name="_Toc104969046"/>
      <w:r>
        <w:rPr>
          <w:rStyle w:val="CharPartNo"/>
        </w:rPr>
        <w:lastRenderedPageBreak/>
        <w:t>Part 3A</w:t>
      </w:r>
      <w:r>
        <w:t> — </w:t>
      </w:r>
      <w:r>
        <w:rPr>
          <w:rStyle w:val="CharPartText"/>
        </w:rPr>
        <w:t xml:space="preserve">Provisions relating to </w:t>
      </w:r>
      <w:r>
        <w:rPr>
          <w:rStyle w:val="CharPartText"/>
          <w:i/>
        </w:rPr>
        <w:t>Electronic Conveyancing Act 2014</w:t>
      </w:r>
      <w:bookmarkEnd w:id="16"/>
      <w:bookmarkEnd w:id="17"/>
      <w:bookmarkEnd w:id="18"/>
    </w:p>
    <w:p>
      <w:pPr>
        <w:pStyle w:val="Footnoteheading"/>
      </w:pPr>
      <w:r>
        <w:tab/>
        <w:t>[Heading inserted: Gazette 30 May 2014 p. 1685.]</w:t>
      </w:r>
    </w:p>
    <w:p>
      <w:pPr>
        <w:pStyle w:val="Heading3"/>
      </w:pPr>
      <w:bookmarkStart w:id="19" w:name="_Toc104902859"/>
      <w:bookmarkStart w:id="20" w:name="_Toc104902907"/>
      <w:bookmarkStart w:id="21" w:name="_Toc104969047"/>
      <w:r>
        <w:rPr>
          <w:rStyle w:val="CharDivNo"/>
        </w:rPr>
        <w:t>Division 1</w:t>
      </w:r>
      <w:r>
        <w:t> — </w:t>
      </w:r>
      <w:r>
        <w:rPr>
          <w:rStyle w:val="CharDivText"/>
        </w:rPr>
        <w:t>Certain registry instruments must be lodged by means of an ELN</w:t>
      </w:r>
      <w:bookmarkEnd w:id="19"/>
      <w:bookmarkEnd w:id="20"/>
      <w:bookmarkEnd w:id="21"/>
    </w:p>
    <w:p>
      <w:pPr>
        <w:pStyle w:val="Footnoteheading"/>
      </w:pPr>
      <w:r>
        <w:tab/>
        <w:t>[Heading inserted: Gazette 24 Nov 2017 p. 5680.]</w:t>
      </w:r>
    </w:p>
    <w:p>
      <w:pPr>
        <w:pStyle w:val="Heading5"/>
      </w:pPr>
      <w:bookmarkStart w:id="22" w:name="_Toc104969048"/>
      <w:r>
        <w:rPr>
          <w:rStyle w:val="CharSectno"/>
        </w:rPr>
        <w:t>8A</w:t>
      </w:r>
      <w:r>
        <w:t>.</w:t>
      </w:r>
      <w:r>
        <w:tab/>
        <w:t>Terms used</w:t>
      </w:r>
      <w:bookmarkEnd w:id="22"/>
    </w:p>
    <w:p>
      <w:pPr>
        <w:pStyle w:val="Subsection"/>
      </w:pPr>
      <w:r>
        <w:tab/>
        <w:t>(1)</w:t>
      </w:r>
      <w:r>
        <w:tab/>
        <w:t xml:space="preserve">In this Division — </w:t>
      </w:r>
    </w:p>
    <w:p>
      <w:pPr>
        <w:pStyle w:val="Defstart"/>
      </w:pPr>
      <w:r>
        <w:tab/>
      </w:r>
      <w:r>
        <w:rPr>
          <w:rStyle w:val="CharDefText"/>
        </w:rPr>
        <w:t>ELN</w:t>
      </w:r>
      <w:r>
        <w:t xml:space="preserve"> means an ELN provided and operated under the </w:t>
      </w:r>
      <w:r>
        <w:rPr>
          <w:i/>
        </w:rPr>
        <w:t>Electronic Conveyancing Act 2014</w:t>
      </w:r>
      <w:r>
        <w:t>.</w:t>
      </w:r>
    </w:p>
    <w:p>
      <w:pPr>
        <w:pStyle w:val="Subsection"/>
      </w:pPr>
      <w:r>
        <w:tab/>
        <w:t>(2)</w:t>
      </w:r>
      <w:r>
        <w:tab/>
        <w:t xml:space="preserve">If a term is given a meaning in the </w:t>
      </w:r>
      <w:r>
        <w:rPr>
          <w:i/>
        </w:rPr>
        <w:t>Electronic Conveyancing Act 2014</w:t>
      </w:r>
      <w:r>
        <w:t>, it has the same meaning in this Division unless the contrary intention appears in this Division.</w:t>
      </w:r>
    </w:p>
    <w:p>
      <w:pPr>
        <w:pStyle w:val="Footnotesection"/>
      </w:pPr>
      <w:r>
        <w:tab/>
        <w:t>[Regulation 8A inserted: Gazette 24 Nov 2017 p. 5680.]</w:t>
      </w:r>
    </w:p>
    <w:p>
      <w:pPr>
        <w:pStyle w:val="Heading5"/>
      </w:pPr>
      <w:bookmarkStart w:id="23" w:name="_Toc104969049"/>
      <w:r>
        <w:rPr>
          <w:rStyle w:val="CharSectno"/>
        </w:rPr>
        <w:t>8B</w:t>
      </w:r>
      <w:r>
        <w:t>.</w:t>
      </w:r>
      <w:r>
        <w:tab/>
        <w:t>Registry instruments to which this Division applies</w:t>
      </w:r>
      <w:bookmarkEnd w:id="23"/>
    </w:p>
    <w:p>
      <w:pPr>
        <w:pStyle w:val="Subsection"/>
      </w:pPr>
      <w:r>
        <w:tab/>
      </w:r>
      <w:r>
        <w:tab/>
        <w:t>This Division applies to a registry instrument that may be lodged under the Act for the purpose of —</w:t>
      </w:r>
    </w:p>
    <w:p>
      <w:pPr>
        <w:pStyle w:val="Indenta"/>
      </w:pPr>
      <w:r>
        <w:tab/>
        <w:t>(a)</w:t>
      </w:r>
      <w:r>
        <w:tab/>
        <w:t>mortgaging an estate or interest in land or discharging the mortgage of an estate or interest in land; or</w:t>
      </w:r>
    </w:p>
    <w:p>
      <w:pPr>
        <w:pStyle w:val="Indenta"/>
      </w:pPr>
      <w:r>
        <w:tab/>
        <w:t>(b)</w:t>
      </w:r>
      <w:r>
        <w:tab/>
        <w:t>transferring an estate or interest in land; or</w:t>
      </w:r>
    </w:p>
    <w:p>
      <w:pPr>
        <w:pStyle w:val="Indenta"/>
      </w:pPr>
      <w:r>
        <w:tab/>
        <w:t>(c)</w:t>
      </w:r>
      <w:r>
        <w:tab/>
        <w:t>getting a caveat noted or its noting withdrawn.</w:t>
      </w:r>
    </w:p>
    <w:p>
      <w:pPr>
        <w:pStyle w:val="Footnotesection"/>
      </w:pPr>
      <w:r>
        <w:tab/>
        <w:t>[Regulation 8B inserted: Gazette 24 Nov 2017 p. 5680.]</w:t>
      </w:r>
    </w:p>
    <w:p>
      <w:pPr>
        <w:pStyle w:val="Heading5"/>
      </w:pPr>
      <w:bookmarkStart w:id="24" w:name="_Toc104969050"/>
      <w:r>
        <w:rPr>
          <w:rStyle w:val="CharSectno"/>
        </w:rPr>
        <w:t>8C</w:t>
      </w:r>
      <w:r>
        <w:t>.</w:t>
      </w:r>
      <w:r>
        <w:tab/>
        <w:t>Certain registry instruments must be lodged by means of an ELN</w:t>
      </w:r>
      <w:bookmarkEnd w:id="24"/>
    </w:p>
    <w:p>
      <w:pPr>
        <w:pStyle w:val="Subsection"/>
      </w:pPr>
      <w:r>
        <w:tab/>
        <w:t>(1)</w:t>
      </w:r>
      <w:r>
        <w:tab/>
        <w:t>If a registry instrument can be lodged by means of an ELN, it must not be lodged otherwise than by means of an ELN.</w:t>
      </w:r>
    </w:p>
    <w:p>
      <w:pPr>
        <w:pStyle w:val="Subsection"/>
      </w:pPr>
      <w:r>
        <w:lastRenderedPageBreak/>
        <w:tab/>
        <w:t>(2)</w:t>
      </w:r>
      <w:r>
        <w:tab/>
        <w:t xml:space="preserve">For the purposes of subregulation (1), a registry instrument can be lodged by means of an ELN if — </w:t>
      </w:r>
    </w:p>
    <w:p>
      <w:pPr>
        <w:pStyle w:val="Indenta"/>
      </w:pPr>
      <w:r>
        <w:tab/>
        <w:t>(a)</w:t>
      </w:r>
      <w:r>
        <w:tab/>
        <w:t xml:space="preserve">the instrument can be lodged electronically under the Act, the </w:t>
      </w:r>
      <w:r>
        <w:rPr>
          <w:i/>
        </w:rPr>
        <w:t>Electronic Conveyancing Act 2014</w:t>
      </w:r>
      <w:r>
        <w:t xml:space="preserve"> and these regulations; and</w:t>
      </w:r>
    </w:p>
    <w:p>
      <w:pPr>
        <w:pStyle w:val="Indenta"/>
      </w:pPr>
      <w:r>
        <w:tab/>
        <w:t>(b)</w:t>
      </w:r>
      <w:r>
        <w:tab/>
        <w:t>the ELN provides for the lodgment of that type of registry instrument.</w:t>
      </w:r>
    </w:p>
    <w:p>
      <w:pPr>
        <w:pStyle w:val="Subsection"/>
      </w:pPr>
      <w:r>
        <w:tab/>
        <w:t>(3)</w:t>
      </w:r>
      <w:r>
        <w:tab/>
        <w:t>A failure to comply with subregulation (1) does not affect the validity of any registration, noting or withdrawal of noting under the Act.</w:t>
      </w:r>
    </w:p>
    <w:p>
      <w:pPr>
        <w:pStyle w:val="Subsection"/>
      </w:pPr>
      <w:r>
        <w:tab/>
        <w:t>(4)</w:t>
      </w:r>
      <w:r>
        <w:tab/>
        <w:t>Subregulation (1) has effect subject to the rest of this Division.</w:t>
      </w:r>
    </w:p>
    <w:p>
      <w:pPr>
        <w:pStyle w:val="Footnotesection"/>
      </w:pPr>
      <w:r>
        <w:tab/>
        <w:t>[Regulation 8C inserted: Gazette 24 Nov 2017 p. 5680.]</w:t>
      </w:r>
    </w:p>
    <w:p>
      <w:pPr>
        <w:pStyle w:val="Heading5"/>
      </w:pPr>
      <w:bookmarkStart w:id="25" w:name="_Toc104969051"/>
      <w:r>
        <w:rPr>
          <w:rStyle w:val="CharSectno"/>
        </w:rPr>
        <w:t>8D</w:t>
      </w:r>
      <w:r>
        <w:t>.</w:t>
      </w:r>
      <w:r>
        <w:tab/>
        <w:t>Where party to transaction is self</w:t>
      </w:r>
      <w:r>
        <w:noBreakHyphen/>
        <w:t>represented</w:t>
      </w:r>
      <w:bookmarkEnd w:id="25"/>
    </w:p>
    <w:p>
      <w:pPr>
        <w:pStyle w:val="Subsection"/>
      </w:pPr>
      <w:r>
        <w:tab/>
        <w:t>(1)</w:t>
      </w:r>
      <w:r>
        <w:tab/>
        <w:t>Subject to subregulation (3), regulation 8C(1) does not apply to a registry instrument if a person required to sign the instrument is self</w:t>
      </w:r>
      <w:r>
        <w:noBreakHyphen/>
        <w:t>represented and not a subscriber.</w:t>
      </w:r>
    </w:p>
    <w:p>
      <w:pPr>
        <w:pStyle w:val="Subsection"/>
      </w:pPr>
      <w:r>
        <w:tab/>
        <w:t>(2)</w:t>
      </w:r>
      <w:r>
        <w:tab/>
        <w:t>A person is self</w:t>
      </w:r>
      <w:r>
        <w:noBreakHyphen/>
        <w:t>represented, in relation to a registry instrument, if the person has not engaged another person, on a commercial basis, to assist in the completion of the conveyancing transaction for the purposes of which the instrument may be lodged.</w:t>
      </w:r>
    </w:p>
    <w:p>
      <w:pPr>
        <w:pStyle w:val="Subsection"/>
      </w:pPr>
      <w:r>
        <w:tab/>
        <w:t>(3)</w:t>
      </w:r>
      <w:r>
        <w:tab/>
        <w:t>If the purpose for which a registry instrument may be lodged is the mortgaging of an estate or interest in land or the discharging of the mortgage of an estate or interest in land, subregulation (1) has effect without reference to the mortgagor.</w:t>
      </w:r>
    </w:p>
    <w:p>
      <w:pPr>
        <w:pStyle w:val="Subsection"/>
      </w:pPr>
      <w:r>
        <w:tab/>
        <w:t>(4)</w:t>
      </w:r>
      <w:r>
        <w:tab/>
        <w:t>A person cannot use the exception in subregulation (1) in relation to more than 10 registry instruments in a 12 month period.</w:t>
      </w:r>
    </w:p>
    <w:p>
      <w:pPr>
        <w:pStyle w:val="Subsection"/>
        <w:keepNext/>
      </w:pPr>
      <w:r>
        <w:lastRenderedPageBreak/>
        <w:tab/>
        <w:t>(5)</w:t>
      </w:r>
      <w:r>
        <w:tab/>
        <w:t>A person uses the exception in subregulation (1) if they lodge, or a person on their behalf lodges, a registry instrument, other than by means of an ELN, in reliance on subregulation (1).</w:t>
      </w:r>
    </w:p>
    <w:p>
      <w:pPr>
        <w:pStyle w:val="Footnotesection"/>
      </w:pPr>
      <w:r>
        <w:tab/>
        <w:t>[Regulation 8D inserted: Gazette 24 Nov 2017 p. 5680-1.]</w:t>
      </w:r>
    </w:p>
    <w:p>
      <w:pPr>
        <w:pStyle w:val="Heading5"/>
      </w:pPr>
      <w:bookmarkStart w:id="26" w:name="_Toc104969052"/>
      <w:r>
        <w:rPr>
          <w:rStyle w:val="CharSectno"/>
        </w:rPr>
        <w:t>8E</w:t>
      </w:r>
      <w:r>
        <w:t>.</w:t>
      </w:r>
      <w:r>
        <w:tab/>
        <w:t>Where 2 or more registry instruments lodged simultaneously</w:t>
      </w:r>
      <w:bookmarkEnd w:id="26"/>
    </w:p>
    <w:p>
      <w:pPr>
        <w:pStyle w:val="Subsection"/>
      </w:pPr>
      <w:r>
        <w:tab/>
      </w:r>
      <w:r>
        <w:tab/>
        <w:t xml:space="preserve">Regulation 8C(1) does not apply to a registry instrument if — </w:t>
      </w:r>
    </w:p>
    <w:p>
      <w:pPr>
        <w:pStyle w:val="Indenta"/>
      </w:pPr>
      <w:r>
        <w:tab/>
        <w:t>(a)</w:t>
      </w:r>
      <w:r>
        <w:tab/>
        <w:t>the instrument is 1 of 2 or more registry instruments that are lodged at the same time; and</w:t>
      </w:r>
    </w:p>
    <w:p>
      <w:pPr>
        <w:pStyle w:val="Indenta"/>
      </w:pPr>
      <w:r>
        <w:tab/>
        <w:t>(b)</w:t>
      </w:r>
      <w:r>
        <w:tab/>
        <w:t>the Registrar is satisfied that the instruments are related; and</w:t>
      </w:r>
    </w:p>
    <w:p>
      <w:pPr>
        <w:pStyle w:val="Indenta"/>
      </w:pPr>
      <w:r>
        <w:tab/>
        <w:t>(c)</w:t>
      </w:r>
      <w:r>
        <w:tab/>
        <w:t xml:space="preserve">either — </w:t>
      </w:r>
    </w:p>
    <w:p>
      <w:pPr>
        <w:pStyle w:val="Indenti"/>
      </w:pPr>
      <w:r>
        <w:tab/>
        <w:t>(i)</w:t>
      </w:r>
      <w:r>
        <w:tab/>
        <w:t>there is no ELN by means of which all of the instruments may be lodged; or</w:t>
      </w:r>
    </w:p>
    <w:p>
      <w:pPr>
        <w:pStyle w:val="Indenti"/>
      </w:pPr>
      <w:r>
        <w:tab/>
        <w:t>(ii)</w:t>
      </w:r>
      <w:r>
        <w:tab/>
        <w:t>regulation 8C(1) does not apply to at least 1 of the instruments because of another provision of this Division.</w:t>
      </w:r>
    </w:p>
    <w:p>
      <w:pPr>
        <w:pStyle w:val="Footnotesection"/>
      </w:pPr>
      <w:r>
        <w:tab/>
        <w:t>[Regulation 8E inserted: Gazette 24 Nov 2017 p. 5681.]</w:t>
      </w:r>
    </w:p>
    <w:p>
      <w:pPr>
        <w:pStyle w:val="Heading5"/>
      </w:pPr>
      <w:bookmarkStart w:id="27" w:name="_Toc104969053"/>
      <w:r>
        <w:rPr>
          <w:rStyle w:val="CharSectno"/>
        </w:rPr>
        <w:t>8F</w:t>
      </w:r>
      <w:r>
        <w:t>.</w:t>
      </w:r>
      <w:r>
        <w:tab/>
        <w:t>Registrar’s power to exempt</w:t>
      </w:r>
      <w:bookmarkEnd w:id="27"/>
    </w:p>
    <w:p>
      <w:pPr>
        <w:pStyle w:val="Subsection"/>
      </w:pPr>
      <w:r>
        <w:tab/>
        <w:t>(1)</w:t>
      </w:r>
      <w:r>
        <w:tab/>
        <w:t xml:space="preserve">The Registrar may exempt a person or a class of person from complying with regulation 8C(1) if satisfied that — </w:t>
      </w:r>
    </w:p>
    <w:p>
      <w:pPr>
        <w:pStyle w:val="Indenta"/>
      </w:pPr>
      <w:r>
        <w:tab/>
        <w:t>(a)</w:t>
      </w:r>
      <w:r>
        <w:tab/>
        <w:t>it is in the public interest to do so; and</w:t>
      </w:r>
    </w:p>
    <w:p>
      <w:pPr>
        <w:pStyle w:val="Indenta"/>
      </w:pPr>
      <w:r>
        <w:tab/>
        <w:t>(b)</w:t>
      </w:r>
      <w:r>
        <w:tab/>
        <w:t>not to do so would result in 1 or more persons suffering hardship, undue inconvenience or undue expense.</w:t>
      </w:r>
    </w:p>
    <w:p>
      <w:pPr>
        <w:pStyle w:val="Subsection"/>
      </w:pPr>
      <w:r>
        <w:tab/>
        <w:t>(2)</w:t>
      </w:r>
      <w:r>
        <w:tab/>
        <w:t>The Registrar may grant an exemption by reference to a registry instrument or conveyancing transaction, a class of registry instrument or conveyancing transaction, all registry instruments or conveyancing transactions, or on some other basis.</w:t>
      </w:r>
    </w:p>
    <w:p>
      <w:pPr>
        <w:pStyle w:val="Footnotesection"/>
      </w:pPr>
      <w:r>
        <w:tab/>
        <w:t>[Regulation 8F inserted: Gazette 24 Nov 2017 p. 5681</w:t>
      </w:r>
      <w:r>
        <w:noBreakHyphen/>
        <w:t>2.]</w:t>
      </w:r>
    </w:p>
    <w:p>
      <w:pPr>
        <w:pStyle w:val="Heading5"/>
      </w:pPr>
      <w:bookmarkStart w:id="28" w:name="_Toc104969054"/>
      <w:r>
        <w:rPr>
          <w:rStyle w:val="CharSectno"/>
        </w:rPr>
        <w:lastRenderedPageBreak/>
        <w:t>8G</w:t>
      </w:r>
      <w:r>
        <w:t>.</w:t>
      </w:r>
      <w:r>
        <w:tab/>
        <w:t>When r. 8C(1) commences to apply to lodging certain registry instruments</w:t>
      </w:r>
      <w:bookmarkEnd w:id="28"/>
    </w:p>
    <w:p>
      <w:pPr>
        <w:pStyle w:val="Subsection"/>
      </w:pPr>
      <w:r>
        <w:tab/>
        <w:t>(1)</w:t>
      </w:r>
      <w:r>
        <w:tab/>
        <w:t xml:space="preserve">Regulation 8C(1) does not apply — </w:t>
      </w:r>
    </w:p>
    <w:p>
      <w:pPr>
        <w:pStyle w:val="Indenta"/>
      </w:pPr>
      <w:r>
        <w:tab/>
        <w:t>(a)</w:t>
      </w:r>
      <w:r>
        <w:tab/>
        <w:t>to lodging a registry instrument before the effective date for the instrument; or</w:t>
      </w:r>
    </w:p>
    <w:p>
      <w:pPr>
        <w:pStyle w:val="Indenta"/>
      </w:pPr>
      <w:r>
        <w:tab/>
        <w:t>(b)</w:t>
      </w:r>
      <w:r>
        <w:tab/>
        <w:t>to lodging a registry instrument if the instrument is signed, by at least 1 of the persons required to sign it, before the effective date for the instrument.</w:t>
      </w:r>
    </w:p>
    <w:p>
      <w:pPr>
        <w:pStyle w:val="Subsection"/>
      </w:pPr>
      <w:r>
        <w:tab/>
        <w:t>(2)</w:t>
      </w:r>
      <w:r>
        <w:tab/>
        <w:t xml:space="preserve">The effective date for a registry instrument is — </w:t>
      </w:r>
    </w:p>
    <w:p>
      <w:pPr>
        <w:pStyle w:val="Indenta"/>
      </w:pPr>
      <w:r>
        <w:tab/>
        <w:t>(a)</w:t>
      </w:r>
      <w:r>
        <w:tab/>
        <w:t>for an instrument that may be lodged for the purpose of mortgaging an estate or interest in land or discharging the mortgage of an estate or interest in land — 1 December 2017;</w:t>
      </w:r>
    </w:p>
    <w:p>
      <w:pPr>
        <w:pStyle w:val="Indenta"/>
      </w:pPr>
      <w:r>
        <w:tab/>
        <w:t>(b)</w:t>
      </w:r>
      <w:r>
        <w:tab/>
        <w:t>for an instrument that may be lodged for the purpose of transferring an estate or interest in land or getting a caveat noted or its noting withdrawn — 1 May 2018.</w:t>
      </w:r>
    </w:p>
    <w:p>
      <w:pPr>
        <w:pStyle w:val="Footnotesection"/>
      </w:pPr>
      <w:r>
        <w:tab/>
        <w:t>[Regulation 8G inserted: Gazette 24 Nov 2017 p. 5682.]</w:t>
      </w:r>
    </w:p>
    <w:p>
      <w:pPr>
        <w:pStyle w:val="Heading3"/>
      </w:pPr>
      <w:bookmarkStart w:id="29" w:name="_Toc104902867"/>
      <w:bookmarkStart w:id="30" w:name="_Toc104902915"/>
      <w:bookmarkStart w:id="31" w:name="_Toc104969055"/>
      <w:r>
        <w:rPr>
          <w:rStyle w:val="CharDivNo"/>
        </w:rPr>
        <w:t>Division 2</w:t>
      </w:r>
      <w:r>
        <w:t> — </w:t>
      </w:r>
      <w:r>
        <w:rPr>
          <w:rStyle w:val="CharDivText"/>
        </w:rPr>
        <w:t>General requirements</w:t>
      </w:r>
      <w:bookmarkEnd w:id="29"/>
      <w:bookmarkEnd w:id="30"/>
      <w:bookmarkEnd w:id="31"/>
    </w:p>
    <w:p>
      <w:pPr>
        <w:pStyle w:val="Footnoteheading"/>
      </w:pPr>
      <w:r>
        <w:tab/>
        <w:t>[Heading inserted: Gazette 24 Nov 2017 p. 5682.]</w:t>
      </w:r>
    </w:p>
    <w:p>
      <w:pPr>
        <w:pStyle w:val="Heading5"/>
      </w:pPr>
      <w:bookmarkStart w:id="32" w:name="_Toc104969056"/>
      <w:r>
        <w:rPr>
          <w:rStyle w:val="CharSectno"/>
        </w:rPr>
        <w:t>9AA</w:t>
      </w:r>
      <w:r>
        <w:t>.</w:t>
      </w:r>
      <w:r>
        <w:tab/>
        <w:t>Requirements relating to electronic lodgment of mortgages</w:t>
      </w:r>
      <w:bookmarkEnd w:id="32"/>
    </w:p>
    <w:p>
      <w:pPr>
        <w:pStyle w:val="Subsection"/>
      </w:pPr>
      <w:r>
        <w:tab/>
      </w:r>
      <w:r>
        <w:tab/>
        <w:t xml:space="preserve">An instrument for the registration of a mortgage over land can be lodged electronically under the </w:t>
      </w:r>
      <w:r>
        <w:rPr>
          <w:i/>
        </w:rPr>
        <w:t>Electronic Conveyancing Act 2014</w:t>
      </w:r>
      <w:r>
        <w:t xml:space="preserve"> section 7(1) only if — </w:t>
      </w:r>
    </w:p>
    <w:p>
      <w:pPr>
        <w:pStyle w:val="Indenta"/>
      </w:pPr>
      <w:r>
        <w:tab/>
        <w:t>(a)</w:t>
      </w:r>
      <w:r>
        <w:tab/>
        <w:t xml:space="preserve">the instrument — </w:t>
      </w:r>
    </w:p>
    <w:p>
      <w:pPr>
        <w:pStyle w:val="Indenti"/>
      </w:pPr>
      <w:r>
        <w:tab/>
        <w:t>(i)</w:t>
      </w:r>
      <w:r>
        <w:tab/>
        <w:t>is a counterpart, in electronic form, of the instrument purporting to mortgage the land; and</w:t>
      </w:r>
    </w:p>
    <w:p>
      <w:pPr>
        <w:pStyle w:val="Indenti"/>
      </w:pPr>
      <w:r>
        <w:tab/>
        <w:t>(ii)</w:t>
      </w:r>
      <w:r>
        <w:tab/>
        <w:t>purports to be digitally signed by or on behalf of the person who, on registration of the mortgage, will become the proprietor of the mortgage; and</w:t>
      </w:r>
    </w:p>
    <w:p>
      <w:pPr>
        <w:pStyle w:val="Indenti"/>
      </w:pPr>
      <w:r>
        <w:tab/>
        <w:t>(iii)</w:t>
      </w:r>
      <w:r>
        <w:tab/>
        <w:t>does not purport to be signed by or on behalf of the proprietor of the land;</w:t>
      </w:r>
    </w:p>
    <w:p>
      <w:pPr>
        <w:pStyle w:val="Indenta"/>
      </w:pPr>
      <w:r>
        <w:lastRenderedPageBreak/>
        <w:tab/>
      </w:r>
      <w:r>
        <w:tab/>
        <w:t>and</w:t>
      </w:r>
    </w:p>
    <w:p>
      <w:pPr>
        <w:pStyle w:val="Indenta"/>
      </w:pPr>
      <w:r>
        <w:tab/>
        <w:t>(b)</w:t>
      </w:r>
      <w:r>
        <w:tab/>
        <w:t>the subscriber who digitally signs the instrument provides the specific certification required by the participation rules in relation to the lodging of an instrument for the registration of a mortgage over land; and</w:t>
      </w:r>
    </w:p>
    <w:p>
      <w:pPr>
        <w:pStyle w:val="Indenta"/>
      </w:pPr>
      <w:r>
        <w:tab/>
        <w:t>(c)</w:t>
      </w:r>
      <w:r>
        <w:tab/>
        <w:t xml:space="preserve">the instrument to be lodged otherwise complies with — </w:t>
      </w:r>
    </w:p>
    <w:p>
      <w:pPr>
        <w:pStyle w:val="Indenti"/>
      </w:pPr>
      <w:r>
        <w:tab/>
        <w:t>(i)</w:t>
      </w:r>
      <w:r>
        <w:tab/>
        <w:t>the requirements of the Act and these regulations; and</w:t>
      </w:r>
    </w:p>
    <w:p>
      <w:pPr>
        <w:pStyle w:val="Indenti"/>
      </w:pPr>
      <w:r>
        <w:tab/>
        <w:t>(ii)</w:t>
      </w:r>
      <w:r>
        <w:tab/>
        <w:t>any requirements determined under section 182A of the Act; and</w:t>
      </w:r>
    </w:p>
    <w:p>
      <w:pPr>
        <w:pStyle w:val="Indenti"/>
      </w:pPr>
      <w:r>
        <w:tab/>
        <w:t>(iii)</w:t>
      </w:r>
      <w:r>
        <w:tab/>
        <w:t xml:space="preserve">the requirements of the </w:t>
      </w:r>
      <w:r>
        <w:rPr>
          <w:i/>
        </w:rPr>
        <w:t>Electronic Conveyancing Act 2014</w:t>
      </w:r>
      <w:r>
        <w:t xml:space="preserve"> and the participation rules;</w:t>
      </w:r>
    </w:p>
    <w:p>
      <w:pPr>
        <w:pStyle w:val="Indenta"/>
      </w:pPr>
      <w:r>
        <w:tab/>
      </w:r>
      <w:r>
        <w:tab/>
        <w:t>and</w:t>
      </w:r>
    </w:p>
    <w:p>
      <w:pPr>
        <w:pStyle w:val="Indenta"/>
      </w:pPr>
      <w:r>
        <w:tab/>
        <w:t>(d)</w:t>
      </w:r>
      <w:r>
        <w:tab/>
        <w:t>any requirement mentioned in paragraph (c)(i) to (iii) that relates to the lodging of the instrument is complied with.</w:t>
      </w:r>
    </w:p>
    <w:p>
      <w:pPr>
        <w:pStyle w:val="Footnotesection"/>
      </w:pPr>
      <w:r>
        <w:tab/>
        <w:t>[Regulation 9AA inserted: Gazette 30 May 2014 p. 1685.]</w:t>
      </w:r>
    </w:p>
    <w:p>
      <w:pPr>
        <w:pStyle w:val="Heading5"/>
      </w:pPr>
      <w:bookmarkStart w:id="33" w:name="_Toc104969057"/>
      <w:r>
        <w:rPr>
          <w:rStyle w:val="CharSectno"/>
        </w:rPr>
        <w:t>9AB</w:t>
      </w:r>
      <w:r>
        <w:t>.</w:t>
      </w:r>
      <w:r>
        <w:tab/>
        <w:t>Duplicate certificates of title where documents lodged electronically</w:t>
      </w:r>
      <w:bookmarkEnd w:id="33"/>
    </w:p>
    <w:p>
      <w:pPr>
        <w:pStyle w:val="Subsection"/>
      </w:pPr>
      <w:r>
        <w:tab/>
        <w:t>(1)</w:t>
      </w:r>
      <w:r>
        <w:tab/>
        <w:t xml:space="preserve">This regulation applies if — </w:t>
      </w:r>
    </w:p>
    <w:p>
      <w:pPr>
        <w:pStyle w:val="Indenta"/>
      </w:pPr>
      <w:r>
        <w:tab/>
        <w:t>(a)</w:t>
      </w:r>
      <w:r>
        <w:tab/>
        <w:t xml:space="preserve">a document can be lodged electronically under the </w:t>
      </w:r>
      <w:r>
        <w:rPr>
          <w:i/>
        </w:rPr>
        <w:t>Electronic Conveyancing Act 2014</w:t>
      </w:r>
      <w:r>
        <w:t xml:space="preserve"> section 7(1); and</w:t>
      </w:r>
    </w:p>
    <w:p>
      <w:pPr>
        <w:pStyle w:val="Indenta"/>
      </w:pPr>
      <w:r>
        <w:tab/>
        <w:t>(b)</w:t>
      </w:r>
      <w:r>
        <w:tab/>
        <w:t>in connection with the lodging of that document, the Act would otherwise require a duplicate certificate of title to be produced, presented or delivered up to the Registrar or to be brought in or lodged.</w:t>
      </w:r>
    </w:p>
    <w:p>
      <w:pPr>
        <w:pStyle w:val="Subsection"/>
      </w:pPr>
      <w:r>
        <w:tab/>
        <w:t>(2)</w:t>
      </w:r>
      <w:r>
        <w:tab/>
        <w:t xml:space="preserve">If this regulation applies — </w:t>
      </w:r>
    </w:p>
    <w:p>
      <w:pPr>
        <w:pStyle w:val="Indenta"/>
      </w:pPr>
      <w:r>
        <w:tab/>
        <w:t>(a)</w:t>
      </w:r>
      <w:r>
        <w:tab/>
        <w:t>the requirement to produce, present or deliver up to the Registrar, or to bring in or lodge, the duplicate certificate of title in connection with the lodging of the document is dispensed with; and</w:t>
      </w:r>
    </w:p>
    <w:p>
      <w:pPr>
        <w:pStyle w:val="Indenta"/>
      </w:pPr>
      <w:r>
        <w:lastRenderedPageBreak/>
        <w:tab/>
        <w:t>(b)</w:t>
      </w:r>
      <w:r>
        <w:tab/>
        <w:t xml:space="preserve">instead, the subscriber who digitally signs the document to be lodged electronically — </w:t>
      </w:r>
    </w:p>
    <w:p>
      <w:pPr>
        <w:pStyle w:val="Indenti"/>
      </w:pPr>
      <w:r>
        <w:tab/>
        <w:t>(i)</w:t>
      </w:r>
      <w:r>
        <w:tab/>
        <w:t>must have obtained possession of the duplicate certificate of title; and</w:t>
      </w:r>
    </w:p>
    <w:p>
      <w:pPr>
        <w:pStyle w:val="Indenti"/>
      </w:pPr>
      <w:r>
        <w:tab/>
        <w:t>(ii)</w:t>
      </w:r>
      <w:r>
        <w:tab/>
        <w:t>must have destroyed or invalidated the duplicate certificate of title; and</w:t>
      </w:r>
    </w:p>
    <w:p>
      <w:pPr>
        <w:pStyle w:val="Indenti"/>
      </w:pPr>
      <w:r>
        <w:tab/>
        <w:t>(iii)</w:t>
      </w:r>
      <w:r>
        <w:tab/>
        <w:t>must provide a certification, in accordance with the participation rules, that the duplicate certificate of title has been destroyed or invalidated.</w:t>
      </w:r>
    </w:p>
    <w:p>
      <w:pPr>
        <w:pStyle w:val="Footnotesection"/>
      </w:pPr>
      <w:r>
        <w:tab/>
        <w:t>[Regulation 9AB inserted: Gazette 30 May 2014 p. 1686.]</w:t>
      </w:r>
    </w:p>
    <w:p>
      <w:pPr>
        <w:pStyle w:val="Heading2"/>
      </w:pPr>
      <w:bookmarkStart w:id="34" w:name="_Toc104902870"/>
      <w:bookmarkStart w:id="35" w:name="_Toc104902918"/>
      <w:bookmarkStart w:id="36" w:name="_Toc104969058"/>
      <w:r>
        <w:rPr>
          <w:rStyle w:val="CharPartNo"/>
        </w:rPr>
        <w:lastRenderedPageBreak/>
        <w:t>Part 3B</w:t>
      </w:r>
      <w:r>
        <w:rPr>
          <w:rStyle w:val="CharDivNo"/>
        </w:rPr>
        <w:t> </w:t>
      </w:r>
      <w:r>
        <w:t>—</w:t>
      </w:r>
      <w:r>
        <w:rPr>
          <w:rStyle w:val="CharDivText"/>
        </w:rPr>
        <w:t> </w:t>
      </w:r>
      <w:r>
        <w:rPr>
          <w:rStyle w:val="CharPartText"/>
        </w:rPr>
        <w:t>Provisions relating to electronic service</w:t>
      </w:r>
      <w:bookmarkEnd w:id="34"/>
      <w:bookmarkEnd w:id="35"/>
      <w:bookmarkEnd w:id="36"/>
    </w:p>
    <w:p>
      <w:pPr>
        <w:pStyle w:val="Footnoteheading"/>
      </w:pPr>
      <w:r>
        <w:tab/>
        <w:t>[Heading inserted: Gazette 22 Mar 2016 p. 835.]</w:t>
      </w:r>
    </w:p>
    <w:p>
      <w:pPr>
        <w:pStyle w:val="Heading5"/>
      </w:pPr>
      <w:bookmarkStart w:id="37" w:name="_Toc104969059"/>
      <w:r>
        <w:rPr>
          <w:rStyle w:val="CharSectno"/>
        </w:rPr>
        <w:t>9AC</w:t>
      </w:r>
      <w:r>
        <w:t>.</w:t>
      </w:r>
      <w:r>
        <w:tab/>
        <w:t>Electronic service of notices</w:t>
      </w:r>
      <w:bookmarkEnd w:id="37"/>
    </w:p>
    <w:p>
      <w:pPr>
        <w:pStyle w:val="Subsection"/>
      </w:pPr>
      <w:r>
        <w:tab/>
        <w:t>(1)</w:t>
      </w:r>
      <w:r>
        <w:tab/>
        <w:t>For the purposes of section 240(1)(d) of the Act, where a person has specified in a caveat or an approved form that notices under this Act may be served on the person by sending the notice to an email address specified by the person, service is effected by sending the notice to that email address.</w:t>
      </w:r>
    </w:p>
    <w:p>
      <w:pPr>
        <w:pStyle w:val="Subsection"/>
      </w:pPr>
      <w:r>
        <w:tab/>
        <w:t>(2)</w:t>
      </w:r>
      <w:r>
        <w:tab/>
        <w:t>For the purposes of section 240(3)(c) of the Act, service of a notice that is sent by or on behalf of the Registrar or the Commissioner under subregulation (1) is deemed to be effected 24 hours after the notice is sent, unless within that 24 hour period the sender receives a notice of failure of delivery of the email.</w:t>
      </w:r>
    </w:p>
    <w:p>
      <w:pPr>
        <w:pStyle w:val="Subsection"/>
      </w:pPr>
      <w:r>
        <w:tab/>
        <w:t>(3)</w:t>
      </w:r>
      <w:r>
        <w:tab/>
        <w:t>Where the Commissioner or Registrar attempts to serve a notice by sending it to an email address but receives a notice of failure of delivery of the email, the Commissioner or Registrar may direct that the notice be resent to the email address or served on the person by any other means specified in section 240(1) of the Act.</w:t>
      </w:r>
    </w:p>
    <w:p>
      <w:pPr>
        <w:pStyle w:val="Footnotesection"/>
      </w:pPr>
      <w:r>
        <w:tab/>
        <w:t>[Regulation 9AC inserted: Gazette 22 Mar 2016 p. 835-6]</w:t>
      </w:r>
    </w:p>
    <w:p>
      <w:pPr>
        <w:pStyle w:val="Heading2"/>
      </w:pPr>
      <w:bookmarkStart w:id="38" w:name="_Toc104902872"/>
      <w:bookmarkStart w:id="39" w:name="_Toc104902920"/>
      <w:bookmarkStart w:id="40" w:name="_Toc104969060"/>
      <w:r>
        <w:rPr>
          <w:rStyle w:val="CharPartNo"/>
        </w:rPr>
        <w:lastRenderedPageBreak/>
        <w:t>Part 3</w:t>
      </w:r>
      <w:r>
        <w:t> — </w:t>
      </w:r>
      <w:r>
        <w:rPr>
          <w:rStyle w:val="CharPartText"/>
        </w:rPr>
        <w:t>Fees</w:t>
      </w:r>
      <w:bookmarkEnd w:id="38"/>
      <w:bookmarkEnd w:id="39"/>
      <w:bookmarkEnd w:id="40"/>
    </w:p>
    <w:p>
      <w:pPr>
        <w:pStyle w:val="Footnoteheading"/>
      </w:pPr>
      <w:r>
        <w:tab/>
        <w:t>[Heading inserted: Gazette 22 May 2009 p. 1701; amended: SL 2021/151 r. 12.]</w:t>
      </w:r>
    </w:p>
    <w:p>
      <w:pPr>
        <w:pStyle w:val="Heading5"/>
      </w:pPr>
      <w:bookmarkStart w:id="41" w:name="_Toc104969061"/>
      <w:r>
        <w:rPr>
          <w:rStyle w:val="CharSectno"/>
        </w:rPr>
        <w:t>9A</w:t>
      </w:r>
      <w:r>
        <w:t>.</w:t>
      </w:r>
      <w:r>
        <w:tab/>
        <w:t>Fees (Sch. 1)</w:t>
      </w:r>
      <w:bookmarkEnd w:id="41"/>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or 2 is the fee specified in that item;</w:t>
      </w:r>
    </w:p>
    <w:p>
      <w:pPr>
        <w:pStyle w:val="Indenta"/>
      </w:pPr>
      <w:r>
        <w:tab/>
        <w:t>(b)</w:t>
      </w:r>
      <w:r>
        <w:tab/>
        <w:t>from registration or recording is the fee specified in Schedule 1 Division 3 item 3.</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lastRenderedPageBreak/>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Ednotepara"/>
      </w:pPr>
      <w:r>
        <w:tab/>
        <w:t>[(c)</w:t>
      </w:r>
      <w:r>
        <w:tab/>
        <w:t>deleted]</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Subsection"/>
      </w:pPr>
      <w:r>
        <w:tab/>
        <w:t>(10)</w:t>
      </w:r>
      <w:r>
        <w:tab/>
        <w:t>Regulation 9B contains further supplementary provisions relating to fees.</w:t>
      </w:r>
    </w:p>
    <w:p>
      <w:pPr>
        <w:pStyle w:val="Footnotesection"/>
      </w:pPr>
      <w:r>
        <w:tab/>
        <w:t>[Regulation 9A inserted: Gazette 22 May 2009 p. 1701-2; amended: Gazette 22 Jun 2012 p. 2782; 23 Jun 2017 p. 3182; 21 May 2019 p. 1475; SL 2021/88 r. 8.]</w:t>
      </w:r>
    </w:p>
    <w:p>
      <w:pPr>
        <w:pStyle w:val="Heading5"/>
      </w:pPr>
      <w:bookmarkStart w:id="42" w:name="_Toc104969062"/>
      <w:r>
        <w:rPr>
          <w:rStyle w:val="CharSectno"/>
        </w:rPr>
        <w:t>9B</w:t>
      </w:r>
      <w:r>
        <w:t>.</w:t>
      </w:r>
      <w:r>
        <w:tab/>
        <w:t>Supplementary provisions relating to fees</w:t>
      </w:r>
      <w:bookmarkEnd w:id="42"/>
    </w:p>
    <w:p>
      <w:pPr>
        <w:pStyle w:val="Subsection"/>
      </w:pPr>
      <w:r>
        <w:tab/>
        <w:t>(1)</w:t>
      </w:r>
      <w:r>
        <w:tab/>
        <w:t>If a single approved form is used for 2 or more surrenders, Schedule 1 Division 1 item 3 applies separately in respect of each surrender.</w:t>
      </w:r>
    </w:p>
    <w:p>
      <w:pPr>
        <w:pStyle w:val="Subsection"/>
      </w:pPr>
      <w:r>
        <w:tab/>
        <w:t>(2)</w:t>
      </w:r>
      <w:r>
        <w:tab/>
        <w:t xml:space="preserve">The fee payable in respect of a caveat under Schedule 1 Division 2 item 1 remains payable (and therefore does not have </w:t>
      </w:r>
      <w:r>
        <w:lastRenderedPageBreak/>
        <w:t>to be refunded) even if the caveat becomes null and void under section 137(1C) of the Act.</w:t>
      </w:r>
    </w:p>
    <w:p>
      <w:pPr>
        <w:pStyle w:val="Subsection"/>
      </w:pPr>
      <w:r>
        <w:tab/>
        <w:t>(3)</w:t>
      </w:r>
      <w:r>
        <w:tab/>
        <w:t>If a single approved form is used to apply for the removal of 2 or more encumbrances from 1 or more certificates of title, Schedule 1 Division 4 item 7 applies separately in respect of each encumbrance.</w:t>
      </w:r>
    </w:p>
    <w:p>
      <w:pPr>
        <w:pStyle w:val="Subsection"/>
      </w:pPr>
      <w:r>
        <w:tab/>
        <w:t>(4)</w:t>
      </w:r>
      <w:r>
        <w:tab/>
        <w:t xml:space="preserve">The Registrar may, in a particular case, waive or refund a fee payable under a provision of Schedule 1 listed in subregulation (5) if the Registrar is satisfied that — </w:t>
      </w:r>
    </w:p>
    <w:p>
      <w:pPr>
        <w:pStyle w:val="Indenta"/>
      </w:pPr>
      <w:r>
        <w:tab/>
        <w:t>(a)</w:t>
      </w:r>
      <w:r>
        <w:tab/>
        <w:t>the case has arisen to deal with, or has otherwise arisen due to, the loss or destruction of, or damage to, a duplicate certificate of title; and</w:t>
      </w:r>
    </w:p>
    <w:p>
      <w:pPr>
        <w:pStyle w:val="Indenta"/>
      </w:pPr>
      <w:r>
        <w:tab/>
        <w:t>(b)</w:t>
      </w:r>
      <w:r>
        <w:tab/>
        <w:t xml:space="preserve">the loss, destruction or damage occurred as a result of — </w:t>
      </w:r>
    </w:p>
    <w:p>
      <w:pPr>
        <w:pStyle w:val="Indenti"/>
      </w:pPr>
      <w:r>
        <w:tab/>
        <w:t>(i)</w:t>
      </w:r>
      <w:r>
        <w:tab/>
        <w:t>a cyclone, earthquake, flood, storm, tsunami or other natural event; or</w:t>
      </w:r>
    </w:p>
    <w:p>
      <w:pPr>
        <w:pStyle w:val="Indenti"/>
      </w:pPr>
      <w:r>
        <w:tab/>
        <w:t>(ii)</w:t>
      </w:r>
      <w:r>
        <w:tab/>
        <w:t xml:space="preserve">an emergency (as defined in the </w:t>
      </w:r>
      <w:r>
        <w:rPr>
          <w:i/>
        </w:rPr>
        <w:t>Emergency Management Act 2005</w:t>
      </w:r>
      <w:r>
        <w:t xml:space="preserve"> section 3) in respect of which a state of emergency was declared under section 56 of that Act.</w:t>
      </w:r>
    </w:p>
    <w:p>
      <w:pPr>
        <w:pStyle w:val="Subsection"/>
      </w:pPr>
      <w:r>
        <w:tab/>
        <w:t>(5)</w:t>
      </w:r>
      <w:r>
        <w:tab/>
        <w:t xml:space="preserve">The provisions of Schedule 1 are as follows — </w:t>
      </w:r>
    </w:p>
    <w:p>
      <w:pPr>
        <w:pStyle w:val="Indenta"/>
      </w:pPr>
      <w:r>
        <w:tab/>
        <w:t>(a)</w:t>
      </w:r>
      <w:r>
        <w:tab/>
        <w:t>Division 4 item 6;</w:t>
      </w:r>
    </w:p>
    <w:p>
      <w:pPr>
        <w:pStyle w:val="Indenta"/>
      </w:pPr>
      <w:r>
        <w:tab/>
        <w:t>(b)</w:t>
      </w:r>
      <w:r>
        <w:tab/>
        <w:t>Division 5 item 1;</w:t>
      </w:r>
    </w:p>
    <w:p>
      <w:pPr>
        <w:pStyle w:val="Indenta"/>
      </w:pPr>
      <w:r>
        <w:tab/>
        <w:t>(c)</w:t>
      </w:r>
      <w:r>
        <w:tab/>
        <w:t>Division 5 item 3;</w:t>
      </w:r>
    </w:p>
    <w:p>
      <w:pPr>
        <w:pStyle w:val="Indenta"/>
      </w:pPr>
      <w:r>
        <w:tab/>
        <w:t>(d)</w:t>
      </w:r>
      <w:r>
        <w:tab/>
        <w:t>Division 6 item 6;</w:t>
      </w:r>
    </w:p>
    <w:p>
      <w:pPr>
        <w:pStyle w:val="Indenta"/>
      </w:pPr>
      <w:r>
        <w:tab/>
        <w:t>(e)</w:t>
      </w:r>
      <w:r>
        <w:tab/>
        <w:t>Division 7 item 1;</w:t>
      </w:r>
    </w:p>
    <w:p>
      <w:pPr>
        <w:pStyle w:val="Indenta"/>
      </w:pPr>
      <w:r>
        <w:tab/>
        <w:t>(f)</w:t>
      </w:r>
      <w:r>
        <w:tab/>
        <w:t>Division 7 item 6(b);</w:t>
      </w:r>
    </w:p>
    <w:p>
      <w:pPr>
        <w:pStyle w:val="Indenta"/>
      </w:pPr>
      <w:r>
        <w:tab/>
        <w:t>(g)</w:t>
      </w:r>
      <w:r>
        <w:tab/>
        <w:t>Division 7 item 12.</w:t>
      </w:r>
    </w:p>
    <w:p>
      <w:pPr>
        <w:pStyle w:val="Footnotesection"/>
      </w:pPr>
      <w:r>
        <w:tab/>
        <w:t>[Regulation 9A inserted: SL 2021/88 r. 9.]</w:t>
      </w:r>
    </w:p>
    <w:p>
      <w:pPr>
        <w:pStyle w:val="Ednotesection"/>
      </w:pPr>
      <w:r>
        <w:t>[</w:t>
      </w:r>
      <w:r>
        <w:rPr>
          <w:b/>
          <w:bCs/>
        </w:rPr>
        <w:t>9.</w:t>
      </w:r>
      <w:r>
        <w:rPr>
          <w:b/>
          <w:bCs/>
        </w:rPr>
        <w:tab/>
      </w:r>
      <w:r>
        <w:t>Deleted: Gazette 19 Jun 2009 p. 2236.]</w:t>
      </w:r>
    </w:p>
    <w:p>
      <w:pPr>
        <w:pStyle w:val="Heading2"/>
      </w:pPr>
      <w:bookmarkStart w:id="43" w:name="_Toc104902875"/>
      <w:bookmarkStart w:id="44" w:name="_Toc104902923"/>
      <w:bookmarkStart w:id="45" w:name="_Toc104969063"/>
      <w:r>
        <w:rPr>
          <w:rStyle w:val="CharPartNo"/>
        </w:rPr>
        <w:lastRenderedPageBreak/>
        <w:t>Part 4</w:t>
      </w:r>
      <w:r>
        <w:rPr>
          <w:b w:val="0"/>
        </w:rPr>
        <w:t> </w:t>
      </w:r>
      <w:r>
        <w:t>—</w:t>
      </w:r>
      <w:r>
        <w:rPr>
          <w:b w:val="0"/>
        </w:rPr>
        <w:t> </w:t>
      </w:r>
      <w:r>
        <w:rPr>
          <w:rStyle w:val="CharPartText"/>
        </w:rPr>
        <w:t>Inspection of Register</w:t>
      </w:r>
      <w:bookmarkEnd w:id="43"/>
      <w:bookmarkEnd w:id="44"/>
      <w:bookmarkEnd w:id="45"/>
    </w:p>
    <w:p>
      <w:pPr>
        <w:pStyle w:val="Footnoteheading"/>
      </w:pPr>
      <w:r>
        <w:tab/>
        <w:t>[Heading inserted: Gazette 22 May 2009 p. 1702.]</w:t>
      </w:r>
    </w:p>
    <w:p>
      <w:pPr>
        <w:pStyle w:val="Heading3"/>
      </w:pPr>
      <w:bookmarkStart w:id="46" w:name="_Toc104902876"/>
      <w:bookmarkStart w:id="47" w:name="_Toc104902924"/>
      <w:bookmarkStart w:id="48" w:name="_Toc104969064"/>
      <w:r>
        <w:rPr>
          <w:rStyle w:val="CharDivNo"/>
        </w:rPr>
        <w:t>Division 1</w:t>
      </w:r>
      <w:r>
        <w:t> — </w:t>
      </w:r>
      <w:r>
        <w:rPr>
          <w:rStyle w:val="CharDivText"/>
        </w:rPr>
        <w:t>Times for inspection of Register and related documents</w:t>
      </w:r>
      <w:bookmarkEnd w:id="46"/>
      <w:bookmarkEnd w:id="47"/>
      <w:bookmarkEnd w:id="48"/>
    </w:p>
    <w:p>
      <w:pPr>
        <w:pStyle w:val="Footnoteheading"/>
      </w:pPr>
      <w:r>
        <w:tab/>
        <w:t>[Heading inserted: Gazette 22 May 2009 p. 1702.]</w:t>
      </w:r>
    </w:p>
    <w:p>
      <w:pPr>
        <w:pStyle w:val="Heading5"/>
        <w:rPr>
          <w:snapToGrid w:val="0"/>
        </w:rPr>
      </w:pPr>
      <w:bookmarkStart w:id="49" w:name="_Toc104969065"/>
      <w:r>
        <w:rPr>
          <w:rStyle w:val="CharSectno"/>
        </w:rPr>
        <w:t>10</w:t>
      </w:r>
      <w:r>
        <w:rPr>
          <w:snapToGrid w:val="0"/>
        </w:rPr>
        <w:t>.</w:t>
      </w:r>
      <w:r>
        <w:rPr>
          <w:snapToGrid w:val="0"/>
        </w:rPr>
        <w:tab/>
        <w:t>Times for inspection prescribed (Act s. 239(1))</w:t>
      </w:r>
      <w:bookmarkEnd w:id="49"/>
    </w:p>
    <w:p>
      <w:pPr>
        <w:pStyle w:val="Subsection"/>
        <w:rPr>
          <w:snapToGrid w:val="0"/>
        </w:rPr>
      </w:pPr>
      <w:r>
        <w:rPr>
          <w:snapToGrid w:val="0"/>
        </w:rPr>
        <w:tab/>
        <w:t>(1)</w:t>
      </w:r>
      <w:r>
        <w:rPr>
          <w:snapToGrid w:val="0"/>
        </w:rPr>
        <w:tab/>
        <w:t xml:space="preserve">The inspection times prescribed for the purposes of section 239(1) of the Act are Mondays to Fridays (other than bank holidays or public service holidays) </w:t>
      </w:r>
      <w:r>
        <w:t>8.30 am</w:t>
      </w:r>
      <w:r>
        <w:rPr>
          <w:snapToGrid w:val="0"/>
        </w:rPr>
        <w:t xml:space="preserve">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Gazette 22 May 2009 p. 1702-3; amended: Gazette 19 Jun 2009 p. 2236; 21 May 2019 p. 1475.]</w:t>
      </w:r>
    </w:p>
    <w:p>
      <w:pPr>
        <w:pStyle w:val="Heading3"/>
      </w:pPr>
      <w:bookmarkStart w:id="50" w:name="_Toc104902878"/>
      <w:bookmarkStart w:id="51" w:name="_Toc104902926"/>
      <w:bookmarkStart w:id="52" w:name="_Toc104969066"/>
      <w:r>
        <w:rPr>
          <w:rStyle w:val="CharDivNo"/>
        </w:rPr>
        <w:t>Division 2</w:t>
      </w:r>
      <w:r>
        <w:t> — </w:t>
      </w:r>
      <w:r>
        <w:rPr>
          <w:rStyle w:val="CharDivText"/>
        </w:rPr>
        <w:t>Names index</w:t>
      </w:r>
      <w:bookmarkEnd w:id="50"/>
      <w:bookmarkEnd w:id="51"/>
      <w:bookmarkEnd w:id="52"/>
    </w:p>
    <w:p>
      <w:pPr>
        <w:pStyle w:val="Footnoteheading"/>
      </w:pPr>
      <w:r>
        <w:tab/>
        <w:t>[Heading inserted: Gazette 22 May 2009 p. 1703.]</w:t>
      </w:r>
    </w:p>
    <w:p>
      <w:pPr>
        <w:pStyle w:val="Heading5"/>
      </w:pPr>
      <w:bookmarkStart w:id="53" w:name="_Toc104969067"/>
      <w:r>
        <w:rPr>
          <w:rStyle w:val="CharSectno"/>
        </w:rPr>
        <w:t>11</w:t>
      </w:r>
      <w:r>
        <w:t>.</w:t>
      </w:r>
      <w:r>
        <w:tab/>
        <w:t>Terms used</w:t>
      </w:r>
      <w:bookmarkEnd w:id="53"/>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keepLines w:val="0"/>
      </w:pPr>
      <w:r>
        <w:tab/>
        <w:t>(i)</w:t>
      </w:r>
      <w:r>
        <w:tab/>
        <w:t>the name of each person who is a proprietor; and</w:t>
      </w:r>
    </w:p>
    <w:p>
      <w:pPr>
        <w:pStyle w:val="Defsubpara"/>
        <w:keepLines w:val="0"/>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keepLines w:val="0"/>
      </w:pPr>
      <w:r>
        <w:tab/>
        <w:t>(i)</w:t>
      </w:r>
      <w:r>
        <w:tab/>
        <w:t>the name of each person who is a proprietor; and</w:t>
      </w:r>
    </w:p>
    <w:p>
      <w:pPr>
        <w:pStyle w:val="Defsubpara"/>
        <w:keepLines w:val="0"/>
      </w:pPr>
      <w:r>
        <w:lastRenderedPageBreak/>
        <w:tab/>
        <w:t>(ii)</w:t>
      </w:r>
      <w:r>
        <w:tab/>
        <w:t>each interest a proprietor has; and</w:t>
      </w:r>
    </w:p>
    <w:p>
      <w:pPr>
        <w:pStyle w:val="Defsubpara"/>
        <w:keepLines w:val="0"/>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Gazette 22 May 2009 p. 1703.]</w:t>
      </w:r>
    </w:p>
    <w:p>
      <w:pPr>
        <w:pStyle w:val="Heading5"/>
      </w:pPr>
      <w:bookmarkStart w:id="54" w:name="_Toc104969068"/>
      <w:r>
        <w:rPr>
          <w:rStyle w:val="CharSectno"/>
        </w:rPr>
        <w:t>12</w:t>
      </w:r>
      <w:r>
        <w:t>.</w:t>
      </w:r>
      <w:r>
        <w:tab/>
        <w:t>Names index prescribed (Act s. 239(1)(k))</w:t>
      </w:r>
      <w:bookmarkEnd w:id="54"/>
    </w:p>
    <w:p>
      <w:pPr>
        <w:pStyle w:val="Subsection"/>
      </w:pPr>
      <w:r>
        <w:tab/>
      </w:r>
      <w:r>
        <w:tab/>
        <w:t>The names index is prescribed for the purposes of section 239(1)(k) of the Act.</w:t>
      </w:r>
    </w:p>
    <w:p>
      <w:pPr>
        <w:pStyle w:val="Footnotesection"/>
      </w:pPr>
      <w:r>
        <w:tab/>
        <w:t>[Regulation 12 inserted: Gazette 22 May 2009 p. 1703.]</w:t>
      </w:r>
    </w:p>
    <w:p>
      <w:pPr>
        <w:pStyle w:val="Heading5"/>
        <w:rPr>
          <w:snapToGrid w:val="0"/>
        </w:rPr>
      </w:pPr>
      <w:bookmarkStart w:id="55" w:name="_Toc104969069"/>
      <w:r>
        <w:rPr>
          <w:rStyle w:val="CharSectno"/>
        </w:rPr>
        <w:t>13</w:t>
      </w:r>
      <w:r>
        <w:t>.</w:t>
      </w:r>
      <w:r>
        <w:tab/>
      </w:r>
      <w:r>
        <w:rPr>
          <w:snapToGrid w:val="0"/>
        </w:rPr>
        <w:t>Application for information in names index to be excluded from inspections</w:t>
      </w:r>
      <w:bookmarkEnd w:id="55"/>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lastRenderedPageBreak/>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r>
        <w:tab/>
        <w:t>[Regulation 13 inserted: Gazette 22 May 2009 p. 1703-4; amended: Gazette 23 Jun 2017 p. 3182.]</w:t>
      </w:r>
    </w:p>
    <w:p>
      <w:pPr>
        <w:pStyle w:val="Heading5"/>
        <w:spacing w:before="240"/>
      </w:pPr>
      <w:bookmarkStart w:id="56" w:name="_Toc104969070"/>
      <w:r>
        <w:rPr>
          <w:rStyle w:val="CharSectno"/>
        </w:rPr>
        <w:t>14</w:t>
      </w:r>
      <w:r>
        <w:t>.</w:t>
      </w:r>
      <w:r>
        <w:tab/>
        <w:t>Suppressed information, provision of to government organisations</w:t>
      </w:r>
      <w:bookmarkEnd w:id="56"/>
    </w:p>
    <w:p>
      <w:pPr>
        <w:pStyle w:val="Subsection"/>
      </w:pPr>
      <w:r>
        <w:tab/>
        <w:t>(1)</w:t>
      </w:r>
      <w:r>
        <w:tab/>
        <w:t>The Registrar may provide suppressed information to a department or organisation by arrangement with its chief executive officer or chief employee.</w:t>
      </w:r>
    </w:p>
    <w:p>
      <w:pPr>
        <w:pStyle w:val="Subsection"/>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Gazette 22 May 2009 p. 1704.]</w:t>
      </w:r>
    </w:p>
    <w:p>
      <w:pPr>
        <w:pStyle w:val="Heading5"/>
      </w:pPr>
      <w:bookmarkStart w:id="57" w:name="_Toc104969071"/>
      <w:r>
        <w:rPr>
          <w:rStyle w:val="CharSectno"/>
        </w:rPr>
        <w:lastRenderedPageBreak/>
        <w:t>15</w:t>
      </w:r>
      <w:r>
        <w:t>.</w:t>
      </w:r>
      <w:r>
        <w:tab/>
        <w:t>Suppressed information, provision of to others</w:t>
      </w:r>
      <w:bookmarkEnd w:id="57"/>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Gazette 22 May 2009 p. 1704-5.]</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8" w:name="_Toc104902884"/>
      <w:bookmarkStart w:id="59" w:name="_Toc104902932"/>
      <w:bookmarkStart w:id="60" w:name="_Toc104969072"/>
      <w:r>
        <w:rPr>
          <w:rStyle w:val="CharSchNo"/>
        </w:rPr>
        <w:lastRenderedPageBreak/>
        <w:t>Schedule 1</w:t>
      </w:r>
      <w:r>
        <w:t xml:space="preserve"> — </w:t>
      </w:r>
      <w:r>
        <w:rPr>
          <w:rStyle w:val="CharSchText"/>
        </w:rPr>
        <w:t>Fees</w:t>
      </w:r>
      <w:bookmarkEnd w:id="58"/>
      <w:bookmarkEnd w:id="59"/>
      <w:bookmarkEnd w:id="60"/>
    </w:p>
    <w:p>
      <w:pPr>
        <w:pStyle w:val="yShoulderClause"/>
      </w:pPr>
      <w:r>
        <w:t>[r. 9A, 9B]</w:t>
      </w:r>
    </w:p>
    <w:p>
      <w:pPr>
        <w:pStyle w:val="yFootnoteheading"/>
      </w:pPr>
      <w:r>
        <w:tab/>
        <w:t>[Heading inserted: Gazette 21 May 2019 p. 1476.]</w:t>
      </w:r>
    </w:p>
    <w:p>
      <w:pPr>
        <w:pStyle w:val="yHeading3"/>
      </w:pPr>
      <w:bookmarkStart w:id="61" w:name="_Toc104902885"/>
      <w:bookmarkStart w:id="62" w:name="_Toc104902933"/>
      <w:bookmarkStart w:id="63" w:name="_Toc104969073"/>
      <w:r>
        <w:rPr>
          <w:rStyle w:val="CharSDivNo"/>
        </w:rPr>
        <w:t>Division 1</w:t>
      </w:r>
      <w:r>
        <w:t> — </w:t>
      </w:r>
      <w:r>
        <w:rPr>
          <w:rStyle w:val="CharSDivText"/>
        </w:rPr>
        <w:t>Registrations and recordings</w:t>
      </w:r>
      <w:bookmarkEnd w:id="61"/>
      <w:bookmarkEnd w:id="62"/>
      <w:bookmarkEnd w:id="63"/>
    </w:p>
    <w:p>
      <w:pPr>
        <w:pStyle w:val="yFootnoteheading"/>
      </w:pPr>
      <w:r>
        <w:tab/>
        <w:t>[Heading inserted: Gazette 21 May 2019 p. 1476.]</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pPr>
            <w:r>
              <w:t>Of a transfer of a mortgage or charge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first mortgage or charge </w:t>
            </w:r>
            <w:r>
              <w:tab/>
            </w:r>
          </w:p>
        </w:tc>
        <w:tc>
          <w:tcPr>
            <w:tcW w:w="1555" w:type="dxa"/>
          </w:tcPr>
          <w:p>
            <w:pPr>
              <w:pStyle w:val="yTableNAm"/>
              <w:rPr>
                <w:snapToGrid w:val="0"/>
              </w:rPr>
            </w:pPr>
            <w:r>
              <w:rPr>
                <w:szCs w:val="22"/>
              </w:rPr>
              <w:t>$181.30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subsequent mortgage or charge </w:t>
            </w:r>
            <w:r>
              <w:tab/>
            </w:r>
          </w:p>
        </w:tc>
        <w:tc>
          <w:tcPr>
            <w:tcW w:w="1555" w:type="dxa"/>
          </w:tcPr>
          <w:p>
            <w:pPr>
              <w:pStyle w:val="yTableNAm"/>
              <w:rPr>
                <w:snapToGrid w:val="0"/>
              </w:rPr>
            </w:pPr>
            <w:r>
              <w:rPr>
                <w:szCs w:val="22"/>
              </w:rPr>
              <w:t>$14.10</w:t>
            </w:r>
          </w:p>
        </w:tc>
      </w:tr>
      <w:tr>
        <w:trPr>
          <w:cantSplit/>
        </w:trPr>
        <w:tc>
          <w:tcPr>
            <w:tcW w:w="623" w:type="dxa"/>
          </w:tcPr>
          <w:p>
            <w:pPr>
              <w:pStyle w:val="yTableNAm"/>
              <w:rPr>
                <w:snapToGrid w:val="0"/>
              </w:rPr>
            </w:pPr>
            <w:r>
              <w:rPr>
                <w:snapToGrid w:val="0"/>
              </w:rPr>
              <w:t>2.</w:t>
            </w:r>
          </w:p>
        </w:tc>
        <w:tc>
          <w:tcPr>
            <w:tcW w:w="4902" w:type="dxa"/>
          </w:tcPr>
          <w:p>
            <w:pPr>
              <w:pStyle w:val="yTableNAm"/>
            </w:pPr>
            <w:r>
              <w:t>Of a transfer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(c)</w:t>
            </w:r>
            <w:r>
              <w:tab/>
              <w:t xml:space="preserve">on which duty is chargeable under the </w:t>
            </w:r>
            <w:r>
              <w:rPr>
                <w:i/>
                <w:iCs/>
              </w:rPr>
              <w:t>Stamp Act 1921</w:t>
            </w:r>
            <w:r>
              <w:t xml:space="preserve"> Second Schedule item 6 </w:t>
            </w:r>
            <w:r>
              <w:tab/>
            </w:r>
          </w:p>
        </w:tc>
        <w:tc>
          <w:tcPr>
            <w:tcW w:w="1555" w:type="dxa"/>
          </w:tcPr>
          <w:p>
            <w:pPr>
              <w:pStyle w:val="yTableNAm"/>
              <w:rPr>
                <w:snapToGrid w:val="0"/>
              </w:rPr>
            </w:pPr>
            <w:r>
              <w:rPr>
                <w:snapToGrid w:val="0"/>
              </w:rPr>
              <w:br/>
            </w:r>
            <w:r>
              <w:rPr>
                <w:szCs w:val="22"/>
              </w:rPr>
              <w:t>$181.30</w:t>
            </w:r>
          </w:p>
        </w:tc>
      </w:tr>
      <w:tr>
        <w:trPr>
          <w:cantSplit/>
        </w:trPr>
        <w:tc>
          <w:tcPr>
            <w:tcW w:w="623" w:type="dxa"/>
          </w:tcPr>
          <w:p>
            <w:pPr>
              <w:pStyle w:val="yTableNAm"/>
              <w:rPr>
                <w:snapToGrid w:val="0"/>
              </w:rPr>
            </w:pPr>
            <w:r>
              <w:rPr>
                <w:snapToGrid w:val="0"/>
              </w:rPr>
              <w:t>3.</w:t>
            </w:r>
          </w:p>
        </w:tc>
        <w:tc>
          <w:tcPr>
            <w:tcW w:w="4902" w:type="dxa"/>
          </w:tcPr>
          <w:p>
            <w:pPr>
              <w:pStyle w:val="yTableNAm"/>
              <w:tabs>
                <w:tab w:val="right" w:leader="dot" w:pos="4821"/>
              </w:tabs>
            </w:pPr>
            <w:r>
              <w:t xml:space="preserve">Of a transfer of a lease, surrender, easement or restrictive covenant </w:t>
            </w:r>
            <w:r>
              <w:tab/>
            </w:r>
          </w:p>
        </w:tc>
        <w:tc>
          <w:tcPr>
            <w:tcW w:w="1555" w:type="dxa"/>
          </w:tcPr>
          <w:p>
            <w:pPr>
              <w:pStyle w:val="yTableNAm"/>
              <w:rPr>
                <w:snapToGrid w:val="0"/>
              </w:rPr>
            </w:pPr>
            <w:r>
              <w:rPr>
                <w:snapToGrid w:val="0"/>
              </w:rPr>
              <w:br/>
            </w:r>
            <w:r>
              <w:rPr>
                <w:szCs w:val="22"/>
              </w:rPr>
              <w:t>$181.30</w:t>
            </w:r>
          </w:p>
        </w:tc>
      </w:tr>
      <w:tr>
        <w:trPr>
          <w:cantSplit/>
        </w:trPr>
        <w:tc>
          <w:tcPr>
            <w:tcW w:w="623" w:type="dxa"/>
          </w:tcPr>
          <w:p>
            <w:pPr>
              <w:pStyle w:val="yTableNAm"/>
              <w:rPr>
                <w:snapToGrid w:val="0"/>
              </w:rPr>
            </w:pPr>
            <w:r>
              <w:rPr>
                <w:snapToGrid w:val="0"/>
              </w:rPr>
              <w:t>4.</w:t>
            </w:r>
          </w:p>
        </w:tc>
        <w:tc>
          <w:tcPr>
            <w:tcW w:w="4902"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55" w:type="dxa"/>
          </w:tcPr>
          <w:p>
            <w:pPr>
              <w:pStyle w:val="yTableNAm"/>
              <w:rPr>
                <w:snapToGrid w:val="0"/>
                <w:sz w:val="18"/>
              </w:rPr>
            </w:pP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does not exceed $85 000 </w:t>
            </w:r>
            <w:r>
              <w:tab/>
            </w:r>
          </w:p>
        </w:tc>
        <w:tc>
          <w:tcPr>
            <w:tcW w:w="1555" w:type="dxa"/>
          </w:tcPr>
          <w:p>
            <w:pPr>
              <w:pStyle w:val="yTableNAm"/>
              <w:rPr>
                <w:snapToGrid w:val="0"/>
              </w:rPr>
            </w:pPr>
            <w:r>
              <w:rPr>
                <w:szCs w:val="22"/>
              </w:rPr>
              <w:t>$181.30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exceeds $85 000 but does not exceed $120 000 </w:t>
            </w:r>
            <w:r>
              <w:tab/>
            </w:r>
          </w:p>
        </w:tc>
        <w:tc>
          <w:tcPr>
            <w:tcW w:w="1555" w:type="dxa"/>
          </w:tcPr>
          <w:p>
            <w:pPr>
              <w:pStyle w:val="TableAm"/>
              <w:rPr>
                <w:sz w:val="22"/>
                <w:szCs w:val="22"/>
              </w:rPr>
            </w:pPr>
            <w:r>
              <w:rPr>
                <w:sz w:val="22"/>
                <w:szCs w:val="22"/>
              </w:rPr>
              <w:t>$191.30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exceeds $120 000 but does not exceed $200 000</w:t>
            </w:r>
            <w:r>
              <w:tab/>
            </w:r>
          </w:p>
        </w:tc>
        <w:tc>
          <w:tcPr>
            <w:tcW w:w="1555" w:type="dxa"/>
          </w:tcPr>
          <w:p>
            <w:pPr>
              <w:pStyle w:val="yTableNAm"/>
              <w:rPr>
                <w:snapToGrid w:val="0"/>
              </w:rPr>
            </w:pPr>
            <w:r>
              <w:rPr>
                <w:szCs w:val="22"/>
              </w:rPr>
              <w:t>$211.30</w:t>
            </w:r>
          </w:p>
        </w:tc>
      </w:tr>
      <w:tr>
        <w:trPr>
          <w:cantSplit/>
        </w:trPr>
        <w:tc>
          <w:tcPr>
            <w:tcW w:w="623" w:type="dxa"/>
          </w:tcPr>
          <w:p>
            <w:pPr>
              <w:pStyle w:val="yTableNAm"/>
              <w:rPr>
                <w:snapToGrid w:val="0"/>
              </w:rPr>
            </w:pPr>
          </w:p>
        </w:tc>
        <w:tc>
          <w:tcPr>
            <w:tcW w:w="4902" w:type="dxa"/>
          </w:tcPr>
          <w:p>
            <w:pPr>
              <w:pStyle w:val="yTableNAm"/>
              <w:tabs>
                <w:tab w:val="right" w:leader="dot" w:pos="4821"/>
              </w:tabs>
            </w:pPr>
            <w:r>
              <w:t xml:space="preserve">plus, for each whole or part of $100 000 above </w:t>
            </w:r>
            <w:r>
              <w:br/>
              <w:t xml:space="preserve">$200 000 </w:t>
            </w:r>
            <w:r>
              <w:tab/>
            </w:r>
          </w:p>
        </w:tc>
        <w:tc>
          <w:tcPr>
            <w:tcW w:w="1555" w:type="dxa"/>
          </w:tcPr>
          <w:p>
            <w:pPr>
              <w:pStyle w:val="yTableNAm"/>
              <w:rPr>
                <w:snapToGrid w:val="0"/>
              </w:rPr>
            </w:pPr>
            <w:r>
              <w:rPr>
                <w:snapToGrid w:val="0"/>
              </w:rPr>
              <w:br/>
              <w:t>$20.00</w:t>
            </w:r>
          </w:p>
        </w:tc>
      </w:tr>
      <w:tr>
        <w:trPr>
          <w:cantSplit/>
        </w:trPr>
        <w:tc>
          <w:tcPr>
            <w:tcW w:w="623" w:type="dxa"/>
          </w:tcPr>
          <w:p>
            <w:pPr>
              <w:pStyle w:val="yTableNAm"/>
              <w:rPr>
                <w:snapToGrid w:val="0"/>
              </w:rPr>
            </w:pPr>
          </w:p>
        </w:tc>
        <w:tc>
          <w:tcPr>
            <w:tcW w:w="4902"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pPr>
            <w:r>
              <w:rPr>
                <w:sz w:val="18"/>
              </w:rPr>
              <w:tab/>
              <w:t>(c)</w:t>
            </w:r>
            <w:r>
              <w:rPr>
                <w:sz w:val="18"/>
              </w:rPr>
              <w:tab/>
              <w:t>a separate value for each part is not allocated in the contract,</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546"/>
                <w:tab w:val="right" w:leader="dot" w:pos="4821"/>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55" w:type="dxa"/>
            <w:vAlign w:val="bottom"/>
          </w:tcPr>
          <w:p>
            <w:pPr>
              <w:pStyle w:val="yTableNAm"/>
              <w:rPr>
                <w:sz w:val="18"/>
              </w:rPr>
            </w:pPr>
          </w:p>
          <w:p>
            <w:pPr>
              <w:pStyle w:val="yTableNAm"/>
              <w:rPr>
                <w:sz w:val="18"/>
              </w:rPr>
            </w:pPr>
          </w:p>
          <w:p>
            <w:pPr>
              <w:pStyle w:val="yTableNAm"/>
              <w:rPr>
                <w:sz w:val="18"/>
              </w:rPr>
            </w:pPr>
          </w:p>
          <w:p>
            <w:pPr>
              <w:pStyle w:val="yTableNAm"/>
              <w:rPr>
                <w:snapToGrid w:val="0"/>
              </w:rPr>
            </w:pPr>
            <w:r>
              <w:rPr>
                <w:szCs w:val="22"/>
              </w:rPr>
              <w:t>$181.30</w:t>
            </w:r>
          </w:p>
        </w:tc>
      </w:tr>
      <w:tr>
        <w:trPr>
          <w:cantSplit/>
        </w:trPr>
        <w:tc>
          <w:tcPr>
            <w:tcW w:w="5525"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55" w:type="dxa"/>
          </w:tcPr>
          <w:p>
            <w:pPr>
              <w:pStyle w:val="yTableNAm"/>
              <w:rPr>
                <w:snapToGrid w:val="0"/>
              </w:rPr>
            </w:pPr>
          </w:p>
        </w:tc>
      </w:tr>
      <w:tr>
        <w:trPr>
          <w:cantSplit/>
        </w:trPr>
        <w:tc>
          <w:tcPr>
            <w:tcW w:w="623" w:type="dxa"/>
          </w:tcPr>
          <w:p>
            <w:pPr>
              <w:pStyle w:val="yTableNAm"/>
              <w:rPr>
                <w:snapToGrid w:val="0"/>
              </w:rPr>
            </w:pPr>
            <w:r>
              <w:rPr>
                <w:snapToGrid w:val="0"/>
              </w:rPr>
              <w:t>5.</w:t>
            </w:r>
          </w:p>
        </w:tc>
        <w:tc>
          <w:tcPr>
            <w:tcW w:w="4902" w:type="dxa"/>
          </w:tcPr>
          <w:p>
            <w:pPr>
              <w:pStyle w:val="yTableNAm"/>
              <w:tabs>
                <w:tab w:val="right" w:leader="dot" w:pos="4821"/>
              </w:tabs>
            </w:pPr>
            <w:r>
              <w:t>Of a mortgage or charge or of a whole or partial discharge of a mortgage or charge — for each interest</w:t>
            </w:r>
            <w:r>
              <w:rPr>
                <w:snapToGrid w:val="0"/>
                <w:sz w:val="24"/>
              </w:rPr>
              <w:t> </w:t>
            </w:r>
            <w:r>
              <w:tab/>
            </w:r>
          </w:p>
        </w:tc>
        <w:tc>
          <w:tcPr>
            <w:tcW w:w="1555" w:type="dxa"/>
          </w:tcPr>
          <w:p>
            <w:pPr>
              <w:pStyle w:val="yTableNAm"/>
              <w:rPr>
                <w:snapToGrid w:val="0"/>
              </w:rPr>
            </w:pPr>
            <w:r>
              <w:rPr>
                <w:snapToGrid w:val="0"/>
              </w:rPr>
              <w:br/>
            </w:r>
            <w:r>
              <w:rPr>
                <w:snapToGrid w:val="0"/>
              </w:rPr>
              <w:br/>
            </w:r>
            <w:r>
              <w:rPr>
                <w:szCs w:val="22"/>
              </w:rPr>
              <w:t>$181.30</w:t>
            </w:r>
          </w:p>
        </w:tc>
      </w:tr>
      <w:tr>
        <w:trPr>
          <w:cantSplit/>
        </w:trPr>
        <w:tc>
          <w:tcPr>
            <w:tcW w:w="623" w:type="dxa"/>
          </w:tcPr>
          <w:p>
            <w:pPr>
              <w:pStyle w:val="yTableNAm"/>
              <w:rPr>
                <w:snapToGrid w:val="0"/>
              </w:rPr>
            </w:pPr>
            <w:r>
              <w:rPr>
                <w:snapToGrid w:val="0"/>
              </w:rPr>
              <w:t>6.</w:t>
            </w:r>
          </w:p>
        </w:tc>
        <w:tc>
          <w:tcPr>
            <w:tcW w:w="4902" w:type="dxa"/>
          </w:tcPr>
          <w:p>
            <w:pPr>
              <w:pStyle w:val="yTableNAm"/>
              <w:tabs>
                <w:tab w:val="right" w:leader="dot" w:pos="4821"/>
              </w:tabs>
            </w:pPr>
            <w:r>
              <w:t xml:space="preserve">Of an extension of a mortgage or charge — for each interest </w:t>
            </w:r>
            <w:r>
              <w:tab/>
            </w:r>
          </w:p>
        </w:tc>
        <w:tc>
          <w:tcPr>
            <w:tcW w:w="1555" w:type="dxa"/>
          </w:tcPr>
          <w:p>
            <w:pPr>
              <w:pStyle w:val="yTableNAm"/>
              <w:rPr>
                <w:snapToGrid w:val="0"/>
              </w:rPr>
            </w:pPr>
            <w:r>
              <w:rPr>
                <w:snapToGrid w:val="0"/>
              </w:rPr>
              <w:br/>
            </w:r>
            <w:r>
              <w:rPr>
                <w:szCs w:val="22"/>
              </w:rPr>
              <w:t>$181.30</w:t>
            </w:r>
          </w:p>
        </w:tc>
      </w:tr>
      <w:tr>
        <w:trPr>
          <w:cantSplit/>
        </w:trPr>
        <w:tc>
          <w:tcPr>
            <w:tcW w:w="623" w:type="dxa"/>
          </w:tcPr>
          <w:p>
            <w:pPr>
              <w:pStyle w:val="yTableNAm"/>
              <w:rPr>
                <w:snapToGrid w:val="0"/>
              </w:rPr>
            </w:pPr>
            <w:r>
              <w:rPr>
                <w:snapToGrid w:val="0"/>
              </w:rPr>
              <w:t>7.</w:t>
            </w:r>
          </w:p>
        </w:tc>
        <w:tc>
          <w:tcPr>
            <w:tcW w:w="4902" w:type="dxa"/>
          </w:tcPr>
          <w:p>
            <w:pPr>
              <w:pStyle w:val="yTableNAm"/>
              <w:tabs>
                <w:tab w:val="right" w:leader="dot" w:pos="4821"/>
              </w:tabs>
            </w:pPr>
            <w:r>
              <w:t>Of a Crown lease or of a freehold lease or sub</w:t>
            </w:r>
            <w:r>
              <w:noBreakHyphen/>
              <w:t xml:space="preserve">lease or extension of a freehold lease </w:t>
            </w:r>
            <w:r>
              <w:tab/>
            </w:r>
          </w:p>
        </w:tc>
        <w:tc>
          <w:tcPr>
            <w:tcW w:w="1555" w:type="dxa"/>
          </w:tcPr>
          <w:p>
            <w:pPr>
              <w:pStyle w:val="yTableNAm"/>
              <w:rPr>
                <w:snapToGrid w:val="0"/>
              </w:rPr>
            </w:pPr>
            <w:r>
              <w:rPr>
                <w:snapToGrid w:val="0"/>
              </w:rPr>
              <w:br/>
            </w:r>
            <w:r>
              <w:rPr>
                <w:szCs w:val="22"/>
              </w:rPr>
              <w:t>$181.30</w:t>
            </w:r>
          </w:p>
        </w:tc>
      </w:tr>
      <w:tr>
        <w:trPr>
          <w:cantSplit/>
        </w:trPr>
        <w:tc>
          <w:tcPr>
            <w:tcW w:w="623" w:type="dxa"/>
          </w:tcPr>
          <w:p>
            <w:pPr>
              <w:pStyle w:val="yTableNAm"/>
              <w:rPr>
                <w:snapToGrid w:val="0"/>
              </w:rPr>
            </w:pPr>
            <w:r>
              <w:rPr>
                <w:snapToGrid w:val="0"/>
              </w:rPr>
              <w:t>8.</w:t>
            </w:r>
          </w:p>
        </w:tc>
        <w:tc>
          <w:tcPr>
            <w:tcW w:w="4902" w:type="dxa"/>
          </w:tcPr>
          <w:p>
            <w:pPr>
              <w:pStyle w:val="yTableNAm"/>
              <w:tabs>
                <w:tab w:val="right" w:leader="dot" w:pos="4821"/>
              </w:tabs>
            </w:pPr>
            <w:r>
              <w:t xml:space="preserve">Of a memorial or notification under any State or Commonwealth Act (unless exempted from payment under that Act) </w:t>
            </w:r>
            <w:r>
              <w:tab/>
            </w:r>
          </w:p>
        </w:tc>
        <w:tc>
          <w:tcPr>
            <w:tcW w:w="1555" w:type="dxa"/>
          </w:tcPr>
          <w:p>
            <w:pPr>
              <w:pStyle w:val="yTableNAm"/>
              <w:rPr>
                <w:snapToGrid w:val="0"/>
              </w:rPr>
            </w:pPr>
            <w:r>
              <w:rPr>
                <w:snapToGrid w:val="0"/>
              </w:rPr>
              <w:br/>
            </w:r>
            <w:r>
              <w:rPr>
                <w:snapToGrid w:val="0"/>
              </w:rPr>
              <w:br/>
            </w:r>
            <w:r>
              <w:rPr>
                <w:szCs w:val="22"/>
              </w:rPr>
              <w:t>$181.30</w:t>
            </w:r>
          </w:p>
        </w:tc>
      </w:tr>
      <w:tr>
        <w:trPr>
          <w:cantSplit/>
        </w:trPr>
        <w:tc>
          <w:tcPr>
            <w:tcW w:w="623" w:type="dxa"/>
          </w:tcPr>
          <w:p>
            <w:pPr>
              <w:pStyle w:val="yTableNAm"/>
              <w:rPr>
                <w:snapToGrid w:val="0"/>
              </w:rPr>
            </w:pPr>
            <w:r>
              <w:rPr>
                <w:snapToGrid w:val="0"/>
              </w:rPr>
              <w:t>9.</w:t>
            </w:r>
          </w:p>
        </w:tc>
        <w:tc>
          <w:tcPr>
            <w:tcW w:w="4902" w:type="dxa"/>
          </w:tcPr>
          <w:p>
            <w:pPr>
              <w:pStyle w:val="yTableNAm"/>
              <w:tabs>
                <w:tab w:val="right" w:leader="dot" w:pos="4821"/>
              </w:tabs>
            </w:pPr>
            <w:r>
              <w:t xml:space="preserve">Of an order of the Supreme Court, the District Court or a Magistrates Court </w:t>
            </w:r>
            <w:r>
              <w:tab/>
            </w:r>
          </w:p>
        </w:tc>
        <w:tc>
          <w:tcPr>
            <w:tcW w:w="1555" w:type="dxa"/>
          </w:tcPr>
          <w:p>
            <w:pPr>
              <w:pStyle w:val="yTableNAm"/>
              <w:rPr>
                <w:snapToGrid w:val="0"/>
              </w:rPr>
            </w:pPr>
            <w:r>
              <w:rPr>
                <w:snapToGrid w:val="0"/>
              </w:rPr>
              <w:br/>
            </w:r>
            <w:r>
              <w:rPr>
                <w:szCs w:val="22"/>
              </w:rPr>
              <w:t>$181.30</w:t>
            </w:r>
          </w:p>
        </w:tc>
      </w:tr>
      <w:tr>
        <w:trPr>
          <w:cantSplit/>
        </w:trPr>
        <w:tc>
          <w:tcPr>
            <w:tcW w:w="623" w:type="dxa"/>
          </w:tcPr>
          <w:p>
            <w:pPr>
              <w:pStyle w:val="yTableNAm"/>
              <w:rPr>
                <w:snapToGrid w:val="0"/>
              </w:rPr>
            </w:pPr>
            <w:r>
              <w:rPr>
                <w:snapToGrid w:val="0"/>
              </w:rPr>
              <w:t>10.</w:t>
            </w:r>
          </w:p>
        </w:tc>
        <w:tc>
          <w:tcPr>
            <w:tcW w:w="4902" w:type="dxa"/>
          </w:tcPr>
          <w:p>
            <w:pPr>
              <w:pStyle w:val="yTableNAm"/>
              <w:tabs>
                <w:tab w:val="right" w:leader="dot" w:pos="4821"/>
              </w:tabs>
            </w:pPr>
            <w:r>
              <w:t xml:space="preserve">Of revocation of a power of attorney </w:t>
            </w:r>
            <w:r>
              <w:tab/>
            </w:r>
          </w:p>
        </w:tc>
        <w:tc>
          <w:tcPr>
            <w:tcW w:w="1555" w:type="dxa"/>
          </w:tcPr>
          <w:p>
            <w:pPr>
              <w:pStyle w:val="yTableNAm"/>
              <w:rPr>
                <w:snapToGrid w:val="0"/>
              </w:rPr>
            </w:pPr>
            <w:r>
              <w:rPr>
                <w:szCs w:val="22"/>
              </w:rPr>
              <w:t>$181.30</w:t>
            </w:r>
          </w:p>
        </w:tc>
      </w:tr>
      <w:tr>
        <w:trPr>
          <w:cantSplit/>
        </w:trPr>
        <w:tc>
          <w:tcPr>
            <w:tcW w:w="623" w:type="dxa"/>
          </w:tcPr>
          <w:p>
            <w:pPr>
              <w:pStyle w:val="yTableNAm"/>
              <w:rPr>
                <w:snapToGrid w:val="0"/>
              </w:rPr>
            </w:pPr>
            <w:r>
              <w:rPr>
                <w:snapToGrid w:val="0"/>
              </w:rPr>
              <w:t>11.</w:t>
            </w:r>
          </w:p>
        </w:tc>
        <w:tc>
          <w:tcPr>
            <w:tcW w:w="4902" w:type="dxa"/>
          </w:tcPr>
          <w:p>
            <w:pPr>
              <w:pStyle w:val="yTableNAm"/>
              <w:tabs>
                <w:tab w:val="right" w:leader="dot" w:pos="4821"/>
              </w:tabs>
            </w:pPr>
            <w:r>
              <w:t xml:space="preserve">Of an instrument not specifically provided for in this Division </w:t>
            </w:r>
            <w:r>
              <w:tab/>
            </w:r>
          </w:p>
        </w:tc>
        <w:tc>
          <w:tcPr>
            <w:tcW w:w="1555" w:type="dxa"/>
          </w:tcPr>
          <w:p>
            <w:pPr>
              <w:pStyle w:val="yTableNAm"/>
              <w:rPr>
                <w:snapToGrid w:val="0"/>
              </w:rPr>
            </w:pPr>
            <w:r>
              <w:rPr>
                <w:snapToGrid w:val="0"/>
              </w:rPr>
              <w:br/>
            </w:r>
            <w:r>
              <w:rPr>
                <w:szCs w:val="22"/>
              </w:rPr>
              <w:t>$181.30</w:t>
            </w:r>
          </w:p>
        </w:tc>
      </w:tr>
    </w:tbl>
    <w:p>
      <w:pPr>
        <w:pStyle w:val="yFootnotesection"/>
      </w:pPr>
      <w:r>
        <w:tab/>
        <w:t>[Division 1 inserted: Gazette 21 May 2019 p. 1476</w:t>
      </w:r>
      <w:r>
        <w:noBreakHyphen/>
        <w:t>7; amended: SL 2020/76 r. 8; SL 2021/88 r. 10(4).]</w:t>
      </w:r>
    </w:p>
    <w:p>
      <w:pPr>
        <w:pStyle w:val="yHeading3"/>
      </w:pPr>
      <w:bookmarkStart w:id="64" w:name="_Toc104902886"/>
      <w:bookmarkStart w:id="65" w:name="_Toc104902934"/>
      <w:bookmarkStart w:id="66" w:name="_Toc104969074"/>
      <w:r>
        <w:rPr>
          <w:rStyle w:val="CharSDivNo"/>
        </w:rPr>
        <w:t>Division 2</w:t>
      </w:r>
      <w:r>
        <w:t> — </w:t>
      </w:r>
      <w:r>
        <w:rPr>
          <w:rStyle w:val="CharSDivText"/>
        </w:rPr>
        <w:t>Lodgments</w:t>
      </w:r>
      <w:bookmarkEnd w:id="64"/>
      <w:bookmarkEnd w:id="65"/>
      <w:bookmarkEnd w:id="66"/>
    </w:p>
    <w:p>
      <w:pPr>
        <w:pStyle w:val="yFootnoteheading"/>
      </w:pPr>
      <w:r>
        <w:tab/>
        <w:t>[Heading inserted: Gazette 21 May 2019 p. 1477.]</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tabs>
                <w:tab w:val="clear" w:pos="567"/>
                <w:tab w:val="right" w:leader="dot" w:pos="4821"/>
              </w:tabs>
            </w:pPr>
            <w:r>
              <w:t xml:space="preserve">Of a caveat, a power of attorney or a declaration of trust </w:t>
            </w:r>
            <w:r>
              <w:tab/>
            </w:r>
          </w:p>
        </w:tc>
        <w:tc>
          <w:tcPr>
            <w:tcW w:w="1555" w:type="dxa"/>
          </w:tcPr>
          <w:p>
            <w:pPr>
              <w:pStyle w:val="yTableNAm"/>
              <w:rPr>
                <w:snapToGrid w:val="0"/>
              </w:rPr>
            </w:pPr>
            <w:r>
              <w:rPr>
                <w:snapToGrid w:val="0"/>
              </w:rPr>
              <w:br/>
            </w:r>
            <w:r>
              <w:rPr>
                <w:szCs w:val="22"/>
              </w:rPr>
              <w:t>$181.30</w:t>
            </w:r>
          </w:p>
        </w:tc>
      </w:tr>
      <w:tr>
        <w:trPr>
          <w:cantSplit/>
        </w:trPr>
        <w:tc>
          <w:tcPr>
            <w:tcW w:w="623" w:type="dxa"/>
          </w:tcPr>
          <w:p>
            <w:pPr>
              <w:pStyle w:val="yTableNAm"/>
              <w:rPr>
                <w:snapToGrid w:val="0"/>
              </w:rPr>
            </w:pPr>
            <w:r>
              <w:rPr>
                <w:snapToGrid w:val="0"/>
              </w:rPr>
              <w:t>2.</w:t>
            </w:r>
          </w:p>
        </w:tc>
        <w:tc>
          <w:tcPr>
            <w:tcW w:w="4902" w:type="dxa"/>
          </w:tcPr>
          <w:p>
            <w:pPr>
              <w:pStyle w:val="yTableNAm"/>
            </w:pPr>
            <w:r>
              <w:t>Of a deposited plan of Crown land that is not a subdivision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55" w:type="dxa"/>
          </w:tcPr>
          <w:p>
            <w:pPr>
              <w:pStyle w:val="yTableNAm"/>
              <w:rPr>
                <w:snapToGrid w:val="0"/>
              </w:rPr>
            </w:pPr>
            <w:r>
              <w:rPr>
                <w:szCs w:val="22"/>
              </w:rPr>
              <w:t>$293.00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 xml:space="preserve">for each lot </w:t>
            </w:r>
            <w:r>
              <w:tab/>
            </w:r>
          </w:p>
        </w:tc>
        <w:tc>
          <w:tcPr>
            <w:tcW w:w="1555" w:type="dxa"/>
          </w:tcPr>
          <w:p>
            <w:pPr>
              <w:pStyle w:val="yTableNAm"/>
              <w:rPr>
                <w:snapToGrid w:val="0"/>
              </w:rPr>
            </w:pPr>
            <w:r>
              <w:rPr>
                <w:szCs w:val="22"/>
              </w:rPr>
              <w:t>$76.00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(c)</w:t>
            </w:r>
            <w:r>
              <w:tab/>
              <w:t xml:space="preserve">for each sheet in addition to the first sheet </w:t>
            </w:r>
            <w:r>
              <w:tab/>
            </w:r>
          </w:p>
        </w:tc>
        <w:tc>
          <w:tcPr>
            <w:tcW w:w="1555" w:type="dxa"/>
            <w:vAlign w:val="bottom"/>
          </w:tcPr>
          <w:p>
            <w:pPr>
              <w:pStyle w:val="yTableNAm"/>
              <w:rPr>
                <w:snapToGrid w:val="0"/>
              </w:rPr>
            </w:pPr>
            <w:r>
              <w:rPr>
                <w:szCs w:val="22"/>
              </w:rPr>
              <w:t>$293.00</w:t>
            </w:r>
          </w:p>
        </w:tc>
      </w:tr>
      <w:tr>
        <w:trPr>
          <w:cantSplit/>
        </w:trPr>
        <w:tc>
          <w:tcPr>
            <w:tcW w:w="623" w:type="dxa"/>
          </w:tcPr>
          <w:p>
            <w:pPr>
              <w:pStyle w:val="yTableNAm"/>
              <w:rPr>
                <w:snapToGrid w:val="0"/>
              </w:rPr>
            </w:pPr>
            <w:r>
              <w:rPr>
                <w:snapToGrid w:val="0"/>
              </w:rPr>
              <w:t>3.</w:t>
            </w:r>
          </w:p>
        </w:tc>
        <w:tc>
          <w:tcPr>
            <w:tcW w:w="4902" w:type="dxa"/>
          </w:tcPr>
          <w:p>
            <w:pPr>
              <w:pStyle w:val="yTableNAm"/>
            </w:pPr>
            <w:r>
              <w:t>Of any other deposited plan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55" w:type="dxa"/>
          </w:tcPr>
          <w:p>
            <w:pPr>
              <w:pStyle w:val="yTableNAm"/>
              <w:rPr>
                <w:snapToGrid w:val="0"/>
              </w:rPr>
            </w:pPr>
            <w:r>
              <w:rPr>
                <w:szCs w:val="22"/>
              </w:rPr>
              <w:t>$293.00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55" w:type="dxa"/>
          </w:tcPr>
          <w:p>
            <w:pPr>
              <w:pStyle w:val="yTableNAm"/>
              <w:rPr>
                <w:snapToGrid w:val="0"/>
              </w:rPr>
            </w:pPr>
            <w:r>
              <w:rPr>
                <w:snapToGrid w:val="0"/>
              </w:rPr>
              <w:br/>
            </w:r>
            <w:r>
              <w:rPr>
                <w:snapToGrid w:val="0"/>
              </w:rPr>
              <w:br/>
            </w:r>
            <w:r>
              <w:rPr>
                <w:snapToGrid w:val="0"/>
              </w:rPr>
              <w:br/>
            </w:r>
            <w:r>
              <w:rPr>
                <w:szCs w:val="22"/>
              </w:rPr>
              <w:t>$76.00</w:t>
            </w:r>
          </w:p>
        </w:tc>
      </w:tr>
      <w:tr>
        <w:trPr>
          <w:cantSplit/>
        </w:trPr>
        <w:tc>
          <w:tcPr>
            <w:tcW w:w="623" w:type="dxa"/>
          </w:tcPr>
          <w:p>
            <w:pPr>
              <w:pStyle w:val="yTableNAm"/>
              <w:rPr>
                <w:snapToGrid w:val="0"/>
              </w:rPr>
            </w:pPr>
            <w:r>
              <w:rPr>
                <w:snapToGrid w:val="0"/>
              </w:rPr>
              <w:t>4.</w:t>
            </w:r>
          </w:p>
        </w:tc>
        <w:tc>
          <w:tcPr>
            <w:tcW w:w="4902" w:type="dxa"/>
          </w:tcPr>
          <w:p>
            <w:pPr>
              <w:pStyle w:val="yTableNAm"/>
              <w:tabs>
                <w:tab w:val="clear" w:pos="567"/>
                <w:tab w:val="right" w:leader="dot" w:pos="4821"/>
              </w:tabs>
            </w:pPr>
            <w:r>
              <w:t xml:space="preserve">Of a replacement plan </w:t>
            </w:r>
            <w:r>
              <w:tab/>
            </w:r>
          </w:p>
        </w:tc>
        <w:tc>
          <w:tcPr>
            <w:tcW w:w="1555" w:type="dxa"/>
          </w:tcPr>
          <w:p>
            <w:pPr>
              <w:pStyle w:val="yTableNAm"/>
              <w:rPr>
                <w:snapToGrid w:val="0"/>
              </w:rPr>
            </w:pPr>
            <w:r>
              <w:rPr>
                <w:szCs w:val="22"/>
              </w:rPr>
              <w:t>$293.00</w:t>
            </w:r>
          </w:p>
        </w:tc>
      </w:tr>
      <w:tr>
        <w:trPr>
          <w:cantSplit/>
        </w:trPr>
        <w:tc>
          <w:tcPr>
            <w:tcW w:w="623" w:type="dxa"/>
          </w:tcPr>
          <w:p>
            <w:pPr>
              <w:pStyle w:val="yTableNAm"/>
              <w:rPr>
                <w:snapToGrid w:val="0"/>
              </w:rPr>
            </w:pPr>
            <w:r>
              <w:rPr>
                <w:snapToGrid w:val="0"/>
              </w:rPr>
              <w:t>5.</w:t>
            </w:r>
          </w:p>
        </w:tc>
        <w:tc>
          <w:tcPr>
            <w:tcW w:w="4902" w:type="dxa"/>
          </w:tcPr>
          <w:p>
            <w:pPr>
              <w:pStyle w:val="yTableNAm"/>
            </w:pPr>
            <w:r>
              <w:t>Of a duplicate certificate of title or lease for the registration or recording of a dealing lodged by a third party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for the first certificate of title or lease </w:t>
            </w:r>
            <w:r>
              <w:tab/>
            </w:r>
          </w:p>
        </w:tc>
        <w:tc>
          <w:tcPr>
            <w:tcW w:w="1555" w:type="dxa"/>
          </w:tcPr>
          <w:p>
            <w:pPr>
              <w:pStyle w:val="yTableNAm"/>
              <w:rPr>
                <w:snapToGrid w:val="0"/>
              </w:rPr>
            </w:pPr>
            <w:r>
              <w:rPr>
                <w:szCs w:val="22"/>
              </w:rPr>
              <w:t>$90.65</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for each subsequent certificate of title or lease </w:t>
            </w:r>
            <w:r>
              <w:tab/>
            </w:r>
          </w:p>
        </w:tc>
        <w:tc>
          <w:tcPr>
            <w:tcW w:w="1555" w:type="dxa"/>
          </w:tcPr>
          <w:p>
            <w:pPr>
              <w:pStyle w:val="yTableNAm"/>
              <w:rPr>
                <w:snapToGrid w:val="0"/>
              </w:rPr>
            </w:pPr>
            <w:r>
              <w:rPr>
                <w:snapToGrid w:val="0"/>
              </w:rPr>
              <w:br/>
            </w:r>
            <w:r>
              <w:rPr>
                <w:szCs w:val="22"/>
              </w:rPr>
              <w:t>$6.50</w:t>
            </w:r>
          </w:p>
        </w:tc>
      </w:tr>
      <w:tr>
        <w:trPr>
          <w:cantSplit/>
        </w:trPr>
        <w:tc>
          <w:tcPr>
            <w:tcW w:w="623" w:type="dxa"/>
          </w:tcPr>
          <w:p>
            <w:pPr>
              <w:pStyle w:val="yTableNAm"/>
              <w:rPr>
                <w:snapToGrid w:val="0"/>
              </w:rPr>
            </w:pPr>
            <w:r>
              <w:rPr>
                <w:snapToGrid w:val="0"/>
              </w:rPr>
              <w:t>6.</w:t>
            </w:r>
          </w:p>
        </w:tc>
        <w:tc>
          <w:tcPr>
            <w:tcW w:w="4902" w:type="dxa"/>
          </w:tcPr>
          <w:p>
            <w:pPr>
              <w:pStyle w:val="yTableNAm"/>
              <w:tabs>
                <w:tab w:val="clear" w:pos="567"/>
                <w:tab w:val="right" w:leader="dot" w:pos="4821"/>
              </w:tabs>
            </w:pPr>
            <w:r>
              <w:t xml:space="preserve">Of a memorandum within the meaning of section 54(1) of the Act — section 54(2) of the Act </w:t>
            </w:r>
            <w:r>
              <w:tab/>
            </w:r>
          </w:p>
        </w:tc>
        <w:tc>
          <w:tcPr>
            <w:tcW w:w="1555" w:type="dxa"/>
          </w:tcPr>
          <w:p>
            <w:pPr>
              <w:pStyle w:val="yTableNAm"/>
              <w:rPr>
                <w:snapToGrid w:val="0"/>
              </w:rPr>
            </w:pPr>
            <w:r>
              <w:rPr>
                <w:snapToGrid w:val="0"/>
              </w:rPr>
              <w:br/>
            </w:r>
            <w:r>
              <w:rPr>
                <w:szCs w:val="22"/>
              </w:rPr>
              <w:t>$181.30</w:t>
            </w:r>
          </w:p>
        </w:tc>
      </w:tr>
      <w:tr>
        <w:trPr>
          <w:cantSplit/>
        </w:trPr>
        <w:tc>
          <w:tcPr>
            <w:tcW w:w="623" w:type="dxa"/>
          </w:tcPr>
          <w:p>
            <w:pPr>
              <w:pStyle w:val="yTableNAm"/>
              <w:rPr>
                <w:snapToGrid w:val="0"/>
              </w:rPr>
            </w:pPr>
            <w:r>
              <w:rPr>
                <w:snapToGrid w:val="0"/>
              </w:rPr>
              <w:t>7.</w:t>
            </w:r>
          </w:p>
        </w:tc>
        <w:tc>
          <w:tcPr>
            <w:tcW w:w="4902" w:type="dxa"/>
          </w:tcPr>
          <w:p>
            <w:pPr>
              <w:pStyle w:val="yTableNAm"/>
              <w:tabs>
                <w:tab w:val="clear" w:pos="567"/>
                <w:tab w:val="right" w:leader="dot" w:pos="4821"/>
              </w:tabs>
            </w:pPr>
            <w:r>
              <w:t xml:space="preserve">Of a form for the notification of a factor affecting the use or enjoyment of land — section 70A(1) of the Act </w:t>
            </w:r>
            <w:r>
              <w:tab/>
            </w:r>
          </w:p>
        </w:tc>
        <w:tc>
          <w:tcPr>
            <w:tcW w:w="1555" w:type="dxa"/>
          </w:tcPr>
          <w:p>
            <w:pPr>
              <w:pStyle w:val="yTableNAm"/>
              <w:rPr>
                <w:snapToGrid w:val="0"/>
              </w:rPr>
            </w:pPr>
            <w:r>
              <w:rPr>
                <w:snapToGrid w:val="0"/>
              </w:rPr>
              <w:br/>
            </w:r>
            <w:r>
              <w:rPr>
                <w:snapToGrid w:val="0"/>
              </w:rPr>
              <w:br/>
            </w:r>
            <w:r>
              <w:rPr>
                <w:szCs w:val="22"/>
              </w:rPr>
              <w:t>$181.30</w:t>
            </w:r>
          </w:p>
        </w:tc>
      </w:tr>
      <w:tr>
        <w:trPr>
          <w:cantSplit/>
        </w:trPr>
        <w:tc>
          <w:tcPr>
            <w:tcW w:w="623" w:type="dxa"/>
          </w:tcPr>
          <w:p>
            <w:pPr>
              <w:pStyle w:val="yTableNAm"/>
              <w:rPr>
                <w:snapToGrid w:val="0"/>
              </w:rPr>
            </w:pPr>
            <w:r>
              <w:rPr>
                <w:snapToGrid w:val="0"/>
              </w:rPr>
              <w:t>8.</w:t>
            </w:r>
          </w:p>
        </w:tc>
        <w:tc>
          <w:tcPr>
            <w:tcW w:w="4902" w:type="dxa"/>
          </w:tcPr>
          <w:p>
            <w:pPr>
              <w:pStyle w:val="yTableNAm"/>
              <w:tabs>
                <w:tab w:val="clear" w:pos="567"/>
                <w:tab w:val="right" w:leader="dot" w:pos="4821"/>
              </w:tabs>
            </w:pPr>
            <w:r>
              <w:t>Of an instrument for a restrictive covenant created under section 129BA of the Act — section 129BA(2)(b) of the Act</w:t>
            </w:r>
            <w:r>
              <w:tab/>
            </w:r>
          </w:p>
        </w:tc>
        <w:tc>
          <w:tcPr>
            <w:tcW w:w="1555" w:type="dxa"/>
          </w:tcPr>
          <w:p>
            <w:pPr>
              <w:pStyle w:val="yTableNAm"/>
              <w:rPr>
                <w:snapToGrid w:val="0"/>
              </w:rPr>
            </w:pPr>
            <w:r>
              <w:rPr>
                <w:snapToGrid w:val="0"/>
              </w:rPr>
              <w:br/>
            </w:r>
            <w:r>
              <w:rPr>
                <w:snapToGrid w:val="0"/>
              </w:rPr>
              <w:br/>
            </w:r>
            <w:r>
              <w:rPr>
                <w:szCs w:val="22"/>
              </w:rPr>
              <w:t>$181.30</w:t>
            </w:r>
          </w:p>
        </w:tc>
      </w:tr>
      <w:tr>
        <w:trPr>
          <w:cantSplit/>
        </w:trPr>
        <w:tc>
          <w:tcPr>
            <w:tcW w:w="623" w:type="dxa"/>
          </w:tcPr>
          <w:p>
            <w:pPr>
              <w:pStyle w:val="yTableNAm"/>
              <w:rPr>
                <w:snapToGrid w:val="0"/>
              </w:rPr>
            </w:pPr>
            <w:r>
              <w:rPr>
                <w:snapToGrid w:val="0"/>
              </w:rPr>
              <w:t>9.</w:t>
            </w:r>
          </w:p>
        </w:tc>
        <w:tc>
          <w:tcPr>
            <w:tcW w:w="4902" w:type="dxa"/>
          </w:tcPr>
          <w:p>
            <w:pPr>
              <w:pStyle w:val="yTableNAm"/>
              <w:tabs>
                <w:tab w:val="clear" w:pos="567"/>
                <w:tab w:val="right" w:leader="dot" w:pos="4821"/>
              </w:tabs>
            </w:pPr>
            <w:r>
              <w:t xml:space="preserve">Of an instrument for an easement created under Part IVA of the Act — section 136C(4) of the Act </w:t>
            </w:r>
            <w:r>
              <w:tab/>
            </w:r>
          </w:p>
        </w:tc>
        <w:tc>
          <w:tcPr>
            <w:tcW w:w="1555" w:type="dxa"/>
          </w:tcPr>
          <w:p>
            <w:pPr>
              <w:pStyle w:val="yTableNAm"/>
              <w:rPr>
                <w:snapToGrid w:val="0"/>
              </w:rPr>
            </w:pPr>
            <w:r>
              <w:rPr>
                <w:snapToGrid w:val="0"/>
              </w:rPr>
              <w:br/>
            </w:r>
            <w:r>
              <w:rPr>
                <w:szCs w:val="22"/>
              </w:rPr>
              <w:t>$181.30</w:t>
            </w:r>
          </w:p>
        </w:tc>
      </w:tr>
      <w:tr>
        <w:trPr>
          <w:cantSplit/>
        </w:trPr>
        <w:tc>
          <w:tcPr>
            <w:tcW w:w="623" w:type="dxa"/>
          </w:tcPr>
          <w:p>
            <w:pPr>
              <w:pStyle w:val="yTableNAm"/>
              <w:rPr>
                <w:snapToGrid w:val="0"/>
              </w:rPr>
            </w:pPr>
            <w:r>
              <w:rPr>
                <w:snapToGrid w:val="0"/>
              </w:rPr>
              <w:t>10.</w:t>
            </w:r>
          </w:p>
        </w:tc>
        <w:tc>
          <w:tcPr>
            <w:tcW w:w="4902" w:type="dxa"/>
          </w:tcPr>
          <w:p>
            <w:pPr>
              <w:pStyle w:val="yTableNAm"/>
              <w:tabs>
                <w:tab w:val="clear" w:pos="567"/>
                <w:tab w:val="right" w:leader="dot" w:pos="4821"/>
              </w:tabs>
            </w:pPr>
            <w:r>
              <w:t xml:space="preserve">Of an instrument for a restrictive covenant created under Part IVA of the Act — section 136D(3) of the Act </w:t>
            </w:r>
            <w:r>
              <w:tab/>
            </w:r>
          </w:p>
        </w:tc>
        <w:tc>
          <w:tcPr>
            <w:tcW w:w="1555" w:type="dxa"/>
          </w:tcPr>
          <w:p>
            <w:pPr>
              <w:pStyle w:val="yTableNAm"/>
              <w:rPr>
                <w:snapToGrid w:val="0"/>
              </w:rPr>
            </w:pPr>
            <w:r>
              <w:rPr>
                <w:snapToGrid w:val="0"/>
              </w:rPr>
              <w:br/>
            </w:r>
            <w:r>
              <w:rPr>
                <w:snapToGrid w:val="0"/>
              </w:rPr>
              <w:br/>
            </w:r>
            <w:r>
              <w:rPr>
                <w:szCs w:val="22"/>
              </w:rPr>
              <w:t>$181.30</w:t>
            </w:r>
          </w:p>
        </w:tc>
      </w:tr>
    </w:tbl>
    <w:p>
      <w:pPr>
        <w:pStyle w:val="yFootnotesection"/>
      </w:pPr>
      <w:r>
        <w:tab/>
        <w:t>[Division 2 inserted: Gazette 21 May 2019 p. 1477; amended: SL 2020/76 r. 8; SL 2021/88 r. 10(4).]</w:t>
      </w:r>
    </w:p>
    <w:p>
      <w:pPr>
        <w:pStyle w:val="yHeading3"/>
      </w:pPr>
      <w:bookmarkStart w:id="67" w:name="_Toc104902887"/>
      <w:bookmarkStart w:id="68" w:name="_Toc104902935"/>
      <w:bookmarkStart w:id="69" w:name="_Toc104969075"/>
      <w:r>
        <w:rPr>
          <w:rStyle w:val="CharSDivNo"/>
        </w:rPr>
        <w:lastRenderedPageBreak/>
        <w:t>Division 3</w:t>
      </w:r>
      <w:r>
        <w:t> — </w:t>
      </w:r>
      <w:r>
        <w:rPr>
          <w:rStyle w:val="CharSDivText"/>
        </w:rPr>
        <w:t>Withdrawals</w:t>
      </w:r>
      <w:bookmarkEnd w:id="67"/>
      <w:bookmarkEnd w:id="68"/>
      <w:bookmarkEnd w:id="69"/>
    </w:p>
    <w:p>
      <w:pPr>
        <w:pStyle w:val="yFootnoteheading"/>
        <w:keepNext/>
      </w:pPr>
      <w:r>
        <w:tab/>
        <w:t>[Heading inserted: Gazette 21 May 2019 p. 1478.]</w:t>
      </w:r>
    </w:p>
    <w:tbl>
      <w:tblPr>
        <w:tblW w:w="0" w:type="auto"/>
        <w:tblInd w:w="108" w:type="dxa"/>
        <w:tblLayout w:type="fixed"/>
        <w:tblLook w:val="0000" w:firstRow="0" w:lastRow="0" w:firstColumn="0" w:lastColumn="0" w:noHBand="0" w:noVBand="0"/>
      </w:tblPr>
      <w:tblGrid>
        <w:gridCol w:w="624"/>
        <w:gridCol w:w="4920"/>
        <w:gridCol w:w="1560"/>
      </w:tblGrid>
      <w:t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order of the Supreme Court, the District Court or a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1</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rPr>
                <w:szCs w:val="22"/>
              </w:rPr>
              <w:t>$181.30</w:t>
            </w:r>
          </w:p>
        </w:tc>
      </w:tr>
      <w:t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Of a memorial or notification under the </w:t>
            </w:r>
            <w:r>
              <w:rPr>
                <w:i/>
              </w:rPr>
              <w:t>Water Services Act 2012</w:t>
            </w:r>
            <w:r>
              <w:t xml:space="preserve"> </w:t>
            </w:r>
            <w:r>
              <w:tab/>
            </w:r>
          </w:p>
        </w:tc>
        <w:tc>
          <w:tcPr>
            <w:tcW w:w="1560" w:type="dxa"/>
          </w:tcPr>
          <w:p>
            <w:pPr>
              <w:pStyle w:val="yTableNAm"/>
              <w:rPr>
                <w:snapToGrid w:val="0"/>
              </w:rPr>
            </w:pPr>
            <w:r>
              <w:rPr>
                <w:snapToGrid w:val="0"/>
              </w:rPr>
              <w:br/>
            </w:r>
            <w:r>
              <w:rPr>
                <w:szCs w:val="22"/>
              </w:rPr>
              <w:t>$181.30</w:t>
            </w:r>
          </w:p>
        </w:tc>
      </w:tr>
      <w:t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Of a document from registration or recording </w:t>
            </w:r>
            <w:r>
              <w:tab/>
            </w:r>
          </w:p>
        </w:tc>
        <w:tc>
          <w:tcPr>
            <w:tcW w:w="1560" w:type="dxa"/>
          </w:tcPr>
          <w:p>
            <w:pPr>
              <w:pStyle w:val="yTableNAm"/>
              <w:rPr>
                <w:snapToGrid w:val="0"/>
              </w:rPr>
            </w:pPr>
            <w:r>
              <w:rPr>
                <w:szCs w:val="22"/>
              </w:rPr>
              <w:t>$90.65</w:t>
            </w:r>
          </w:p>
        </w:tc>
      </w:tr>
    </w:tbl>
    <w:p>
      <w:pPr>
        <w:pStyle w:val="yFootnotesection"/>
      </w:pPr>
      <w:r>
        <w:tab/>
        <w:t>[Division 3 inserted: Gazette 21 May 2019 p. 1478; amended: SL 2020/76 r. 8; SL 2021/88 r. 10(4).]</w:t>
      </w:r>
    </w:p>
    <w:p>
      <w:pPr>
        <w:pStyle w:val="yHeading3"/>
      </w:pPr>
      <w:bookmarkStart w:id="70" w:name="_Toc104902888"/>
      <w:bookmarkStart w:id="71" w:name="_Toc104902936"/>
      <w:bookmarkStart w:id="72" w:name="_Toc104969076"/>
      <w:r>
        <w:rPr>
          <w:rStyle w:val="CharSDivNo"/>
        </w:rPr>
        <w:t>Division 4</w:t>
      </w:r>
      <w:r>
        <w:t> — </w:t>
      </w:r>
      <w:r>
        <w:rPr>
          <w:rStyle w:val="CharSDivText"/>
        </w:rPr>
        <w:t>Applications</w:t>
      </w:r>
      <w:bookmarkEnd w:id="70"/>
      <w:bookmarkEnd w:id="71"/>
      <w:bookmarkEnd w:id="72"/>
    </w:p>
    <w:p>
      <w:pPr>
        <w:pStyle w:val="yFootnoteheading"/>
      </w:pPr>
      <w:r>
        <w:tab/>
        <w:t>[Heading inserted: Gazette 21 May 2019 p. 1478.]</w:t>
      </w:r>
    </w:p>
    <w:tbl>
      <w:tblPr>
        <w:tblW w:w="0" w:type="auto"/>
        <w:tblInd w:w="108" w:type="dxa"/>
        <w:tblLayout w:type="fixed"/>
        <w:tblLook w:val="0000" w:firstRow="0" w:lastRow="0" w:firstColumn="0" w:lastColumn="0" w:noHBand="0" w:noVBand="0"/>
      </w:tblPr>
      <w:tblGrid>
        <w:gridCol w:w="624"/>
        <w:gridCol w:w="4920"/>
        <w:gridCol w:w="1560"/>
      </w:tblGrid>
      <w:tr>
        <w:trPr>
          <w:cantSplit/>
        </w:trPr>
        <w:tc>
          <w:tcPr>
            <w:tcW w:w="624"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one certificate </w:t>
            </w:r>
            <w:r>
              <w:tab/>
            </w:r>
          </w:p>
        </w:tc>
        <w:tc>
          <w:tcPr>
            <w:tcW w:w="1560" w:type="dxa"/>
          </w:tcPr>
          <w:p>
            <w:pPr>
              <w:pStyle w:val="yTableNAm"/>
              <w:rPr>
                <w:snapToGrid w:val="0"/>
              </w:rPr>
            </w:pPr>
            <w:r>
              <w:rPr>
                <w:szCs w:val="22"/>
              </w:rPr>
              <w:t>$181.30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additional certificate </w:t>
            </w:r>
            <w:r>
              <w:tab/>
            </w:r>
          </w:p>
        </w:tc>
        <w:tc>
          <w:tcPr>
            <w:tcW w:w="1560" w:type="dxa"/>
          </w:tcPr>
          <w:p>
            <w:pPr>
              <w:pStyle w:val="yTableNAm"/>
              <w:rPr>
                <w:snapToGrid w:val="0"/>
              </w:rPr>
            </w:pPr>
            <w:r>
              <w:rPr>
                <w:szCs w:val="22"/>
              </w:rPr>
              <w:t>$6.50</w:t>
            </w:r>
          </w:p>
        </w:tc>
      </w:tr>
      <w:tr>
        <w:trPr>
          <w:cantSplit/>
        </w:trPr>
        <w:tc>
          <w:tcPr>
            <w:tcW w:w="624" w:type="dxa"/>
          </w:tcPr>
          <w:p>
            <w:pPr>
              <w:pStyle w:val="yTableNAm"/>
              <w:keepNext/>
              <w:rPr>
                <w:snapToGrid w:val="0"/>
              </w:rPr>
            </w:pPr>
            <w:r>
              <w:rPr>
                <w:snapToGrid w:val="0"/>
              </w:rPr>
              <w:t>2.</w:t>
            </w:r>
          </w:p>
        </w:tc>
        <w:tc>
          <w:tcPr>
            <w:tcW w:w="4920" w:type="dxa"/>
          </w:tcPr>
          <w:p>
            <w:pPr>
              <w:pStyle w:val="yTableNAm"/>
              <w:keepNext/>
              <w:tabs>
                <w:tab w:val="clear" w:pos="567"/>
                <w:tab w:val="right" w:leader="dot" w:pos="4821"/>
              </w:tabs>
            </w:pPr>
            <w:r>
              <w:t xml:space="preserve">For a new certificate of title the subject of a deposited plan </w:t>
            </w:r>
            <w:r>
              <w:tab/>
            </w:r>
          </w:p>
        </w:tc>
        <w:tc>
          <w:tcPr>
            <w:tcW w:w="1560" w:type="dxa"/>
          </w:tcPr>
          <w:p>
            <w:pPr>
              <w:pStyle w:val="yTableNAm"/>
              <w:keepNext/>
              <w:rPr>
                <w:snapToGrid w:val="0"/>
              </w:rPr>
            </w:pPr>
            <w:r>
              <w:rPr>
                <w:snapToGrid w:val="0"/>
              </w:rPr>
              <w:br/>
            </w:r>
            <w:r>
              <w:rPr>
                <w:szCs w:val="22"/>
              </w:rPr>
              <w:t>$181.30</w:t>
            </w:r>
          </w:p>
        </w:tc>
      </w:tr>
      <w:tr>
        <w:trPr>
          <w:cantSplit/>
        </w:trPr>
        <w:tc>
          <w:tcPr>
            <w:tcW w:w="624" w:type="dxa"/>
          </w:tcPr>
          <w:p>
            <w:pPr>
              <w:pStyle w:val="yTableNAm"/>
              <w:rPr>
                <w:snapToGrid w:val="0"/>
              </w:rPr>
            </w:pPr>
          </w:p>
        </w:tc>
        <w:tc>
          <w:tcPr>
            <w:tcW w:w="4920" w:type="dxa"/>
          </w:tcPr>
          <w:p>
            <w:pPr>
              <w:pStyle w:val="yTableNAm"/>
              <w:tabs>
                <w:tab w:val="clear" w:pos="567"/>
                <w:tab w:val="right" w:leader="dot" w:pos="4821"/>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rPr>
                <w:szCs w:val="22"/>
              </w:rPr>
              <w:t>$6.50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a new certificate of title in any other case </w:t>
            </w:r>
            <w:r>
              <w:tab/>
            </w:r>
          </w:p>
        </w:tc>
        <w:tc>
          <w:tcPr>
            <w:tcW w:w="1560" w:type="dxa"/>
          </w:tcPr>
          <w:p>
            <w:pPr>
              <w:pStyle w:val="yTableNAm"/>
              <w:rPr>
                <w:snapToGrid w:val="0"/>
              </w:rPr>
            </w:pPr>
            <w:r>
              <w:rPr>
                <w:szCs w:val="22"/>
              </w:rPr>
              <w:t>$181.30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rPr>
                <w:szCs w:val="22"/>
              </w:rPr>
              <w:t>$181.30</w:t>
            </w:r>
          </w:p>
        </w:tc>
      </w:tr>
      <w:tr>
        <w:trPr>
          <w:cantSplit/>
        </w:trPr>
        <w:tc>
          <w:tcPr>
            <w:tcW w:w="624" w:type="dxa"/>
          </w:tcPr>
          <w:p>
            <w:pPr>
              <w:pStyle w:val="yTableNAm"/>
              <w:rPr>
                <w:snapToGrid w:val="0"/>
              </w:rPr>
            </w:pPr>
            <w:r>
              <w:rPr>
                <w:snapToGrid w:val="0"/>
              </w:rPr>
              <w:t>5.</w:t>
            </w:r>
          </w:p>
        </w:tc>
        <w:tc>
          <w:tcPr>
            <w:tcW w:w="4920" w:type="dxa"/>
          </w:tcPr>
          <w:p>
            <w:pPr>
              <w:pStyle w:val="yTableNAm"/>
              <w:tabs>
                <w:tab w:val="clear" w:pos="567"/>
                <w:tab w:val="right" w:leader="dot" w:pos="4821"/>
              </w:tabs>
            </w:pPr>
            <w:r>
              <w:t xml:space="preserve">To serve a section 138A caveator with notice under section 138B of the Act </w:t>
            </w:r>
            <w:r>
              <w:tab/>
            </w:r>
          </w:p>
        </w:tc>
        <w:tc>
          <w:tcPr>
            <w:tcW w:w="1560" w:type="dxa"/>
            <w:vAlign w:val="bottom"/>
          </w:tcPr>
          <w:p>
            <w:pPr>
              <w:pStyle w:val="yTableNAm"/>
              <w:rPr>
                <w:snapToGrid w:val="0"/>
              </w:rPr>
            </w:pPr>
            <w:r>
              <w:br/>
            </w:r>
            <w:r>
              <w:rPr>
                <w:szCs w:val="22"/>
              </w:rPr>
              <w:t>$339.00</w:t>
            </w:r>
          </w:p>
        </w:tc>
      </w:tr>
      <w:tr>
        <w:trPr>
          <w:cantSplit/>
        </w:trPr>
        <w:tc>
          <w:tcPr>
            <w:tcW w:w="624" w:type="dxa"/>
          </w:tcPr>
          <w:p>
            <w:pPr>
              <w:pStyle w:val="yTableNAm"/>
              <w:rPr>
                <w:snapToGrid w:val="0"/>
              </w:rPr>
            </w:pPr>
            <w:r>
              <w:rPr>
                <w:snapToGrid w:val="0"/>
              </w:rPr>
              <w:lastRenderedPageBreak/>
              <w:t>6.</w:t>
            </w:r>
          </w:p>
        </w:tc>
        <w:tc>
          <w:tcPr>
            <w:tcW w:w="4920" w:type="dxa"/>
          </w:tcPr>
          <w:p>
            <w:pPr>
              <w:pStyle w:val="yTableNAm"/>
              <w:tabs>
                <w:tab w:val="clear" w:pos="567"/>
                <w:tab w:val="right" w:leader="dot" w:pos="4821"/>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rPr>
                <w:szCs w:val="22"/>
              </w:rPr>
              <w:t>$181.30</w:t>
            </w: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rPr>
                <w:szCs w:val="22"/>
              </w:rPr>
              <w:t>$181.30</w:t>
            </w:r>
          </w:p>
        </w:tc>
      </w:tr>
    </w:tbl>
    <w:p>
      <w:pPr>
        <w:pStyle w:val="yFootnotesection"/>
      </w:pPr>
      <w:r>
        <w:tab/>
        <w:t>[Division 4 inserted: Gazette 21 May 2019 p. 1478; amended: SL 2020/76 r. 8; SL 2021/88 r. 10(4).]</w:t>
      </w:r>
    </w:p>
    <w:p>
      <w:pPr>
        <w:pStyle w:val="yHeading3"/>
      </w:pPr>
      <w:bookmarkStart w:id="73" w:name="_Toc104902889"/>
      <w:bookmarkStart w:id="74" w:name="_Toc104902937"/>
      <w:bookmarkStart w:id="75" w:name="_Toc104969077"/>
      <w:r>
        <w:rPr>
          <w:rStyle w:val="CharSDivNo"/>
        </w:rPr>
        <w:t>Division 5</w:t>
      </w:r>
      <w:r>
        <w:t> — </w:t>
      </w:r>
      <w:r>
        <w:rPr>
          <w:rStyle w:val="CharSDivText"/>
        </w:rPr>
        <w:t>Certificates</w:t>
      </w:r>
      <w:bookmarkEnd w:id="73"/>
      <w:bookmarkEnd w:id="74"/>
      <w:bookmarkEnd w:id="75"/>
    </w:p>
    <w:p>
      <w:pPr>
        <w:pStyle w:val="yFootnoteheading"/>
      </w:pPr>
      <w:r>
        <w:tab/>
        <w:t>[Heading inserted: Gazette 21 May 2019 p. 1478.]</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tabs>
                <w:tab w:val="clear" w:pos="567"/>
                <w:tab w:val="right" w:leader="dot" w:pos="4821"/>
              </w:tabs>
            </w:pPr>
            <w:r>
              <w:t xml:space="preserve">For the issue of a certificate of title, either on request or where necessary in connection with an application or process (except where this service is included in another fee) </w:t>
            </w:r>
            <w:r>
              <w:tab/>
            </w:r>
          </w:p>
        </w:tc>
        <w:tc>
          <w:tcPr>
            <w:tcW w:w="1555" w:type="dxa"/>
          </w:tcPr>
          <w:p>
            <w:pPr>
              <w:pStyle w:val="yTableNAm"/>
              <w:rPr>
                <w:snapToGrid w:val="0"/>
              </w:rPr>
            </w:pPr>
            <w:r>
              <w:rPr>
                <w:snapToGrid w:val="0"/>
              </w:rPr>
              <w:br/>
            </w:r>
            <w:r>
              <w:rPr>
                <w:snapToGrid w:val="0"/>
              </w:rPr>
              <w:br/>
            </w:r>
            <w:r>
              <w:rPr>
                <w:snapToGrid w:val="0"/>
              </w:rPr>
              <w:br/>
            </w:r>
            <w:r>
              <w:rPr>
                <w:szCs w:val="22"/>
              </w:rPr>
              <w:t>$181.30</w:t>
            </w:r>
          </w:p>
        </w:tc>
      </w:tr>
      <w:tr>
        <w:trPr>
          <w:cantSplit/>
        </w:trPr>
        <w:tc>
          <w:tcPr>
            <w:tcW w:w="623" w:type="dxa"/>
          </w:tcPr>
          <w:p>
            <w:pPr>
              <w:pStyle w:val="yTableNAm"/>
              <w:rPr>
                <w:snapToGrid w:val="0"/>
              </w:rPr>
            </w:pPr>
            <w:r>
              <w:rPr>
                <w:snapToGrid w:val="0"/>
              </w:rPr>
              <w:t>2.</w:t>
            </w:r>
          </w:p>
        </w:tc>
        <w:tc>
          <w:tcPr>
            <w:tcW w:w="4902" w:type="dxa"/>
          </w:tcPr>
          <w:p>
            <w:pPr>
              <w:pStyle w:val="yTableNAm"/>
              <w:tabs>
                <w:tab w:val="clear" w:pos="567"/>
                <w:tab w:val="right" w:leader="dot" w:pos="4821"/>
              </w:tabs>
            </w:pPr>
            <w:r>
              <w:t xml:space="preserve">For a certificate of ownership issued under the </w:t>
            </w:r>
            <w:r>
              <w:rPr>
                <w:i/>
              </w:rPr>
              <w:t>Local Government Act 1995</w:t>
            </w:r>
            <w:r>
              <w:t xml:space="preserve"> section 9.41 </w:t>
            </w:r>
            <w:r>
              <w:tab/>
            </w:r>
          </w:p>
        </w:tc>
        <w:tc>
          <w:tcPr>
            <w:tcW w:w="1555" w:type="dxa"/>
          </w:tcPr>
          <w:p>
            <w:pPr>
              <w:pStyle w:val="yTableNAm"/>
              <w:rPr>
                <w:snapToGrid w:val="0"/>
              </w:rPr>
            </w:pPr>
            <w:r>
              <w:rPr>
                <w:snapToGrid w:val="0"/>
              </w:rPr>
              <w:br/>
            </w:r>
            <w:r>
              <w:rPr>
                <w:szCs w:val="22"/>
              </w:rPr>
              <w:t>$65.00</w:t>
            </w:r>
          </w:p>
        </w:tc>
      </w:tr>
      <w:tr>
        <w:trPr>
          <w:cantSplit/>
        </w:trPr>
        <w:tc>
          <w:tcPr>
            <w:tcW w:w="623" w:type="dxa"/>
          </w:tcPr>
          <w:p>
            <w:pPr>
              <w:pStyle w:val="yTableNAm"/>
              <w:rPr>
                <w:snapToGrid w:val="0"/>
              </w:rPr>
            </w:pPr>
            <w:r>
              <w:rPr>
                <w:snapToGrid w:val="0"/>
              </w:rPr>
              <w:t>3.</w:t>
            </w:r>
          </w:p>
        </w:tc>
        <w:tc>
          <w:tcPr>
            <w:tcW w:w="4902" w:type="dxa"/>
          </w:tcPr>
          <w:p>
            <w:pPr>
              <w:pStyle w:val="yTableNAm"/>
              <w:tabs>
                <w:tab w:val="clear" w:pos="567"/>
                <w:tab w:val="right" w:leader="dot" w:pos="4821"/>
              </w:tabs>
            </w:pPr>
            <w:r>
              <w:t xml:space="preserve">For certification by the Registrar of a certificate of title, Crown lease, deposited plan, plan, diagram or other document </w:t>
            </w:r>
            <w:r>
              <w:tab/>
            </w:r>
          </w:p>
        </w:tc>
        <w:tc>
          <w:tcPr>
            <w:tcW w:w="1555" w:type="dxa"/>
          </w:tcPr>
          <w:p>
            <w:pPr>
              <w:pStyle w:val="yTableNAm"/>
              <w:rPr>
                <w:snapToGrid w:val="0"/>
              </w:rPr>
            </w:pPr>
            <w:r>
              <w:rPr>
                <w:snapToGrid w:val="0"/>
              </w:rPr>
              <w:br/>
            </w:r>
            <w:r>
              <w:rPr>
                <w:snapToGrid w:val="0"/>
              </w:rPr>
              <w:br/>
            </w:r>
            <w:r>
              <w:rPr>
                <w:szCs w:val="22"/>
              </w:rPr>
              <w:t>$65.00</w:t>
            </w:r>
          </w:p>
        </w:tc>
      </w:tr>
      <w:tr>
        <w:trPr>
          <w:cantSplit/>
        </w:trPr>
        <w:tc>
          <w:tcPr>
            <w:tcW w:w="623" w:type="dxa"/>
          </w:tcPr>
          <w:p>
            <w:pPr>
              <w:pStyle w:val="yTableNAm"/>
              <w:rPr>
                <w:snapToGrid w:val="0"/>
              </w:rPr>
            </w:pPr>
            <w:r>
              <w:rPr>
                <w:snapToGrid w:val="0"/>
              </w:rPr>
              <w:t>4.</w:t>
            </w:r>
          </w:p>
        </w:tc>
        <w:tc>
          <w:tcPr>
            <w:tcW w:w="4902" w:type="dxa"/>
          </w:tcPr>
          <w:p>
            <w:pPr>
              <w:pStyle w:val="yTableNAm"/>
              <w:tabs>
                <w:tab w:val="clear" w:pos="567"/>
                <w:tab w:val="right" w:leader="dot" w:pos="4821"/>
              </w:tabs>
            </w:pPr>
            <w:r>
              <w:t xml:space="preserve">For the issue of a certified and sealed document for the purposes of section 239B(1)(b) of the Act </w:t>
            </w:r>
            <w:r>
              <w:tab/>
            </w:r>
          </w:p>
        </w:tc>
        <w:tc>
          <w:tcPr>
            <w:tcW w:w="1555" w:type="dxa"/>
          </w:tcPr>
          <w:p>
            <w:pPr>
              <w:pStyle w:val="yTableNAm"/>
              <w:rPr>
                <w:snapToGrid w:val="0"/>
              </w:rPr>
            </w:pPr>
            <w:r>
              <w:br/>
              <w:t>fee as assessed by the Registrar, not exceeding actual cost</w:t>
            </w:r>
          </w:p>
        </w:tc>
      </w:tr>
    </w:tbl>
    <w:p>
      <w:pPr>
        <w:pStyle w:val="yFootnotesection"/>
      </w:pPr>
      <w:r>
        <w:tab/>
        <w:t>[Division 5 inserted: Gazette 21 May 2019 p. 1478</w:t>
      </w:r>
      <w:r>
        <w:noBreakHyphen/>
        <w:t>9; amended: SL 2020/76 r. 8; SL 2021/88 r. 10(4).]</w:t>
      </w:r>
    </w:p>
    <w:p>
      <w:pPr>
        <w:pStyle w:val="yHeading3"/>
      </w:pPr>
      <w:bookmarkStart w:id="76" w:name="_Toc104902890"/>
      <w:bookmarkStart w:id="77" w:name="_Toc104902938"/>
      <w:bookmarkStart w:id="78" w:name="_Toc104969078"/>
      <w:r>
        <w:rPr>
          <w:rStyle w:val="CharSDivNo"/>
        </w:rPr>
        <w:t>Division 6</w:t>
      </w:r>
      <w:r>
        <w:t> — </w:t>
      </w:r>
      <w:r>
        <w:rPr>
          <w:rStyle w:val="CharSDivText"/>
        </w:rPr>
        <w:t>Inspection and/or copies of documents</w:t>
      </w:r>
      <w:bookmarkEnd w:id="76"/>
      <w:bookmarkEnd w:id="77"/>
      <w:bookmarkEnd w:id="78"/>
    </w:p>
    <w:p>
      <w:pPr>
        <w:pStyle w:val="yFootnoteheading"/>
      </w:pPr>
      <w:r>
        <w:tab/>
        <w:t>[Heading inserted: Gazette 21 May 2019 p. 1479.]</w:t>
      </w:r>
    </w:p>
    <w:tbl>
      <w:tblPr>
        <w:tblW w:w="7080" w:type="dxa"/>
        <w:tblInd w:w="108" w:type="dxa"/>
        <w:tblLayout w:type="fixed"/>
        <w:tblLook w:val="0000" w:firstRow="0" w:lastRow="0" w:firstColumn="0" w:lastColumn="0" w:noHBand="0" w:noVBand="0"/>
      </w:tblPr>
      <w:tblGrid>
        <w:gridCol w:w="621"/>
        <w:gridCol w:w="4911"/>
        <w:gridCol w:w="1548"/>
      </w:tblGrid>
      <w:tr>
        <w:trPr>
          <w:cantSplit/>
        </w:trPr>
        <w:tc>
          <w:tcPr>
            <w:tcW w:w="621" w:type="dxa"/>
          </w:tcPr>
          <w:p>
            <w:pPr>
              <w:pStyle w:val="yTableNAm"/>
              <w:rPr>
                <w:snapToGrid w:val="0"/>
              </w:rPr>
            </w:pPr>
            <w:r>
              <w:rPr>
                <w:snapToGrid w:val="0"/>
              </w:rPr>
              <w:t>1.</w:t>
            </w:r>
          </w:p>
        </w:tc>
        <w:tc>
          <w:tcPr>
            <w:tcW w:w="4911" w:type="dxa"/>
          </w:tcPr>
          <w:p>
            <w:pPr>
              <w:pStyle w:val="yTableNAm"/>
              <w:tabs>
                <w:tab w:val="clear" w:pos="567"/>
                <w:tab w:val="right" w:leader="dot" w:pos="4800"/>
              </w:tabs>
            </w:pPr>
            <w:r>
              <w:t xml:space="preserve">Inspection of a Crown lease, Crown title, permit or licence </w:t>
            </w:r>
            <w:r>
              <w:tab/>
            </w:r>
          </w:p>
        </w:tc>
        <w:tc>
          <w:tcPr>
            <w:tcW w:w="1548" w:type="dxa"/>
          </w:tcPr>
          <w:p>
            <w:pPr>
              <w:pStyle w:val="yTableNAm"/>
              <w:rPr>
                <w:snapToGrid w:val="0"/>
              </w:rPr>
            </w:pPr>
            <w:r>
              <w:rPr>
                <w:snapToGrid w:val="0"/>
              </w:rPr>
              <w:br/>
            </w:r>
            <w:r>
              <w:rPr>
                <w:szCs w:val="22"/>
              </w:rPr>
              <w:t>$27.20</w:t>
            </w:r>
          </w:p>
        </w:tc>
      </w:tr>
      <w:tr>
        <w:trPr>
          <w:cantSplit/>
        </w:trPr>
        <w:tc>
          <w:tcPr>
            <w:tcW w:w="621" w:type="dxa"/>
          </w:tcPr>
          <w:p>
            <w:pPr>
              <w:pStyle w:val="yTableNAm"/>
              <w:rPr>
                <w:snapToGrid w:val="0"/>
              </w:rPr>
            </w:pPr>
            <w:r>
              <w:rPr>
                <w:snapToGrid w:val="0"/>
              </w:rPr>
              <w:t>2.</w:t>
            </w:r>
          </w:p>
        </w:tc>
        <w:tc>
          <w:tcPr>
            <w:tcW w:w="4911" w:type="dxa"/>
          </w:tcPr>
          <w:p>
            <w:pPr>
              <w:pStyle w:val="yTableNAm"/>
              <w:tabs>
                <w:tab w:val="clear" w:pos="567"/>
                <w:tab w:val="right" w:leader="dot" w:pos="4800"/>
              </w:tabs>
            </w:pPr>
            <w:r>
              <w:t xml:space="preserve">Copy of a Crown lease, Crown title, permit or licence </w:t>
            </w:r>
            <w:r>
              <w:tab/>
            </w:r>
          </w:p>
        </w:tc>
        <w:tc>
          <w:tcPr>
            <w:tcW w:w="1548" w:type="dxa"/>
          </w:tcPr>
          <w:p>
            <w:pPr>
              <w:pStyle w:val="yTableNAm"/>
              <w:rPr>
                <w:snapToGrid w:val="0"/>
              </w:rPr>
            </w:pPr>
            <w:r>
              <w:rPr>
                <w:snapToGrid w:val="0"/>
              </w:rPr>
              <w:br/>
            </w:r>
            <w:r>
              <w:rPr>
                <w:szCs w:val="22"/>
              </w:rPr>
              <w:t>$27.20</w:t>
            </w:r>
          </w:p>
        </w:tc>
      </w:tr>
      <w:tr>
        <w:trPr>
          <w:cantSplit/>
        </w:trPr>
        <w:tc>
          <w:tcPr>
            <w:tcW w:w="621" w:type="dxa"/>
          </w:tcPr>
          <w:p>
            <w:pPr>
              <w:pStyle w:val="yTableNAm"/>
              <w:rPr>
                <w:snapToGrid w:val="0"/>
              </w:rPr>
            </w:pPr>
            <w:r>
              <w:rPr>
                <w:snapToGrid w:val="0"/>
              </w:rPr>
              <w:lastRenderedPageBreak/>
              <w:t>3.</w:t>
            </w:r>
          </w:p>
        </w:tc>
        <w:tc>
          <w:tcPr>
            <w:tcW w:w="4911" w:type="dxa"/>
          </w:tcPr>
          <w:p>
            <w:pPr>
              <w:pStyle w:val="yTableNAm"/>
              <w:tabs>
                <w:tab w:val="clear" w:pos="567"/>
                <w:tab w:val="right" w:leader="dot" w:pos="4800"/>
              </w:tabs>
            </w:pPr>
            <w:r>
              <w:t xml:space="preserve">Inspection of a Crown land lease </w:t>
            </w:r>
            <w:r>
              <w:tab/>
            </w:r>
          </w:p>
        </w:tc>
        <w:tc>
          <w:tcPr>
            <w:tcW w:w="1548" w:type="dxa"/>
          </w:tcPr>
          <w:p>
            <w:pPr>
              <w:pStyle w:val="yTableNAm"/>
              <w:rPr>
                <w:snapToGrid w:val="0"/>
              </w:rPr>
            </w:pPr>
            <w:r>
              <w:rPr>
                <w:szCs w:val="22"/>
              </w:rPr>
              <w:t>$27.20</w:t>
            </w:r>
          </w:p>
        </w:tc>
      </w:tr>
      <w:tr>
        <w:trPr>
          <w:cantSplit/>
        </w:trPr>
        <w:tc>
          <w:tcPr>
            <w:tcW w:w="621" w:type="dxa"/>
          </w:tcPr>
          <w:p>
            <w:pPr>
              <w:pStyle w:val="yTableNAm"/>
              <w:rPr>
                <w:snapToGrid w:val="0"/>
              </w:rPr>
            </w:pPr>
            <w:r>
              <w:rPr>
                <w:snapToGrid w:val="0"/>
              </w:rPr>
              <w:t>4.</w:t>
            </w:r>
          </w:p>
        </w:tc>
        <w:tc>
          <w:tcPr>
            <w:tcW w:w="4911" w:type="dxa"/>
          </w:tcPr>
          <w:p>
            <w:pPr>
              <w:pStyle w:val="yTableNAm"/>
              <w:tabs>
                <w:tab w:val="clear" w:pos="567"/>
                <w:tab w:val="right" w:leader="dot" w:pos="4800"/>
              </w:tabs>
            </w:pPr>
            <w:r>
              <w:t xml:space="preserve">Copy of a Crown land lease </w:t>
            </w:r>
            <w:r>
              <w:tab/>
            </w:r>
          </w:p>
        </w:tc>
        <w:tc>
          <w:tcPr>
            <w:tcW w:w="1548" w:type="dxa"/>
          </w:tcPr>
          <w:p>
            <w:pPr>
              <w:pStyle w:val="yTableNAm"/>
              <w:rPr>
                <w:snapToGrid w:val="0"/>
              </w:rPr>
            </w:pPr>
            <w:r>
              <w:rPr>
                <w:szCs w:val="22"/>
              </w:rPr>
              <w:t>$27.20</w:t>
            </w:r>
          </w:p>
        </w:tc>
      </w:tr>
      <w:tr>
        <w:trPr>
          <w:cantSplit/>
        </w:trPr>
        <w:tc>
          <w:tcPr>
            <w:tcW w:w="621" w:type="dxa"/>
          </w:tcPr>
          <w:p>
            <w:pPr>
              <w:pStyle w:val="yTableNAm"/>
              <w:keepNext/>
              <w:rPr>
                <w:snapToGrid w:val="0"/>
              </w:rPr>
            </w:pPr>
            <w:r>
              <w:rPr>
                <w:snapToGrid w:val="0"/>
              </w:rPr>
              <w:t>5.</w:t>
            </w:r>
          </w:p>
        </w:tc>
        <w:tc>
          <w:tcPr>
            <w:tcW w:w="4911" w:type="dxa"/>
          </w:tcPr>
          <w:p>
            <w:pPr>
              <w:pStyle w:val="yTableNAm"/>
              <w:keepNext/>
            </w:pPr>
            <w:r>
              <w:t>Inspection of a certificate of title — </w:t>
            </w:r>
          </w:p>
        </w:tc>
        <w:tc>
          <w:tcPr>
            <w:tcW w:w="1548" w:type="dxa"/>
          </w:tcPr>
          <w:p>
            <w:pPr>
              <w:pStyle w:val="yTableNAm"/>
              <w:keepNext/>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w:t>
            </w:r>
            <w:r>
              <w:br/>
              <w:t xml:space="preserve">search </w:t>
            </w:r>
            <w:r>
              <w:tab/>
            </w:r>
          </w:p>
        </w:tc>
        <w:tc>
          <w:tcPr>
            <w:tcW w:w="1548" w:type="dxa"/>
            <w:vAlign w:val="bottom"/>
          </w:tcPr>
          <w:p>
            <w:pPr>
              <w:pStyle w:val="yTableNAm"/>
              <w:rPr>
                <w:snapToGrid w:val="0"/>
              </w:rPr>
            </w:pPr>
            <w:r>
              <w:rPr>
                <w:szCs w:val="22"/>
              </w:rPr>
              <w:t>$13.60</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rPr>
                <w:szCs w:val="22"/>
              </w:rPr>
              <w:t>$27.20</w:t>
            </w:r>
          </w:p>
        </w:tc>
      </w:tr>
      <w:tr>
        <w:trPr>
          <w:cantSplit/>
        </w:trPr>
        <w:tc>
          <w:tcPr>
            <w:tcW w:w="621" w:type="dxa"/>
          </w:tcPr>
          <w:p>
            <w:pPr>
              <w:pStyle w:val="yTableNAm"/>
              <w:rPr>
                <w:snapToGrid w:val="0"/>
              </w:rPr>
            </w:pPr>
            <w:r>
              <w:rPr>
                <w:snapToGrid w:val="0"/>
              </w:rPr>
              <w:t>6.</w:t>
            </w:r>
          </w:p>
        </w:tc>
        <w:tc>
          <w:tcPr>
            <w:tcW w:w="4911" w:type="dxa"/>
          </w:tcPr>
          <w:p>
            <w:pPr>
              <w:pStyle w:val="yTableNAm"/>
              <w:ind w:left="774" w:hanging="774"/>
            </w:pPr>
            <w:r>
              <w:t>Copy of a certificate of title</w:t>
            </w:r>
            <w:r>
              <w:rPr>
                <w:snapToGrid w:val="0"/>
              </w:rPr>
              <w:t>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w:t>
            </w:r>
            <w:r>
              <w:br/>
              <w:t xml:space="preserve">search </w:t>
            </w:r>
            <w:r>
              <w:tab/>
            </w:r>
          </w:p>
        </w:tc>
        <w:tc>
          <w:tcPr>
            <w:tcW w:w="1548" w:type="dxa"/>
            <w:vAlign w:val="bottom"/>
          </w:tcPr>
          <w:p>
            <w:pPr>
              <w:pStyle w:val="yTableNAm"/>
              <w:rPr>
                <w:snapToGrid w:val="0"/>
              </w:rPr>
            </w:pPr>
            <w:r>
              <w:rPr>
                <w:szCs w:val="22"/>
              </w:rPr>
              <w:t>$13.60</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rPr>
                <w:szCs w:val="22"/>
              </w:rPr>
              <w:t>$27.20</w:t>
            </w:r>
          </w:p>
        </w:tc>
      </w:tr>
      <w:tr>
        <w:trPr>
          <w:cantSplit/>
        </w:trPr>
        <w:tc>
          <w:tcPr>
            <w:tcW w:w="621" w:type="dxa"/>
          </w:tcPr>
          <w:p>
            <w:pPr>
              <w:pStyle w:val="yTableNAm"/>
              <w:rPr>
                <w:snapToGrid w:val="0"/>
              </w:rPr>
            </w:pPr>
            <w:r>
              <w:rPr>
                <w:snapToGrid w:val="0"/>
              </w:rPr>
              <w:t>7.</w:t>
            </w:r>
          </w:p>
        </w:tc>
        <w:tc>
          <w:tcPr>
            <w:tcW w:w="4911" w:type="dxa"/>
          </w:tcPr>
          <w:p>
            <w:pPr>
              <w:pStyle w:val="yTableNAm"/>
              <w:tabs>
                <w:tab w:val="clear" w:pos="567"/>
                <w:tab w:val="left" w:pos="261"/>
                <w:tab w:val="right" w:leader="dot" w:pos="4800"/>
              </w:tabs>
              <w:ind w:left="774" w:hanging="774"/>
            </w:pPr>
            <w:r>
              <w:t xml:space="preserve">Inspection of a plan, diagram or deposited plan </w:t>
            </w:r>
            <w:r>
              <w:tab/>
            </w:r>
          </w:p>
        </w:tc>
        <w:tc>
          <w:tcPr>
            <w:tcW w:w="1548" w:type="dxa"/>
          </w:tcPr>
          <w:p>
            <w:pPr>
              <w:pStyle w:val="yTableNAm"/>
              <w:rPr>
                <w:snapToGrid w:val="0"/>
              </w:rPr>
            </w:pPr>
            <w:r>
              <w:rPr>
                <w:szCs w:val="22"/>
              </w:rPr>
              <w:t>$27.20</w:t>
            </w:r>
          </w:p>
        </w:tc>
      </w:tr>
      <w:tr>
        <w:trPr>
          <w:cantSplit/>
        </w:trPr>
        <w:tc>
          <w:tcPr>
            <w:tcW w:w="621" w:type="dxa"/>
          </w:tcPr>
          <w:p>
            <w:pPr>
              <w:pStyle w:val="yTableNAm"/>
              <w:rPr>
                <w:snapToGrid w:val="0"/>
              </w:rPr>
            </w:pPr>
            <w:r>
              <w:rPr>
                <w:snapToGrid w:val="0"/>
              </w:rPr>
              <w:t>8.</w:t>
            </w:r>
          </w:p>
        </w:tc>
        <w:tc>
          <w:tcPr>
            <w:tcW w:w="4911" w:type="dxa"/>
          </w:tcPr>
          <w:p>
            <w:pPr>
              <w:pStyle w:val="yTableNAm"/>
              <w:tabs>
                <w:tab w:val="clear" w:pos="567"/>
                <w:tab w:val="left" w:pos="261"/>
                <w:tab w:val="right" w:leader="dot" w:pos="4800"/>
              </w:tabs>
              <w:ind w:left="774" w:hanging="774"/>
            </w:pPr>
            <w:r>
              <w:t xml:space="preserve">Copy of a plan, diagram or deposited plan </w:t>
            </w:r>
            <w:r>
              <w:tab/>
            </w:r>
          </w:p>
        </w:tc>
        <w:tc>
          <w:tcPr>
            <w:tcW w:w="1548" w:type="dxa"/>
          </w:tcPr>
          <w:p>
            <w:pPr>
              <w:pStyle w:val="yTableNAm"/>
              <w:rPr>
                <w:snapToGrid w:val="0"/>
              </w:rPr>
            </w:pPr>
            <w:r>
              <w:rPr>
                <w:szCs w:val="22"/>
              </w:rPr>
              <w:t>$27.20</w:t>
            </w:r>
          </w:p>
        </w:tc>
      </w:tr>
      <w:tr>
        <w:trPr>
          <w:cantSplit/>
        </w:trPr>
        <w:tc>
          <w:tcPr>
            <w:tcW w:w="621" w:type="dxa"/>
          </w:tcPr>
          <w:p>
            <w:pPr>
              <w:pStyle w:val="yTableNAm"/>
              <w:rPr>
                <w:snapToGrid w:val="0"/>
              </w:rPr>
            </w:pPr>
            <w:r>
              <w:rPr>
                <w:snapToGrid w:val="0"/>
              </w:rPr>
              <w:t>9.</w:t>
            </w:r>
          </w:p>
        </w:tc>
        <w:tc>
          <w:tcPr>
            <w:tcW w:w="4911" w:type="dxa"/>
          </w:tcPr>
          <w:p>
            <w:pPr>
              <w:pStyle w:val="yTableNAm"/>
              <w:tabs>
                <w:tab w:val="clear" w:pos="567"/>
                <w:tab w:val="left" w:pos="261"/>
                <w:tab w:val="right" w:leader="dot" w:pos="4800"/>
              </w:tabs>
              <w:ind w:left="774" w:hanging="774"/>
            </w:pPr>
            <w:r>
              <w:t xml:space="preserve">Inspection of a licensed surveyor’s field record </w:t>
            </w:r>
            <w:r>
              <w:tab/>
            </w:r>
          </w:p>
        </w:tc>
        <w:tc>
          <w:tcPr>
            <w:tcW w:w="1548" w:type="dxa"/>
          </w:tcPr>
          <w:p>
            <w:pPr>
              <w:pStyle w:val="yTableNAm"/>
              <w:keepNext/>
              <w:rPr>
                <w:snapToGrid w:val="0"/>
              </w:rPr>
            </w:pPr>
            <w:r>
              <w:rPr>
                <w:szCs w:val="22"/>
              </w:rPr>
              <w:t>$27.20</w:t>
            </w:r>
          </w:p>
        </w:tc>
      </w:tr>
      <w:tr>
        <w:trPr>
          <w:cantSplit/>
        </w:trPr>
        <w:tc>
          <w:tcPr>
            <w:tcW w:w="621" w:type="dxa"/>
          </w:tcPr>
          <w:p>
            <w:pPr>
              <w:pStyle w:val="yTableNAm"/>
              <w:rPr>
                <w:snapToGrid w:val="0"/>
              </w:rPr>
            </w:pPr>
            <w:r>
              <w:rPr>
                <w:snapToGrid w:val="0"/>
              </w:rPr>
              <w:t>10.</w:t>
            </w:r>
          </w:p>
        </w:tc>
        <w:tc>
          <w:tcPr>
            <w:tcW w:w="4911" w:type="dxa"/>
          </w:tcPr>
          <w:p>
            <w:pPr>
              <w:pStyle w:val="yTableNAm"/>
              <w:tabs>
                <w:tab w:val="clear" w:pos="567"/>
                <w:tab w:val="left" w:pos="261"/>
                <w:tab w:val="right" w:leader="dot" w:pos="4800"/>
              </w:tabs>
              <w:ind w:left="774" w:hanging="774"/>
            </w:pPr>
            <w:r>
              <w:t xml:space="preserve">Copy of a licensed surveyor’s field record </w:t>
            </w:r>
            <w:r>
              <w:tab/>
            </w:r>
          </w:p>
        </w:tc>
        <w:tc>
          <w:tcPr>
            <w:tcW w:w="1548" w:type="dxa"/>
          </w:tcPr>
          <w:p>
            <w:pPr>
              <w:pStyle w:val="yTableNAm"/>
              <w:rPr>
                <w:snapToGrid w:val="0"/>
              </w:rPr>
            </w:pPr>
            <w:r>
              <w:rPr>
                <w:szCs w:val="22"/>
              </w:rPr>
              <w:t>$27.20</w:t>
            </w:r>
          </w:p>
        </w:tc>
      </w:tr>
      <w:tr>
        <w:trPr>
          <w:cantSplit/>
        </w:trPr>
        <w:tc>
          <w:tcPr>
            <w:tcW w:w="621" w:type="dxa"/>
          </w:tcPr>
          <w:p>
            <w:pPr>
              <w:pStyle w:val="yTableNAm"/>
              <w:rPr>
                <w:snapToGrid w:val="0"/>
              </w:rPr>
            </w:pPr>
            <w:r>
              <w:rPr>
                <w:snapToGrid w:val="0"/>
              </w:rPr>
              <w:t>11.</w:t>
            </w:r>
          </w:p>
        </w:tc>
        <w:tc>
          <w:tcPr>
            <w:tcW w:w="4911" w:type="dxa"/>
          </w:tcPr>
          <w:p>
            <w:pPr>
              <w:pStyle w:val="yTableNAm"/>
              <w:tabs>
                <w:tab w:val="clear" w:pos="567"/>
                <w:tab w:val="right" w:leader="dot" w:pos="4800"/>
              </w:tabs>
            </w:pPr>
            <w:r>
              <w:t xml:space="preserve">Copy of a plan, diagram, deposited plan, survey index plan or licensed surveyor’s field record obtained by use of the online facility known as the “Survey Channel” of “MyLandgate” or by use of any other online facility that is maintained by, or on behalf of, the Registrar as a service specially for the use of surveyors, cartographers and planning professionals </w:t>
            </w:r>
            <w:r>
              <w:tab/>
            </w:r>
          </w:p>
        </w:tc>
        <w:tc>
          <w:tcPr>
            <w:tcW w:w="1548" w:type="dxa"/>
          </w:tcPr>
          <w:p>
            <w:pPr>
              <w:pStyle w:val="yTableNAm"/>
              <w:rPr>
                <w:snapToGrid w:val="0"/>
              </w:rPr>
            </w:pPr>
            <w:r>
              <w:rPr>
                <w:snapToGrid w:val="0"/>
              </w:rPr>
              <w:br/>
            </w:r>
            <w:r>
              <w:rPr>
                <w:snapToGrid w:val="0"/>
              </w:rPr>
              <w:br/>
              <w:t xml:space="preserve">fee as assessed by the Registrar, not exceeding actual cost </w:t>
            </w:r>
          </w:p>
        </w:tc>
      </w:tr>
      <w:tr>
        <w:trPr>
          <w:cantSplit/>
        </w:trPr>
        <w:tc>
          <w:tcPr>
            <w:tcW w:w="621" w:type="dxa"/>
          </w:tcPr>
          <w:p>
            <w:pPr>
              <w:pStyle w:val="yTableNAm"/>
              <w:rPr>
                <w:snapToGrid w:val="0"/>
              </w:rPr>
            </w:pPr>
            <w:r>
              <w:rPr>
                <w:snapToGrid w:val="0"/>
              </w:rPr>
              <w:t>12.</w:t>
            </w:r>
          </w:p>
        </w:tc>
        <w:tc>
          <w:tcPr>
            <w:tcW w:w="4911" w:type="dxa"/>
          </w:tcPr>
          <w:p>
            <w:pPr>
              <w:pStyle w:val="yTableNAm"/>
              <w:tabs>
                <w:tab w:val="clear" w:pos="567"/>
                <w:tab w:val="right" w:leader="dot" w:pos="4800"/>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48" w:type="dxa"/>
          </w:tcPr>
          <w:p>
            <w:pPr>
              <w:pStyle w:val="yTableNAm"/>
              <w:rPr>
                <w:snapToGrid w:val="0"/>
              </w:rPr>
            </w:pPr>
            <w:r>
              <w:rPr>
                <w:snapToGrid w:val="0"/>
              </w:rPr>
              <w:br/>
            </w:r>
            <w:r>
              <w:rPr>
                <w:snapToGrid w:val="0"/>
              </w:rPr>
              <w:br/>
            </w:r>
            <w:r>
              <w:rPr>
                <w:snapToGrid w:val="0"/>
              </w:rPr>
              <w:br/>
            </w:r>
            <w:r>
              <w:rPr>
                <w:snapToGrid w:val="0"/>
              </w:rPr>
              <w:br/>
            </w:r>
            <w:r>
              <w:rPr>
                <w:szCs w:val="22"/>
              </w:rPr>
              <w:t>$13.60</w:t>
            </w:r>
          </w:p>
        </w:tc>
      </w:tr>
      <w:tr>
        <w:trPr>
          <w:cantSplit/>
        </w:trPr>
        <w:tc>
          <w:tcPr>
            <w:tcW w:w="621" w:type="dxa"/>
          </w:tcPr>
          <w:p>
            <w:pPr>
              <w:pStyle w:val="yTableNAm"/>
              <w:rPr>
                <w:snapToGrid w:val="0"/>
              </w:rPr>
            </w:pPr>
            <w:r>
              <w:rPr>
                <w:snapToGrid w:val="0"/>
              </w:rPr>
              <w:t>13.</w:t>
            </w:r>
          </w:p>
        </w:tc>
        <w:tc>
          <w:tcPr>
            <w:tcW w:w="4911" w:type="dxa"/>
          </w:tcPr>
          <w:p>
            <w:pPr>
              <w:pStyle w:val="yTableNAm"/>
              <w:tabs>
                <w:tab w:val="clear" w:pos="567"/>
                <w:tab w:val="right" w:leader="dot" w:pos="4800"/>
              </w:tabs>
            </w:pPr>
            <w:r>
              <w:t xml:space="preserve">Inspection of other documents and related information not specifically provided for in this Division, including documents listed as subject to dealing and status reports </w:t>
            </w:r>
            <w:r>
              <w:tab/>
            </w:r>
          </w:p>
        </w:tc>
        <w:tc>
          <w:tcPr>
            <w:tcW w:w="1548" w:type="dxa"/>
          </w:tcPr>
          <w:p>
            <w:pPr>
              <w:pStyle w:val="yTableNAm"/>
              <w:rPr>
                <w:snapToGrid w:val="0"/>
              </w:rPr>
            </w:pPr>
            <w:r>
              <w:rPr>
                <w:snapToGrid w:val="0"/>
              </w:rPr>
              <w:br/>
            </w:r>
            <w:r>
              <w:rPr>
                <w:snapToGrid w:val="0"/>
              </w:rPr>
              <w:br/>
            </w:r>
            <w:r>
              <w:rPr>
                <w:snapToGrid w:val="0"/>
              </w:rPr>
              <w:br/>
            </w:r>
            <w:r>
              <w:rPr>
                <w:szCs w:val="22"/>
              </w:rPr>
              <w:t xml:space="preserve">$27.20 </w:t>
            </w:r>
            <w:r>
              <w:rPr>
                <w:snapToGrid w:val="0"/>
              </w:rPr>
              <w:t>per document</w:t>
            </w:r>
          </w:p>
        </w:tc>
      </w:tr>
      <w:tr>
        <w:trPr>
          <w:cantSplit/>
        </w:trPr>
        <w:tc>
          <w:tcPr>
            <w:tcW w:w="621" w:type="dxa"/>
          </w:tcPr>
          <w:p>
            <w:pPr>
              <w:pStyle w:val="yTableNAm"/>
              <w:rPr>
                <w:snapToGrid w:val="0"/>
              </w:rPr>
            </w:pPr>
            <w:r>
              <w:rPr>
                <w:snapToGrid w:val="0"/>
              </w:rPr>
              <w:lastRenderedPageBreak/>
              <w:t>14.</w:t>
            </w:r>
          </w:p>
        </w:tc>
        <w:tc>
          <w:tcPr>
            <w:tcW w:w="4911"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tab/>
            </w:r>
          </w:p>
        </w:tc>
        <w:tc>
          <w:tcPr>
            <w:tcW w:w="1548" w:type="dxa"/>
          </w:tcPr>
          <w:p>
            <w:pPr>
              <w:pStyle w:val="yTableNAm"/>
              <w:rPr>
                <w:snapToGrid w:val="0"/>
              </w:rPr>
            </w:pPr>
            <w:r>
              <w:rPr>
                <w:snapToGrid w:val="0"/>
              </w:rPr>
              <w:br/>
            </w:r>
            <w:r>
              <w:rPr>
                <w:snapToGrid w:val="0"/>
              </w:rPr>
              <w:br/>
            </w:r>
            <w:r>
              <w:rPr>
                <w:snapToGrid w:val="0"/>
              </w:rPr>
              <w:br/>
            </w:r>
            <w:r>
              <w:rPr>
                <w:szCs w:val="22"/>
              </w:rPr>
              <w:t xml:space="preserve">$27.20 </w:t>
            </w:r>
            <w:r>
              <w:rPr>
                <w:snapToGrid w:val="0"/>
              </w:rPr>
              <w:t>per document</w:t>
            </w:r>
          </w:p>
        </w:tc>
      </w:tr>
      <w:tr>
        <w:trPr>
          <w:cantSplit/>
        </w:trPr>
        <w:tc>
          <w:tcPr>
            <w:tcW w:w="621" w:type="dxa"/>
          </w:tcPr>
          <w:p>
            <w:pPr>
              <w:pStyle w:val="yTableNAm"/>
              <w:rPr>
                <w:snapToGrid w:val="0"/>
              </w:rPr>
            </w:pPr>
            <w:r>
              <w:rPr>
                <w:snapToGrid w:val="0"/>
              </w:rPr>
              <w:t>15.</w:t>
            </w:r>
          </w:p>
        </w:tc>
        <w:tc>
          <w:tcPr>
            <w:tcW w:w="4911" w:type="dxa"/>
          </w:tcPr>
          <w:p>
            <w:pPr>
              <w:pStyle w:val="yTableNAm"/>
              <w:tabs>
                <w:tab w:val="clear" w:pos="567"/>
                <w:tab w:val="right" w:leader="dot" w:pos="4704"/>
              </w:tabs>
            </w:pPr>
            <w:r>
              <w:t xml:space="preserve">Copy of a survey index plan </w:t>
            </w:r>
            <w:r>
              <w:tab/>
            </w:r>
          </w:p>
        </w:tc>
        <w:tc>
          <w:tcPr>
            <w:tcW w:w="1548" w:type="dxa"/>
          </w:tcPr>
          <w:p>
            <w:pPr>
              <w:pStyle w:val="yTableNAm"/>
              <w:rPr>
                <w:snapToGrid w:val="0"/>
              </w:rPr>
            </w:pPr>
            <w:r>
              <w:rPr>
                <w:szCs w:val="22"/>
              </w:rPr>
              <w:t>$27.20</w:t>
            </w:r>
          </w:p>
        </w:tc>
      </w:tr>
      <w:tr>
        <w:trPr>
          <w:cantSplit/>
        </w:trPr>
        <w:tc>
          <w:tcPr>
            <w:tcW w:w="621" w:type="dxa"/>
          </w:tcPr>
          <w:p>
            <w:pPr>
              <w:pStyle w:val="yTableNAm"/>
              <w:rPr>
                <w:snapToGrid w:val="0"/>
              </w:rPr>
            </w:pPr>
            <w:r>
              <w:rPr>
                <w:snapToGrid w:val="0"/>
              </w:rPr>
              <w:t>16.</w:t>
            </w:r>
          </w:p>
        </w:tc>
        <w:tc>
          <w:tcPr>
            <w:tcW w:w="4911" w:type="dxa"/>
          </w:tcPr>
          <w:p>
            <w:pPr>
              <w:pStyle w:val="yTableNAm"/>
              <w:tabs>
                <w:tab w:val="clear" w:pos="567"/>
                <w:tab w:val="right" w:leader="dot" w:pos="4704"/>
              </w:tabs>
            </w:pPr>
            <w:r>
              <w:t xml:space="preserve">Check search </w:t>
            </w:r>
            <w:r>
              <w:tab/>
            </w:r>
          </w:p>
        </w:tc>
        <w:tc>
          <w:tcPr>
            <w:tcW w:w="1548" w:type="dxa"/>
          </w:tcPr>
          <w:p>
            <w:pPr>
              <w:pStyle w:val="yTableNAm"/>
              <w:rPr>
                <w:snapToGrid w:val="0"/>
              </w:rPr>
            </w:pPr>
            <w:r>
              <w:rPr>
                <w:szCs w:val="22"/>
              </w:rPr>
              <w:t>$13.60</w:t>
            </w:r>
          </w:p>
        </w:tc>
      </w:tr>
      <w:tr>
        <w:trPr>
          <w:cantSplit/>
        </w:trPr>
        <w:tc>
          <w:tcPr>
            <w:tcW w:w="621" w:type="dxa"/>
          </w:tcPr>
          <w:p>
            <w:pPr>
              <w:pStyle w:val="yTableNAm"/>
              <w:rPr>
                <w:snapToGrid w:val="0"/>
              </w:rPr>
            </w:pPr>
            <w:r>
              <w:rPr>
                <w:snapToGrid w:val="0"/>
              </w:rPr>
              <w:t>17.</w:t>
            </w:r>
          </w:p>
        </w:tc>
        <w:tc>
          <w:tcPr>
            <w:tcW w:w="4911" w:type="dxa"/>
          </w:tcPr>
          <w:p>
            <w:pPr>
              <w:pStyle w:val="yTableNAm"/>
              <w:tabs>
                <w:tab w:val="clear" w:pos="567"/>
                <w:tab w:val="right" w:leader="dot" w:pos="4704"/>
              </w:tabs>
              <w:rPr>
                <w:snapToGrid w:val="0"/>
              </w:rPr>
            </w:pPr>
            <w:r>
              <w:rPr>
                <w:snapToGrid w:val="0"/>
              </w:rPr>
              <w:t xml:space="preserve">In response to a request via a privately owned data </w:t>
            </w:r>
            <w:r>
              <w:t>terminal</w:t>
            </w:r>
            <w:r>
              <w:rPr>
                <w:snapToGrid w:val="0"/>
              </w:rPr>
              <w:t xml:space="preserve"> for a check search to be sent to that data terminal</w:t>
            </w:r>
            <w:r>
              <w:tab/>
            </w:r>
          </w:p>
        </w:tc>
        <w:tc>
          <w:tcPr>
            <w:tcW w:w="1548" w:type="dxa"/>
          </w:tcPr>
          <w:p>
            <w:pPr>
              <w:pStyle w:val="yTableNAm"/>
              <w:rPr>
                <w:snapToGrid w:val="0"/>
              </w:rPr>
            </w:pPr>
            <w:r>
              <w:rPr>
                <w:snapToGrid w:val="0"/>
              </w:rPr>
              <w:br/>
            </w:r>
            <w:r>
              <w:rPr>
                <w:snapToGrid w:val="0"/>
              </w:rPr>
              <w:br/>
            </w:r>
            <w:r>
              <w:rPr>
                <w:szCs w:val="22"/>
              </w:rPr>
              <w:t>$13.60</w:t>
            </w:r>
          </w:p>
        </w:tc>
      </w:tr>
      <w:tr>
        <w:trPr>
          <w:cantSplit/>
        </w:trPr>
        <w:tc>
          <w:tcPr>
            <w:tcW w:w="5532" w:type="dxa"/>
            <w:gridSpan w:val="2"/>
          </w:tcPr>
          <w:p>
            <w:pPr>
              <w:pStyle w:val="yTableNAm"/>
              <w:tabs>
                <w:tab w:val="clear" w:pos="567"/>
                <w:tab w:val="left" w:pos="1124"/>
              </w:tabs>
              <w:ind w:left="1124" w:hanging="490"/>
              <w:rPr>
                <w:snapToGrid w:val="0"/>
              </w:rPr>
            </w:pPr>
            <w:r>
              <w:rPr>
                <w:snapToGrid w:val="0"/>
                <w:sz w:val="18"/>
              </w:rPr>
              <w:t>Note:</w:t>
            </w:r>
            <w:r>
              <w:rPr>
                <w:snapToGrid w:val="0"/>
                <w:sz w:val="18"/>
              </w:rPr>
              <w:tab/>
              <w:t>The fee specified in item 17 includes taking a hard copy of screen print.</w:t>
            </w:r>
          </w:p>
        </w:tc>
        <w:tc>
          <w:tcPr>
            <w:tcW w:w="1548" w:type="dxa"/>
          </w:tcPr>
          <w:p>
            <w:pPr>
              <w:pStyle w:val="yTableNAm"/>
              <w:rPr>
                <w:snapToGrid w:val="0"/>
              </w:rPr>
            </w:pPr>
          </w:p>
        </w:tc>
      </w:tr>
      <w:tr>
        <w:trPr>
          <w:cantSplit/>
        </w:trPr>
        <w:tc>
          <w:tcPr>
            <w:tcW w:w="621" w:type="dxa"/>
          </w:tcPr>
          <w:p>
            <w:pPr>
              <w:pStyle w:val="yTableNAm"/>
              <w:rPr>
                <w:snapToGrid w:val="0"/>
              </w:rPr>
            </w:pPr>
            <w:r>
              <w:rPr>
                <w:snapToGrid w:val="0"/>
              </w:rPr>
              <w:t>18.</w:t>
            </w:r>
          </w:p>
        </w:tc>
        <w:tc>
          <w:tcPr>
            <w:tcW w:w="4911" w:type="dxa"/>
          </w:tcPr>
          <w:p>
            <w:pPr>
              <w:pStyle w:val="yTableNAm"/>
              <w:tabs>
                <w:tab w:val="clear" w:pos="567"/>
                <w:tab w:val="right" w:leader="dot" w:pos="4704"/>
              </w:tabs>
            </w:pPr>
            <w:r>
              <w:t>Inspection of a power of attorney document where the number is known</w:t>
            </w:r>
            <w:r>
              <w:rPr>
                <w:sz w:val="18"/>
              </w:rPr>
              <w:t xml:space="preserve"> </w:t>
            </w:r>
            <w:r>
              <w:tab/>
            </w:r>
          </w:p>
        </w:tc>
        <w:tc>
          <w:tcPr>
            <w:tcW w:w="1548" w:type="dxa"/>
          </w:tcPr>
          <w:p>
            <w:pPr>
              <w:pStyle w:val="yTableNAm"/>
              <w:rPr>
                <w:snapToGrid w:val="0"/>
              </w:rPr>
            </w:pPr>
            <w:r>
              <w:rPr>
                <w:snapToGrid w:val="0"/>
              </w:rPr>
              <w:br/>
            </w:r>
            <w:r>
              <w:rPr>
                <w:szCs w:val="22"/>
              </w:rPr>
              <w:t>$27.20</w:t>
            </w:r>
          </w:p>
        </w:tc>
      </w:tr>
      <w:tr>
        <w:trPr>
          <w:cantSplit/>
        </w:trPr>
        <w:tc>
          <w:tcPr>
            <w:tcW w:w="621" w:type="dxa"/>
          </w:tcPr>
          <w:p>
            <w:pPr>
              <w:pStyle w:val="yTableNAm"/>
              <w:rPr>
                <w:snapToGrid w:val="0"/>
              </w:rPr>
            </w:pPr>
            <w:r>
              <w:rPr>
                <w:snapToGrid w:val="0"/>
              </w:rPr>
              <w:t>19.</w:t>
            </w:r>
          </w:p>
        </w:tc>
        <w:tc>
          <w:tcPr>
            <w:tcW w:w="4911" w:type="dxa"/>
          </w:tcPr>
          <w:p>
            <w:pPr>
              <w:pStyle w:val="yTableNAm"/>
              <w:keepLines/>
              <w:pageBreakBefore/>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48" w:type="dxa"/>
          </w:tcPr>
          <w:p>
            <w:pPr>
              <w:pStyle w:val="yTableNAm"/>
              <w:keepLines/>
              <w:pageBreakBefore/>
              <w:rPr>
                <w:snapToGrid w:val="0"/>
              </w:rPr>
            </w:pPr>
            <w:r>
              <w:rPr>
                <w:snapToGrid w:val="0"/>
              </w:rPr>
              <w:br/>
            </w:r>
            <w:r>
              <w:rPr>
                <w:szCs w:val="22"/>
              </w:rPr>
              <w:t>$27.20</w:t>
            </w:r>
          </w:p>
        </w:tc>
      </w:tr>
    </w:tbl>
    <w:p>
      <w:pPr>
        <w:pStyle w:val="yFootnotesection"/>
      </w:pPr>
      <w:r>
        <w:tab/>
        <w:t>[Division 6 inserted: Gazette 21 May 2019 p. 1479</w:t>
      </w:r>
      <w:r>
        <w:noBreakHyphen/>
        <w:t>80; amended: SL 2020/76 r. 8; SL 2021/88 r. 10(2) and (4).]</w:t>
      </w:r>
    </w:p>
    <w:p>
      <w:pPr>
        <w:pStyle w:val="yHeading3"/>
      </w:pPr>
      <w:bookmarkStart w:id="79" w:name="_Toc104902891"/>
      <w:bookmarkStart w:id="80" w:name="_Toc104902939"/>
      <w:bookmarkStart w:id="81" w:name="_Toc104969079"/>
      <w:r>
        <w:rPr>
          <w:rStyle w:val="CharSDivNo"/>
        </w:rPr>
        <w:t>Division 7</w:t>
      </w:r>
      <w:r>
        <w:t> — </w:t>
      </w:r>
      <w:r>
        <w:rPr>
          <w:rStyle w:val="CharSDivText"/>
        </w:rPr>
        <w:t>Miscellaneous</w:t>
      </w:r>
      <w:bookmarkEnd w:id="79"/>
      <w:bookmarkEnd w:id="80"/>
      <w:bookmarkEnd w:id="81"/>
    </w:p>
    <w:p>
      <w:pPr>
        <w:pStyle w:val="yFootnoteheading"/>
      </w:pPr>
      <w:r>
        <w:tab/>
        <w:t>[Heading inserted: Gazette 21 May 2019 p. 1479.]</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821"/>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r>
            <w:r>
              <w:rPr>
                <w:szCs w:val="22"/>
              </w:rPr>
              <w:t>$181.30</w:t>
            </w:r>
            <w:r>
              <w:br/>
              <w:t xml:space="preserve">plus actual cost above </w:t>
            </w:r>
            <w:r>
              <w:rPr>
                <w:szCs w:val="22"/>
              </w:rPr>
              <w:t>$181.30</w:t>
            </w:r>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821"/>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821"/>
              </w:tabs>
            </w:pPr>
            <w:r>
              <w:rPr>
                <w:snapToGrid w:val="0"/>
              </w:rPr>
              <w:t>For</w:t>
            </w:r>
            <w:r>
              <w:t xml:space="preserve"> dispensing with the production of a duplicate certificate of title or other instrument </w:t>
            </w:r>
            <w:r>
              <w:tab/>
            </w:r>
          </w:p>
        </w:tc>
        <w:tc>
          <w:tcPr>
            <w:tcW w:w="1560" w:type="dxa"/>
          </w:tcPr>
          <w:p>
            <w:pPr>
              <w:pStyle w:val="yTableNAm"/>
            </w:pPr>
            <w:r>
              <w:br/>
            </w:r>
            <w:r>
              <w:rPr>
                <w:szCs w:val="22"/>
              </w:rPr>
              <w:t>$157.70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821"/>
              </w:tabs>
            </w:pPr>
            <w:r>
              <w:rPr>
                <w:snapToGrid w:val="0"/>
              </w:rPr>
              <w:t>Supply</w:t>
            </w:r>
            <w:r>
              <w:t xml:space="preserve"> of statement of grounds </w:t>
            </w:r>
            <w:r>
              <w:tab/>
            </w:r>
          </w:p>
        </w:tc>
        <w:tc>
          <w:tcPr>
            <w:tcW w:w="1560" w:type="dxa"/>
          </w:tcPr>
          <w:p>
            <w:pPr>
              <w:pStyle w:val="yTableNAm"/>
            </w:pPr>
            <w:r>
              <w:rPr>
                <w:szCs w:val="22"/>
              </w:rPr>
              <w:t>$157.70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821"/>
              </w:tabs>
            </w:pPr>
            <w:r>
              <w:rPr>
                <w:snapToGrid w:val="0"/>
              </w:rPr>
              <w:t>Order</w:t>
            </w:r>
            <w:r>
              <w:t xml:space="preserve"> for stay of registration under section 148 of the Act </w:t>
            </w:r>
            <w:r>
              <w:tab/>
            </w:r>
          </w:p>
        </w:tc>
        <w:tc>
          <w:tcPr>
            <w:tcW w:w="1560" w:type="dxa"/>
          </w:tcPr>
          <w:p>
            <w:pPr>
              <w:pStyle w:val="yTableNAm"/>
            </w:pPr>
            <w:r>
              <w:br/>
            </w:r>
            <w:r>
              <w:rPr>
                <w:szCs w:val="22"/>
              </w:rPr>
              <w:t>$157.70</w:t>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a deposited plan or other survey document </w:t>
            </w:r>
            <w:r>
              <w:tab/>
            </w:r>
          </w:p>
        </w:tc>
        <w:tc>
          <w:tcPr>
            <w:tcW w:w="1560" w:type="dxa"/>
          </w:tcPr>
          <w:p>
            <w:pPr>
              <w:pStyle w:val="yTableNAm"/>
            </w:pPr>
            <w:r>
              <w:rPr>
                <w:szCs w:val="22"/>
              </w:rPr>
              <w:t>$118.10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rPr>
                <w:snapToGrid w:val="0"/>
              </w:rPr>
            </w:pPr>
            <w:r>
              <w:rPr>
                <w:snapToGrid w:val="0"/>
              </w:rPr>
              <w:tab/>
              <w:t>(b)</w:t>
            </w:r>
            <w:r>
              <w:rPr>
                <w:snapToGrid w:val="0"/>
              </w:rPr>
              <w:tab/>
              <w:t xml:space="preserve">any other document </w:t>
            </w:r>
            <w:r>
              <w:rPr>
                <w:snapToGrid w:val="0"/>
              </w:rPr>
              <w:tab/>
            </w:r>
          </w:p>
        </w:tc>
        <w:tc>
          <w:tcPr>
            <w:tcW w:w="1560" w:type="dxa"/>
          </w:tcPr>
          <w:p>
            <w:pPr>
              <w:pStyle w:val="yTableNAm"/>
              <w:keepNext/>
            </w:pPr>
            <w:r>
              <w:rPr>
                <w:szCs w:val="22"/>
              </w:rPr>
              <w:t>$90.65</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821"/>
              </w:tabs>
            </w:pPr>
            <w:r>
              <w:rPr>
                <w:snapToGrid w:val="0"/>
              </w:rPr>
              <w:t>For</w:t>
            </w:r>
            <w:r>
              <w:t xml:space="preserve"> amendments made to a deposited plan or other survey document on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821"/>
              </w:tabs>
            </w:pPr>
            <w:r>
              <w:t xml:space="preserve">For serving a caveator with notice under section 138 or 141A of the Act — each caveat </w:t>
            </w:r>
            <w:r>
              <w:tab/>
            </w:r>
          </w:p>
        </w:tc>
        <w:tc>
          <w:tcPr>
            <w:tcW w:w="1560" w:type="dxa"/>
          </w:tcPr>
          <w:p>
            <w:pPr>
              <w:pStyle w:val="yTableNAm"/>
              <w:rPr>
                <w:snapToGrid w:val="0"/>
              </w:rPr>
            </w:pPr>
            <w:r>
              <w:rPr>
                <w:snapToGrid w:val="0"/>
              </w:rPr>
              <w:br/>
            </w:r>
            <w:r>
              <w:rPr>
                <w:szCs w:val="22"/>
              </w:rPr>
              <w:t>$157.70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Cancellation of a deposited plan </w:t>
            </w:r>
            <w:r>
              <w:rPr>
                <w:szCs w:val="22"/>
              </w:rPr>
              <w:t>or any other plan</w:t>
            </w:r>
            <w:r>
              <w:tab/>
            </w:r>
          </w:p>
        </w:tc>
        <w:tc>
          <w:tcPr>
            <w:tcW w:w="1560" w:type="dxa"/>
          </w:tcPr>
          <w:p>
            <w:pPr>
              <w:pStyle w:val="yTableNAm"/>
              <w:rPr>
                <w:snapToGrid w:val="0"/>
              </w:rPr>
            </w:pPr>
            <w:r>
              <w:rPr>
                <w:szCs w:val="22"/>
              </w:rPr>
              <w:t>$225.00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Search of a historical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821"/>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600" w:type="dxa"/>
          </w:tcPr>
          <w:p>
            <w:pPr>
              <w:pStyle w:val="yTableNAm"/>
              <w:rPr>
                <w:snapToGrid w:val="0"/>
              </w:rPr>
            </w:pPr>
            <w:r>
              <w:rPr>
                <w:snapToGrid w:val="0"/>
              </w:rPr>
              <w:lastRenderedPageBreak/>
              <w:t>12.</w:t>
            </w:r>
          </w:p>
        </w:tc>
        <w:tc>
          <w:tcPr>
            <w:tcW w:w="4920" w:type="dxa"/>
          </w:tcPr>
          <w:p>
            <w:pPr>
              <w:pStyle w:val="yTableNAm"/>
              <w:tabs>
                <w:tab w:val="clear" w:pos="567"/>
                <w:tab w:val="right" w:leader="dot" w:pos="4821"/>
              </w:tabs>
            </w:pPr>
            <w:r>
              <w:t xml:space="preserve">For rejection of a document under section 192(1) of the Act </w:t>
            </w:r>
            <w:r>
              <w:tab/>
            </w:r>
          </w:p>
        </w:tc>
        <w:tc>
          <w:tcPr>
            <w:tcW w:w="1560" w:type="dxa"/>
            <w:vMerge w:val="restart"/>
          </w:tcPr>
          <w:p>
            <w:pPr>
              <w:pStyle w:val="yTableNAm"/>
            </w:pPr>
            <w:r>
              <w:br/>
              <w:t>100% of the registration, recording, lodgment or application fee paid or payable on the</w:t>
            </w:r>
          </w:p>
          <w:p>
            <w:pPr>
              <w:pStyle w:val="yTableNAm"/>
              <w:spacing w:before="0"/>
            </w:pPr>
            <w:r>
              <w:t>document</w:t>
            </w:r>
          </w:p>
        </w:tc>
      </w:tr>
      <w:tr>
        <w:trPr>
          <w:cantSplit/>
        </w:trPr>
        <w:tc>
          <w:tcPr>
            <w:tcW w:w="600" w:type="dxa"/>
          </w:tcPr>
          <w:p>
            <w:pPr>
              <w:pStyle w:val="yTableNAm"/>
              <w:rPr>
                <w:snapToGrid w:val="0"/>
              </w:rPr>
            </w:pPr>
          </w:p>
        </w:tc>
        <w:tc>
          <w:tcPr>
            <w:tcW w:w="4920" w:type="dxa"/>
          </w:tcPr>
          <w:p>
            <w:pPr>
              <w:pStyle w:val="yTableNAm"/>
            </w:pPr>
          </w:p>
        </w:tc>
        <w:tc>
          <w:tcPr>
            <w:tcW w:w="1560" w:type="dxa"/>
            <w:vMerge/>
          </w:tcPr>
          <w:p>
            <w:pPr>
              <w:pStyle w:val="yTableNAm"/>
              <w:spacing w:before="0"/>
            </w:pPr>
          </w:p>
        </w:tc>
      </w:tr>
      <w:tr>
        <w:trPr>
          <w:cantSplit/>
        </w:trPr>
        <w:tc>
          <w:tcPr>
            <w:tcW w:w="600" w:type="dxa"/>
          </w:tcPr>
          <w:p>
            <w:pPr>
              <w:pStyle w:val="yTableNAm"/>
              <w:rPr>
                <w:snapToGrid w:val="0"/>
              </w:rPr>
            </w:pPr>
            <w:r>
              <w:rPr>
                <w:snapToGrid w:val="0"/>
              </w:rPr>
              <w:t>13.</w:t>
            </w:r>
          </w:p>
        </w:tc>
        <w:tc>
          <w:tcPr>
            <w:tcW w:w="4920" w:type="dxa"/>
          </w:tcPr>
          <w:p>
            <w:pPr>
              <w:pStyle w:val="yTableNAm"/>
              <w:tabs>
                <w:tab w:val="clear" w:pos="567"/>
                <w:tab w:val="left" w:leader="dot" w:pos="4820"/>
              </w:tabs>
            </w:pPr>
            <w:r>
              <w:t xml:space="preserve">For registrations and recordings under Division 1, lodgments under Division 2 and applications under Division 4 — involving more than 20 certificates or leases — each certificate or lease in excess of 20 </w:t>
            </w:r>
            <w:r>
              <w:tab/>
            </w:r>
          </w:p>
        </w:tc>
        <w:tc>
          <w:tcPr>
            <w:tcW w:w="1560" w:type="dxa"/>
          </w:tcPr>
          <w:p>
            <w:pPr>
              <w:pStyle w:val="yTableNAm"/>
            </w:pPr>
            <w:r>
              <w:br/>
            </w:r>
            <w:r>
              <w:br/>
            </w:r>
            <w:r>
              <w:br/>
            </w:r>
            <w:r>
              <w:rPr>
                <w:szCs w:val="22"/>
              </w:rPr>
              <w:t>$6.50</w:t>
            </w:r>
          </w:p>
        </w:tc>
      </w:tr>
    </w:tbl>
    <w:p>
      <w:pPr>
        <w:pStyle w:val="yFootnotesection"/>
      </w:pPr>
      <w:r>
        <w:tab/>
        <w:t>[Division 7 inserted: Gazette 21 May 2019 p. 1480</w:t>
      </w:r>
      <w:r>
        <w:noBreakHyphen/>
        <w:t>81; amended: SL 2020/76 r. 8; SL 2021/88 r. 10(3) and (4).]</w:t>
      </w:r>
    </w:p>
    <w:p>
      <w:pPr>
        <w:pStyle w:val="yScheduleHeading"/>
      </w:pPr>
      <w:bookmarkStart w:id="82" w:name="_Toc104902892"/>
      <w:bookmarkStart w:id="83" w:name="_Toc104902940"/>
      <w:bookmarkStart w:id="84" w:name="_Toc104969080"/>
      <w:r>
        <w:rPr>
          <w:rStyle w:val="CharSchNo"/>
        </w:rPr>
        <w:lastRenderedPageBreak/>
        <w:t>Schedule 2</w:t>
      </w:r>
      <w:r>
        <w:rPr>
          <w:rStyle w:val="CharSDivNo"/>
        </w:rPr>
        <w:t> </w:t>
      </w:r>
      <w:r>
        <w:t>—</w:t>
      </w:r>
      <w:r>
        <w:rPr>
          <w:rStyle w:val="CharSDivText"/>
        </w:rPr>
        <w:t> </w:t>
      </w:r>
      <w:r>
        <w:rPr>
          <w:rStyle w:val="CharSchText"/>
        </w:rPr>
        <w:t>Services and matters for which fees cannot be charged</w:t>
      </w:r>
      <w:bookmarkEnd w:id="82"/>
      <w:bookmarkEnd w:id="83"/>
      <w:bookmarkEnd w:id="84"/>
    </w:p>
    <w:p>
      <w:pPr>
        <w:pStyle w:val="yShoulderClause"/>
        <w:rPr>
          <w:snapToGrid w:val="0"/>
        </w:rPr>
      </w:pPr>
      <w:r>
        <w:t>[r. 9A(8)]</w:t>
      </w:r>
    </w:p>
    <w:p>
      <w:pPr>
        <w:pStyle w:val="yFootnotesection"/>
      </w:pPr>
      <w:r>
        <w:tab/>
        <w:t>[Heading amended: Gazette 27 May 2005 p. 2295; 22 May 2009 p. 1705.]</w:t>
      </w:r>
    </w:p>
    <w:p>
      <w:pPr>
        <w:pStyle w:val="yNumberedItem"/>
        <w:rPr>
          <w:snapToGrid w:val="0"/>
        </w:rPr>
      </w:pPr>
      <w:r>
        <w:rPr>
          <w:snapToGrid w:val="0"/>
        </w:rPr>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NumberedItem"/>
      </w:pPr>
      <w:r>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NumberedItem"/>
        <w:rPr>
          <w:snapToGrid w:val="0"/>
        </w:rPr>
      </w:pPr>
      <w:r>
        <w:rPr>
          <w:snapToGrid w:val="0"/>
        </w:rPr>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NumberedItem"/>
        <w:rPr>
          <w:snapToGrid w:val="0"/>
        </w:rPr>
      </w:pPr>
      <w:r>
        <w:rPr>
          <w:snapToGrid w:val="0"/>
        </w:rPr>
        <w:t>3.</w:t>
      </w:r>
      <w:r>
        <w:rPr>
          <w:snapToGrid w:val="0"/>
        </w:rPr>
        <w:tab/>
        <w:t>In respect of the lodging by a person of or the use by a third party of a duplicate certificate of title or lease for a purpose referred to in item 1 or 2.</w:t>
      </w:r>
    </w:p>
    <w:p>
      <w:pPr>
        <w:pStyle w:val="yNumberedItem"/>
        <w:rPr>
          <w:snapToGrid w:val="0"/>
        </w:rPr>
      </w:pPr>
      <w:r>
        <w:rPr>
          <w:snapToGrid w:val="0"/>
        </w:rPr>
        <w:t>4.</w:t>
      </w:r>
      <w:r>
        <w:rPr>
          <w:snapToGrid w:val="0"/>
        </w:rPr>
        <w:tab/>
        <w:t>To amend the address of the registered proprietor on the certificate of title.</w:t>
      </w:r>
    </w:p>
    <w:p>
      <w:pPr>
        <w:pStyle w:val="yNumberedItem"/>
        <w:rPr>
          <w:snapToGrid w:val="0"/>
        </w:rPr>
      </w:pPr>
      <w:r>
        <w:rPr>
          <w:snapToGrid w:val="0"/>
        </w:rPr>
        <w:t>5.</w:t>
      </w:r>
      <w:r>
        <w:rPr>
          <w:snapToGrid w:val="0"/>
        </w:rPr>
        <w:tab/>
        <w:t>An application for the issue of a Crown land title or qualified Crown land title for Crown land and an endorsement on that title of details of —</w:t>
      </w:r>
    </w:p>
    <w:p>
      <w:pPr>
        <w:pStyle w:val="yNumberedItemPar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NumberedItemPar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NumberedItemPar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NumberedItemPar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NumberedItemPara"/>
        <w:rPr>
          <w:snapToGrid w:val="0"/>
        </w:rPr>
      </w:pPr>
      <w:r>
        <w:rPr>
          <w:snapToGrid w:val="0"/>
        </w:rPr>
        <w:lastRenderedPageBreak/>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NumberedItemPar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NumberedItem"/>
        <w:rPr>
          <w:snapToGrid w:val="0"/>
        </w:rPr>
      </w:pPr>
      <w:r>
        <w:rPr>
          <w:snapToGrid w:val="0"/>
        </w:rPr>
        <w:t>6.</w:t>
      </w:r>
      <w:r>
        <w:rPr>
          <w:snapToGrid w:val="0"/>
        </w:rPr>
        <w:tab/>
        <w:t>Creation and registration of a certificate of title by the Registrar under regulation 4 (if different from the applicant’s request) or regulation 5.</w:t>
      </w:r>
    </w:p>
    <w:p>
      <w:pPr>
        <w:pStyle w:val="yNumberedItem"/>
        <w:rPr>
          <w:snapToGrid w:val="0"/>
        </w:rPr>
      </w:pPr>
      <w:r>
        <w:rPr>
          <w:snapToGrid w:val="0"/>
        </w:rPr>
        <w:t>7.</w:t>
      </w:r>
      <w:r>
        <w:rPr>
          <w:snapToGrid w:val="0"/>
        </w:rPr>
        <w:tab/>
        <w:t>Lodgments by or on behalf of the Registrar.</w:t>
      </w:r>
    </w:p>
    <w:p>
      <w:pPr>
        <w:pStyle w:val="yNumberedItem"/>
        <w:rPr>
          <w:snapToGrid w:val="0"/>
        </w:rPr>
      </w:pPr>
      <w:r>
        <w:rPr>
          <w:snapToGrid w:val="0"/>
        </w:rPr>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NumberedItem"/>
      </w:pPr>
      <w:r>
        <w:rPr>
          <w:snapToGrid w:val="0"/>
        </w:rPr>
        <w:t>9.</w:t>
      </w:r>
      <w:r>
        <w:rPr>
          <w:snapToGrid w:val="0"/>
        </w:rPr>
        <w:tab/>
      </w:r>
      <w:r>
        <w:t>An application for the issue of a duplicate certificate of title where a duplicate certificate of title was not issued on the registration of the certificate of title.</w:t>
      </w:r>
    </w:p>
    <w:p>
      <w:pPr>
        <w:pStyle w:val="yNumberedItem"/>
        <w:rPr>
          <w:snapToGrid w:val="0"/>
        </w:rPr>
      </w:pPr>
      <w:r>
        <w:t>10.</w:t>
      </w:r>
      <w:r>
        <w:tab/>
        <w:t>An application for information not to be inspected as part of the names index.</w:t>
      </w:r>
    </w:p>
    <w:p>
      <w:pPr>
        <w:pStyle w:val="yFootnotesection"/>
      </w:pPr>
      <w:r>
        <w:tab/>
        <w:t>[Schedule 2 amended: Gazette 25 Jun 2007 p. 2978; 20 Jun 2008 p. 2717; 13 Apr 2012 p. 1659; 26 Jul 2013 p. 3349; 23 Jun 2017 p. 3185.]</w:t>
      </w:r>
    </w:p>
    <w:p>
      <w:pPr>
        <w:pStyle w:val="yEdnoteschedule"/>
      </w:pPr>
      <w:r>
        <w:t>[Schedule 3 deleted: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4"/>
          <w:headerReference w:type="default" r:id="rId25"/>
          <w:headerReference w:type="first" r:id="rId26"/>
          <w:endnotePr>
            <w:numFmt w:val="decimal"/>
          </w:endnotePr>
          <w:pgSz w:w="11907" w:h="16840" w:code="9"/>
          <w:pgMar w:top="2381" w:right="2409" w:bottom="3543" w:left="2409" w:header="720" w:footer="3380" w:gutter="0"/>
          <w:cols w:space="720"/>
          <w:noEndnote/>
          <w:docGrid w:linePitch="326"/>
        </w:sectPr>
      </w:pPr>
    </w:p>
    <w:p>
      <w:pPr>
        <w:pStyle w:val="nHeading2"/>
      </w:pPr>
      <w:bookmarkStart w:id="86" w:name="_Toc104902893"/>
      <w:bookmarkStart w:id="87" w:name="_Toc104902941"/>
      <w:bookmarkStart w:id="88" w:name="_Toc104969081"/>
      <w:r>
        <w:lastRenderedPageBreak/>
        <w:t>Notes</w:t>
      </w:r>
      <w:bookmarkEnd w:id="86"/>
      <w:bookmarkEnd w:id="87"/>
      <w:bookmarkEnd w:id="88"/>
    </w:p>
    <w:p>
      <w:pPr>
        <w:pStyle w:val="nStatement"/>
      </w:pPr>
      <w:r>
        <w:t xml:space="preserve">This is a compilation of the </w:t>
      </w:r>
      <w:r>
        <w:rPr>
          <w:i/>
          <w:noProof/>
        </w:rPr>
        <w:t>Transfer of Land Regulations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9" w:name="_Toc104969082"/>
      <w:r>
        <w:t>Compilation table</w:t>
      </w:r>
      <w:bookmarkEnd w:id="89"/>
    </w:p>
    <w:tbl>
      <w:tblPr>
        <w:tblW w:w="709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Borders>
              <w:top w:val="single" w:sz="8" w:space="0" w:color="auto"/>
            </w:tcBorders>
          </w:tcPr>
          <w:p>
            <w:pPr>
              <w:pStyle w:val="nTable"/>
              <w:spacing w:after="40"/>
            </w:pPr>
            <w:r>
              <w:rPr>
                <w:i/>
              </w:rPr>
              <w:t>Transfer of Land Regulations 2004</w:t>
            </w:r>
          </w:p>
        </w:tc>
        <w:tc>
          <w:tcPr>
            <w:tcW w:w="1276" w:type="dxa"/>
            <w:gridSpan w:val="2"/>
            <w:tcBorders>
              <w:top w:val="single" w:sz="8" w:space="0" w:color="auto"/>
            </w:tcBorders>
          </w:tcPr>
          <w:p>
            <w:pPr>
              <w:pStyle w:val="nTable"/>
              <w:spacing w:after="40"/>
            </w:pPr>
            <w:r>
              <w:t>2 Sep 2004 p. 3829</w:t>
            </w:r>
            <w:r>
              <w:noBreakHyphen/>
              <w:t>46</w:t>
            </w:r>
          </w:p>
        </w:tc>
        <w:tc>
          <w:tcPr>
            <w:tcW w:w="2693" w:type="dxa"/>
            <w:gridSpan w:val="2"/>
            <w:tcBorders>
              <w:top w:val="single" w:sz="8" w:space="0" w:color="auto"/>
            </w:tcBorders>
          </w:tcPr>
          <w:p>
            <w:pPr>
              <w:pStyle w:val="nTable"/>
              <w:spacing w:after="40"/>
            </w:pPr>
            <w:r>
              <w:t>6 Sep 2004 (see r. 2)</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2005</w:t>
            </w:r>
          </w:p>
        </w:tc>
        <w:tc>
          <w:tcPr>
            <w:tcW w:w="1276" w:type="dxa"/>
            <w:gridSpan w:val="2"/>
          </w:tcPr>
          <w:p>
            <w:pPr>
              <w:pStyle w:val="nTable"/>
              <w:spacing w:after="40"/>
            </w:pPr>
            <w:r>
              <w:t>27 May 2005 p. 2293</w:t>
            </w:r>
            <w:r>
              <w:noBreakHyphen/>
              <w:t>5</w:t>
            </w:r>
          </w:p>
        </w:tc>
        <w:tc>
          <w:tcPr>
            <w:tcW w:w="2693" w:type="dxa"/>
            <w:gridSpan w:val="2"/>
          </w:tcPr>
          <w:p>
            <w:pPr>
              <w:pStyle w:val="nTable"/>
              <w:spacing w:after="40"/>
            </w:pPr>
            <w:r>
              <w:t>27 May 2005</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3) 2005</w:t>
            </w:r>
          </w:p>
        </w:tc>
        <w:tc>
          <w:tcPr>
            <w:tcW w:w="1276" w:type="dxa"/>
            <w:gridSpan w:val="2"/>
          </w:tcPr>
          <w:p>
            <w:pPr>
              <w:pStyle w:val="nTable"/>
              <w:spacing w:after="40"/>
            </w:pPr>
            <w:r>
              <w:t>24 Jun 2005 p. 2761</w:t>
            </w:r>
            <w:r>
              <w:noBreakHyphen/>
              <w:t>4</w:t>
            </w:r>
          </w:p>
        </w:tc>
        <w:tc>
          <w:tcPr>
            <w:tcW w:w="2693" w:type="dxa"/>
            <w:gridSpan w:val="2"/>
          </w:tcPr>
          <w:p>
            <w:pPr>
              <w:pStyle w:val="nTable"/>
              <w:spacing w:after="40"/>
            </w:pPr>
            <w:r>
              <w:t>4 Jul 2005 (see r. 2)</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2005</w:t>
            </w:r>
          </w:p>
        </w:tc>
        <w:tc>
          <w:tcPr>
            <w:tcW w:w="1276" w:type="dxa"/>
            <w:gridSpan w:val="2"/>
          </w:tcPr>
          <w:p>
            <w:pPr>
              <w:pStyle w:val="nTable"/>
              <w:spacing w:after="40"/>
            </w:pPr>
            <w:r>
              <w:t>15 Jul 2005 p. 3283</w:t>
            </w:r>
            <w:r>
              <w:noBreakHyphen/>
              <w:t>302</w:t>
            </w:r>
          </w:p>
        </w:tc>
        <w:tc>
          <w:tcPr>
            <w:tcW w:w="2693" w:type="dxa"/>
            <w:gridSpan w:val="2"/>
          </w:tcPr>
          <w:p>
            <w:pPr>
              <w:pStyle w:val="nTable"/>
              <w:spacing w:after="40"/>
            </w:pPr>
            <w:r>
              <w:t>15 Jul 2005</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 xml:space="preserve">Transfer of Land Amendment Regulations 2006 </w:t>
            </w:r>
          </w:p>
        </w:tc>
        <w:tc>
          <w:tcPr>
            <w:tcW w:w="1276" w:type="dxa"/>
            <w:gridSpan w:val="2"/>
          </w:tcPr>
          <w:p>
            <w:pPr>
              <w:pStyle w:val="nTable"/>
              <w:spacing w:after="40"/>
            </w:pPr>
            <w:r>
              <w:t>7 Jul 2006 p. 2502</w:t>
            </w:r>
            <w:r>
              <w:noBreakHyphen/>
              <w:t>11</w:t>
            </w:r>
          </w:p>
        </w:tc>
        <w:tc>
          <w:tcPr>
            <w:tcW w:w="2693" w:type="dxa"/>
            <w:gridSpan w:val="2"/>
          </w:tcPr>
          <w:p>
            <w:pPr>
              <w:pStyle w:val="nTable"/>
              <w:spacing w:after="40"/>
            </w:pPr>
            <w:r>
              <w:t>10 Jul 2006 (see r. 2)</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pPr>
            <w:r>
              <w:rPr>
                <w:b/>
                <w:bCs/>
              </w:rPr>
              <w:t xml:space="preserve">Reprint 1:  The </w:t>
            </w:r>
            <w:r>
              <w:rPr>
                <w:b/>
                <w:bCs/>
                <w:i/>
              </w:rPr>
              <w:t>Transfer of Land Regulations 2004</w:t>
            </w:r>
            <w:r>
              <w:rPr>
                <w:b/>
                <w:bCs/>
              </w:rPr>
              <w:t xml:space="preserve"> as at 3 Nov 2006</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 xml:space="preserve">Transfer of Land Amendment Regulations (No. 2) 2006 </w:t>
            </w:r>
          </w:p>
        </w:tc>
        <w:tc>
          <w:tcPr>
            <w:tcW w:w="1276" w:type="dxa"/>
            <w:gridSpan w:val="2"/>
          </w:tcPr>
          <w:p>
            <w:pPr>
              <w:pStyle w:val="nTable"/>
              <w:spacing w:after="40"/>
            </w:pPr>
            <w:r>
              <w:t>29 Dec 2006 p. 5915</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2007</w:t>
            </w:r>
          </w:p>
        </w:tc>
        <w:tc>
          <w:tcPr>
            <w:tcW w:w="1276" w:type="dxa"/>
            <w:gridSpan w:val="2"/>
          </w:tcPr>
          <w:p>
            <w:pPr>
              <w:pStyle w:val="nTable"/>
              <w:spacing w:after="40"/>
            </w:pPr>
            <w:r>
              <w:t>25 Jun 2007 p. 2968</w:t>
            </w:r>
            <w:r>
              <w:noBreakHyphen/>
              <w:t>78</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2 Jul 2007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2008</w:t>
            </w:r>
          </w:p>
        </w:tc>
        <w:tc>
          <w:tcPr>
            <w:tcW w:w="1276" w:type="dxa"/>
            <w:gridSpan w:val="2"/>
          </w:tcPr>
          <w:p>
            <w:pPr>
              <w:pStyle w:val="nTable"/>
              <w:spacing w:after="40"/>
            </w:pPr>
            <w:r>
              <w:t>20 Jun 2008 p. 2710</w:t>
            </w:r>
            <w:r>
              <w:noBreakHyphen/>
              <w:t>17</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2008</w:t>
            </w:r>
          </w:p>
        </w:tc>
        <w:tc>
          <w:tcPr>
            <w:tcW w:w="1276" w:type="dxa"/>
            <w:gridSpan w:val="2"/>
          </w:tcPr>
          <w:p>
            <w:pPr>
              <w:pStyle w:val="nTable"/>
              <w:spacing w:after="40"/>
            </w:pPr>
            <w:r>
              <w:t>9 Jan 2009 p. 29-36</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bCs/>
              </w:rPr>
              <w:t xml:space="preserve">Reprint 2:  The </w:t>
            </w:r>
            <w:r>
              <w:rPr>
                <w:b/>
                <w:bCs/>
                <w:i/>
              </w:rPr>
              <w:t>Transfer of Land Regulations 2004</w:t>
            </w:r>
            <w:r>
              <w:rPr>
                <w:b/>
                <w:bCs/>
              </w:rPr>
              <w:t xml:space="preserve"> as at 6 Feb 2009</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rPr>
                <w:i/>
              </w:rPr>
            </w:pPr>
            <w:r>
              <w:rPr>
                <w:i/>
              </w:rPr>
              <w:t>Transfer of Land Amendment Regulations 2009</w:t>
            </w:r>
          </w:p>
        </w:tc>
        <w:tc>
          <w:tcPr>
            <w:tcW w:w="1276" w:type="dxa"/>
            <w:gridSpan w:val="2"/>
          </w:tcPr>
          <w:p>
            <w:pPr>
              <w:pStyle w:val="nTable"/>
              <w:spacing w:after="40"/>
            </w:pPr>
            <w:r>
              <w:t>22 May 2009 p. 1700-5</w:t>
            </w:r>
          </w:p>
        </w:tc>
        <w:tc>
          <w:tcPr>
            <w:tcW w:w="2693" w:type="dxa"/>
            <w:gridSpan w:val="2"/>
          </w:tcPr>
          <w:p>
            <w:pPr>
              <w:pStyle w:val="nTable"/>
              <w:spacing w:after="40"/>
              <w:rPr>
                <w:snapToGrid w:val="0"/>
              </w:rPr>
            </w:pPr>
            <w:r>
              <w:rPr>
                <w:snapToGrid w:val="0"/>
              </w:rPr>
              <w:t>r. 1 and 2: 22 May 2009 (see r. 2(a));</w:t>
            </w:r>
            <w:r>
              <w:rPr>
                <w:snapToGrid w:val="0"/>
              </w:rPr>
              <w:br/>
              <w:t>Regulations other than r. 1 and 2: 23 May 2009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rPr>
                <w:i/>
              </w:rPr>
            </w:pPr>
            <w:r>
              <w:rPr>
                <w:i/>
              </w:rPr>
              <w:lastRenderedPageBreak/>
              <w:t>Transfer of Land Amendment Regulations (No. 2) 2009</w:t>
            </w:r>
          </w:p>
        </w:tc>
        <w:tc>
          <w:tcPr>
            <w:tcW w:w="1276" w:type="dxa"/>
            <w:gridSpan w:val="2"/>
          </w:tcPr>
          <w:p>
            <w:pPr>
              <w:pStyle w:val="nTable"/>
              <w:keepLines/>
              <w:spacing w:after="40"/>
            </w:pPr>
            <w:r>
              <w:t>19 Jun 2009 p. 2236</w:t>
            </w:r>
            <w:r>
              <w:noBreakHyphen/>
              <w:t>41</w:t>
            </w:r>
          </w:p>
        </w:tc>
        <w:tc>
          <w:tcPr>
            <w:tcW w:w="2693" w:type="dxa"/>
            <w:gridSpan w:val="2"/>
          </w:tcPr>
          <w:p>
            <w:pPr>
              <w:pStyle w:val="nTable"/>
              <w:keepLines/>
              <w:spacing w:after="40"/>
              <w:rPr>
                <w:snapToGrid w:val="0"/>
              </w:rPr>
            </w:pPr>
            <w:r>
              <w:rPr>
                <w:snapToGrid w:val="0"/>
              </w:rPr>
              <w:t>r. 1 and 2: 19 Jun 2009 (see r. 2(a));</w:t>
            </w:r>
            <w:r>
              <w:rPr>
                <w:snapToGrid w:val="0"/>
              </w:rPr>
              <w:br/>
              <w:t>Regulations other than r. 1 and 2: 1 Jul 2009 (see r. 2(b)(i))</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2010</w:t>
            </w:r>
          </w:p>
        </w:tc>
        <w:tc>
          <w:tcPr>
            <w:tcW w:w="1276" w:type="dxa"/>
            <w:gridSpan w:val="2"/>
          </w:tcPr>
          <w:p>
            <w:pPr>
              <w:pStyle w:val="nTable"/>
              <w:keepLines/>
              <w:spacing w:after="40"/>
            </w:pPr>
            <w:r>
              <w:t>18 Jun 2010 p. 2679-82</w:t>
            </w:r>
          </w:p>
        </w:tc>
        <w:tc>
          <w:tcPr>
            <w:tcW w:w="2693" w:type="dxa"/>
            <w:gridSpan w:val="2"/>
          </w:tcPr>
          <w:p>
            <w:pPr>
              <w:pStyle w:val="nTable"/>
              <w:keepLines/>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2011</w:t>
            </w:r>
          </w:p>
        </w:tc>
        <w:tc>
          <w:tcPr>
            <w:tcW w:w="1276" w:type="dxa"/>
            <w:gridSpan w:val="2"/>
          </w:tcPr>
          <w:p>
            <w:pPr>
              <w:pStyle w:val="nTable"/>
              <w:keepLines/>
              <w:spacing w:after="40"/>
            </w:pPr>
            <w:r>
              <w:t>14 Jun 2011 p. 2133</w:t>
            </w:r>
            <w:r>
              <w:noBreakHyphen/>
              <w:t>6</w:t>
            </w:r>
          </w:p>
        </w:tc>
        <w:tc>
          <w:tcPr>
            <w:tcW w:w="2693" w:type="dxa"/>
            <w:gridSpan w:val="2"/>
          </w:tcPr>
          <w:p>
            <w:pPr>
              <w:pStyle w:val="nTable"/>
              <w:keepLines/>
              <w:spacing w:after="40"/>
              <w:rPr>
                <w:snapToGrid w:val="0"/>
              </w:rPr>
            </w:pPr>
            <w:r>
              <w:rPr>
                <w:snapToGrid w:val="0"/>
              </w:rPr>
              <w:t>r. 1 and 2: 14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tcPr>
          <w:p>
            <w:pPr>
              <w:pStyle w:val="nTable"/>
              <w:spacing w:after="40"/>
              <w:rPr>
                <w:snapToGrid w:val="0"/>
              </w:rPr>
            </w:pPr>
            <w:r>
              <w:rPr>
                <w:b/>
                <w:bCs/>
              </w:rPr>
              <w:t xml:space="preserve">Reprint 3:  The </w:t>
            </w:r>
            <w:r>
              <w:rPr>
                <w:b/>
                <w:bCs/>
                <w:i/>
              </w:rPr>
              <w:t>Transfer of Land Regulations 2004</w:t>
            </w:r>
            <w:r>
              <w:rPr>
                <w:b/>
                <w:bCs/>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2012</w:t>
            </w:r>
          </w:p>
        </w:tc>
        <w:tc>
          <w:tcPr>
            <w:tcW w:w="1276" w:type="dxa"/>
            <w:gridSpan w:val="2"/>
          </w:tcPr>
          <w:p>
            <w:pPr>
              <w:pStyle w:val="nTable"/>
              <w:spacing w:after="40"/>
            </w:pPr>
            <w:r>
              <w:t>13 Apr 2012 p. 1658</w:t>
            </w:r>
            <w:r>
              <w:noBreakHyphen/>
              <w:t>9</w:t>
            </w:r>
          </w:p>
        </w:tc>
        <w:tc>
          <w:tcPr>
            <w:tcW w:w="2693" w:type="dxa"/>
            <w:gridSpan w:val="2"/>
          </w:tcPr>
          <w:p>
            <w:pPr>
              <w:pStyle w:val="nTable"/>
              <w:spacing w:after="40"/>
              <w:rPr>
                <w:snapToGrid w:val="0"/>
              </w:rPr>
            </w:pPr>
            <w:r>
              <w:rPr>
                <w:snapToGrid w:val="0"/>
              </w:rPr>
              <w:t>r. 1 and 2: 13 Apr 2012 (see r. 2(a));</w:t>
            </w:r>
            <w:r>
              <w:rPr>
                <w:snapToGrid w:val="0"/>
              </w:rPr>
              <w:br/>
              <w:t>Regulations other than r. 1 and 2: 14 Apr 2012 (see r. 2(b)(ii))</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2012</w:t>
            </w:r>
          </w:p>
        </w:tc>
        <w:tc>
          <w:tcPr>
            <w:tcW w:w="1276" w:type="dxa"/>
            <w:gridSpan w:val="2"/>
          </w:tcPr>
          <w:p>
            <w:pPr>
              <w:pStyle w:val="nTable"/>
              <w:spacing w:after="40"/>
            </w:pPr>
            <w:r>
              <w:t>22 Jun 2012 p. 2782</w:t>
            </w:r>
            <w:r>
              <w:noBreakHyphen/>
              <w:t>3</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2013</w:t>
            </w:r>
          </w:p>
        </w:tc>
        <w:tc>
          <w:tcPr>
            <w:tcW w:w="1276" w:type="dxa"/>
            <w:gridSpan w:val="2"/>
          </w:tcPr>
          <w:p>
            <w:pPr>
              <w:pStyle w:val="nTable"/>
              <w:spacing w:after="40"/>
            </w:pPr>
            <w:r>
              <w:t>26 Jul 2013 p. 3348-9</w:t>
            </w:r>
          </w:p>
        </w:tc>
        <w:tc>
          <w:tcPr>
            <w:tcW w:w="2693" w:type="dxa"/>
            <w:gridSpan w:val="2"/>
          </w:tcPr>
          <w:p>
            <w:pPr>
              <w:pStyle w:val="nTable"/>
              <w:spacing w:after="40"/>
              <w:rPr>
                <w:snapToGrid w:val="0"/>
              </w:rPr>
            </w:pPr>
            <w:r>
              <w:rPr>
                <w:snapToGrid w:val="0"/>
              </w:rPr>
              <w:t>r. 1 and 2: 26 Jul 2013 (see r. 2(a));</w:t>
            </w:r>
            <w:r>
              <w:rPr>
                <w:snapToGrid w:val="0"/>
              </w:rPr>
              <w:br/>
              <w:t>Regulations other than r. 1 and 2: 1 Aug 2013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2013</w:t>
            </w:r>
          </w:p>
        </w:tc>
        <w:tc>
          <w:tcPr>
            <w:tcW w:w="1276" w:type="dxa"/>
            <w:gridSpan w:val="2"/>
          </w:tcPr>
          <w:p>
            <w:pPr>
              <w:pStyle w:val="nTable"/>
              <w:spacing w:after="40"/>
            </w:pPr>
            <w:r>
              <w:t>14 Nov 2013 p. 5079</w:t>
            </w:r>
          </w:p>
        </w:tc>
        <w:tc>
          <w:tcPr>
            <w:tcW w:w="2693" w:type="dxa"/>
            <w:gridSpan w:val="2"/>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2014</w:t>
            </w:r>
          </w:p>
        </w:tc>
        <w:tc>
          <w:tcPr>
            <w:tcW w:w="1276" w:type="dxa"/>
            <w:gridSpan w:val="2"/>
          </w:tcPr>
          <w:p>
            <w:pPr>
              <w:pStyle w:val="nTable"/>
              <w:spacing w:after="40"/>
            </w:pPr>
            <w:r>
              <w:t>30 May 2014 p. 1683</w:t>
            </w:r>
            <w:r>
              <w:noBreakHyphen/>
              <w:t>6</w:t>
            </w:r>
          </w:p>
        </w:tc>
        <w:tc>
          <w:tcPr>
            <w:tcW w:w="2693" w:type="dxa"/>
            <w:gridSpan w:val="2"/>
          </w:tcPr>
          <w:p>
            <w:pPr>
              <w:pStyle w:val="nTable"/>
              <w:spacing w:after="40"/>
              <w:rPr>
                <w:bCs/>
                <w:snapToGrid w:val="0"/>
              </w:rPr>
            </w:pPr>
            <w:r>
              <w:rPr>
                <w:bCs/>
                <w:snapToGrid w:val="0"/>
              </w:rPr>
              <w:t>r. 1 and 2: 30 May 2014 (see r. 2(a));</w:t>
            </w:r>
            <w:r>
              <w:rPr>
                <w:bCs/>
                <w:snapToGrid w:val="0"/>
              </w:rPr>
              <w:br/>
              <w:t>Regulations other than r. 1 and 2: 3 Jun 2014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shd w:val="clear" w:color="auto" w:fill="auto"/>
          </w:tcPr>
          <w:p>
            <w:pPr>
              <w:pStyle w:val="nTable"/>
              <w:spacing w:after="40"/>
              <w:rPr>
                <w:bCs/>
                <w:snapToGrid w:val="0"/>
                <w:spacing w:val="-2"/>
              </w:rPr>
            </w:pPr>
            <w:r>
              <w:rPr>
                <w:b/>
                <w:bCs/>
              </w:rPr>
              <w:t xml:space="preserve">Reprint 4:  The </w:t>
            </w:r>
            <w:r>
              <w:rPr>
                <w:b/>
                <w:bCs/>
                <w:i/>
              </w:rPr>
              <w:t>Transfer of Land Regulations 2004</w:t>
            </w:r>
            <w:r>
              <w:rPr>
                <w:b/>
                <w:bCs/>
              </w:rPr>
              <w:t xml:space="preserve"> as at 5 Dec 2014</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b/>
                <w:bCs/>
              </w:rPr>
            </w:pPr>
            <w:r>
              <w:rPr>
                <w:i/>
              </w:rPr>
              <w:t>Transfer of Land Amendment Regulations 2015</w:t>
            </w:r>
          </w:p>
        </w:tc>
        <w:tc>
          <w:tcPr>
            <w:tcW w:w="1276" w:type="dxa"/>
            <w:gridSpan w:val="2"/>
            <w:shd w:val="clear" w:color="auto" w:fill="auto"/>
          </w:tcPr>
          <w:p>
            <w:pPr>
              <w:pStyle w:val="nTable"/>
              <w:spacing w:after="40"/>
              <w:rPr>
                <w:b/>
                <w:bCs/>
              </w:rPr>
            </w:pPr>
            <w:r>
              <w:t>19 Jun 2015 p. 2136</w:t>
            </w:r>
            <w:r>
              <w:noBreakHyphen/>
              <w:t>9</w:t>
            </w:r>
          </w:p>
        </w:tc>
        <w:tc>
          <w:tcPr>
            <w:tcW w:w="2693" w:type="dxa"/>
            <w:gridSpan w:val="2"/>
            <w:shd w:val="clear" w:color="auto" w:fill="auto"/>
          </w:tcPr>
          <w:p>
            <w:pPr>
              <w:pStyle w:val="nTable"/>
              <w:spacing w:after="40"/>
              <w:rPr>
                <w:b/>
                <w:bCs/>
              </w:rPr>
            </w:pPr>
            <w:r>
              <w:rPr>
                <w:bCs/>
                <w:snapToGrid w:val="0"/>
              </w:rPr>
              <w:t xml:space="preserve">r. 1 and 2: </w:t>
            </w:r>
            <w:r>
              <w:t>19 Jun 2015</w:t>
            </w:r>
            <w:r>
              <w:rPr>
                <w:bCs/>
                <w:snapToGrid w:val="0"/>
              </w:rPr>
              <w:t xml:space="preserve">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lastRenderedPageBreak/>
              <w:t>Transfer of Land Amendment Regulations 2016</w:t>
            </w:r>
          </w:p>
        </w:tc>
        <w:tc>
          <w:tcPr>
            <w:tcW w:w="1276" w:type="dxa"/>
            <w:gridSpan w:val="2"/>
            <w:shd w:val="clear" w:color="auto" w:fill="auto"/>
          </w:tcPr>
          <w:p>
            <w:pPr>
              <w:pStyle w:val="nTable"/>
              <w:spacing w:after="40"/>
            </w:pPr>
            <w:r>
              <w:t>22 Mar 2016 p. 835-6</w:t>
            </w:r>
          </w:p>
        </w:tc>
        <w:tc>
          <w:tcPr>
            <w:tcW w:w="2693" w:type="dxa"/>
            <w:gridSpan w:val="2"/>
            <w:shd w:val="clear" w:color="auto" w:fill="auto"/>
          </w:tcPr>
          <w:p>
            <w:pPr>
              <w:pStyle w:val="nTable"/>
              <w:spacing w:after="40"/>
              <w:rPr>
                <w:bCs/>
                <w:snapToGrid w:val="0"/>
              </w:rPr>
            </w:pPr>
            <w:r>
              <w:rPr>
                <w:bCs/>
                <w:snapToGrid w:val="0"/>
              </w:rPr>
              <w:t>r. 1 and 2: 22 Mar 2016 (see r. 2(a));</w:t>
            </w:r>
            <w:r>
              <w:rPr>
                <w:bCs/>
                <w:snapToGrid w:val="0"/>
              </w:rPr>
              <w:br/>
              <w:t>Regulations other than r. 1 and 2: 23 Mar 2016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pPr>
            <w:r>
              <w:rPr>
                <w:i/>
              </w:rPr>
              <w:t>Lands Regulations Amendment (Fees and Charges) Regulations 2016</w:t>
            </w:r>
            <w:r>
              <w:t xml:space="preserve"> Pt 4</w:t>
            </w:r>
          </w:p>
        </w:tc>
        <w:tc>
          <w:tcPr>
            <w:tcW w:w="1276" w:type="dxa"/>
            <w:gridSpan w:val="2"/>
            <w:shd w:val="clear" w:color="auto" w:fill="auto"/>
          </w:tcPr>
          <w:p>
            <w:pPr>
              <w:pStyle w:val="nTable"/>
              <w:spacing w:after="40"/>
            </w:pPr>
            <w:r>
              <w:t>24 Jun 2016 p. 2320-5</w:t>
            </w:r>
          </w:p>
        </w:tc>
        <w:tc>
          <w:tcPr>
            <w:tcW w:w="2693" w:type="dxa"/>
            <w:gridSpan w:val="2"/>
            <w:shd w:val="clear" w:color="auto" w:fill="auto"/>
          </w:tcPr>
          <w:p>
            <w:pPr>
              <w:pStyle w:val="nTable"/>
              <w:spacing w:after="40"/>
              <w:rPr>
                <w:bCs/>
                <w:snapToGrid w:val="0"/>
              </w:rPr>
            </w:pPr>
            <w:r>
              <w:rPr>
                <w:snapToGrid w:val="0"/>
              </w:rPr>
              <w:t>1 Jul 2016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Lands Regulations Amendment (Fees and Charges) Regulations 2017</w:t>
            </w:r>
            <w:r>
              <w:t xml:space="preserve"> Pt. 4</w:t>
            </w:r>
          </w:p>
        </w:tc>
        <w:tc>
          <w:tcPr>
            <w:tcW w:w="1276" w:type="dxa"/>
            <w:gridSpan w:val="2"/>
            <w:shd w:val="clear" w:color="auto" w:fill="auto"/>
          </w:tcPr>
          <w:p>
            <w:pPr>
              <w:pStyle w:val="nTable"/>
              <w:spacing w:after="40"/>
            </w:pPr>
            <w:r>
              <w:t>23 Jun 2017 p. 3181</w:t>
            </w:r>
            <w:r>
              <w:noBreakHyphen/>
              <w:t>6</w:t>
            </w:r>
          </w:p>
        </w:tc>
        <w:tc>
          <w:tcPr>
            <w:tcW w:w="2693" w:type="dxa"/>
            <w:gridSpan w:val="2"/>
            <w:shd w:val="clear" w:color="auto" w:fill="auto"/>
          </w:tcPr>
          <w:p>
            <w:pPr>
              <w:pStyle w:val="nTable"/>
              <w:spacing w:after="40"/>
              <w:rPr>
                <w:snapToGrid w:val="0"/>
              </w:rPr>
            </w:pPr>
            <w:r>
              <w:t>3 Jul 2017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Transfer of Land Amendment Regulations 2017</w:t>
            </w:r>
          </w:p>
        </w:tc>
        <w:tc>
          <w:tcPr>
            <w:tcW w:w="1276" w:type="dxa"/>
            <w:gridSpan w:val="2"/>
            <w:shd w:val="clear" w:color="auto" w:fill="auto"/>
          </w:tcPr>
          <w:p>
            <w:pPr>
              <w:pStyle w:val="nTable"/>
              <w:spacing w:after="40"/>
            </w:pPr>
            <w:r>
              <w:t>24 Nov 2017 p. 5679</w:t>
            </w:r>
            <w:r>
              <w:noBreakHyphen/>
              <w:t>82</w:t>
            </w:r>
          </w:p>
        </w:tc>
        <w:tc>
          <w:tcPr>
            <w:tcW w:w="2693" w:type="dxa"/>
            <w:gridSpan w:val="2"/>
            <w:shd w:val="clear" w:color="auto" w:fill="auto"/>
          </w:tcPr>
          <w:p>
            <w:pPr>
              <w:pStyle w:val="nTable"/>
              <w:spacing w:after="40"/>
            </w:pPr>
            <w:r>
              <w:rPr>
                <w:bCs/>
                <w:snapToGrid w:val="0"/>
                <w:spacing w:val="-2"/>
              </w:rPr>
              <w:t>r. 1 and 2: 24 Nov 2017 (see r. 2(a));</w:t>
            </w:r>
            <w:r>
              <w:rPr>
                <w:bCs/>
                <w:snapToGrid w:val="0"/>
                <w:spacing w:val="-2"/>
              </w:rPr>
              <w:br/>
              <w:t>Regulations other than r. 1 and 2: 25 Nov 2017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Transfer of Land Regulations 2004</w:t>
            </w:r>
            <w:r>
              <w:rPr>
                <w:b/>
                <w:bCs/>
                <w:snapToGrid w:val="0"/>
                <w:spacing w:val="-2"/>
              </w:rPr>
              <w:t xml:space="preserve"> as at 19 Jan 2018</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Lands Regulations Amendment (Fees and Charges) Regulations 2018</w:t>
            </w:r>
            <w:r>
              <w:t xml:space="preserve"> Pt. 4</w:t>
            </w:r>
          </w:p>
        </w:tc>
        <w:tc>
          <w:tcPr>
            <w:tcW w:w="1276" w:type="dxa"/>
            <w:gridSpan w:val="2"/>
          </w:tcPr>
          <w:p>
            <w:pPr>
              <w:pStyle w:val="nTable"/>
              <w:spacing w:after="40"/>
            </w:pPr>
            <w:r>
              <w:t>15 Jun 2018 p. 1923</w:t>
            </w:r>
            <w:r>
              <w:noBreakHyphen/>
              <w:t>8</w:t>
            </w:r>
          </w:p>
        </w:tc>
        <w:tc>
          <w:tcPr>
            <w:tcW w:w="2693" w:type="dxa"/>
            <w:gridSpan w:val="2"/>
          </w:tcPr>
          <w:p>
            <w:pPr>
              <w:pStyle w:val="nTable"/>
              <w:spacing w:after="40"/>
            </w:pPr>
            <w:r>
              <w:t>1 Jul 2018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Lands Regulations Amendment (Fees and Charges) Regulations 2019</w:t>
            </w:r>
            <w:r>
              <w:t xml:space="preserve"> Pt. 4</w:t>
            </w:r>
          </w:p>
        </w:tc>
        <w:tc>
          <w:tcPr>
            <w:tcW w:w="1276" w:type="dxa"/>
            <w:gridSpan w:val="2"/>
            <w:tcBorders>
              <w:top w:val="nil"/>
              <w:bottom w:val="nil"/>
            </w:tcBorders>
          </w:tcPr>
          <w:p>
            <w:pPr>
              <w:pStyle w:val="nTable"/>
              <w:spacing w:after="40"/>
            </w:pPr>
            <w:r>
              <w:t>21 May 2019 p. 1474</w:t>
            </w:r>
            <w:r>
              <w:noBreakHyphen/>
              <w:t>81</w:t>
            </w:r>
          </w:p>
        </w:tc>
        <w:tc>
          <w:tcPr>
            <w:tcW w:w="2693" w:type="dxa"/>
            <w:gridSpan w:val="2"/>
            <w:tcBorders>
              <w:top w:val="nil"/>
              <w:bottom w:val="nil"/>
            </w:tcBorders>
          </w:tcPr>
          <w:p>
            <w:pPr>
              <w:pStyle w:val="nTable"/>
              <w:spacing w:after="40"/>
            </w:pPr>
            <w:r>
              <w:t>1 Jul 2019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 xml:space="preserve">Lands Regulations Amendment (Fees and Charges) Regulations 2020 </w:t>
            </w:r>
            <w:r>
              <w:t>Pt. 4</w:t>
            </w:r>
          </w:p>
        </w:tc>
        <w:tc>
          <w:tcPr>
            <w:tcW w:w="1276" w:type="dxa"/>
            <w:gridSpan w:val="2"/>
            <w:tcBorders>
              <w:top w:val="nil"/>
              <w:bottom w:val="nil"/>
            </w:tcBorders>
          </w:tcPr>
          <w:p>
            <w:pPr>
              <w:pStyle w:val="nTable"/>
              <w:spacing w:after="40"/>
            </w:pPr>
            <w:r>
              <w:t>SL 2020/76 9 Jun 2020</w:t>
            </w:r>
          </w:p>
        </w:tc>
        <w:tc>
          <w:tcPr>
            <w:tcW w:w="2693" w:type="dxa"/>
            <w:gridSpan w:val="2"/>
            <w:tcBorders>
              <w:top w:val="nil"/>
              <w:bottom w:val="nil"/>
            </w:tcBorders>
          </w:tcPr>
          <w:p>
            <w:pPr>
              <w:pStyle w:val="nTable"/>
              <w:spacing w:after="40"/>
            </w:pPr>
            <w:r>
              <w:t>1 Jul 2020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 xml:space="preserve">Lands Regulations Amendment (Fees and Charges) Regulations 2021 </w:t>
            </w:r>
            <w:r>
              <w:t>Pt. 4</w:t>
            </w:r>
          </w:p>
        </w:tc>
        <w:tc>
          <w:tcPr>
            <w:tcW w:w="1276" w:type="dxa"/>
            <w:gridSpan w:val="2"/>
            <w:tcBorders>
              <w:top w:val="nil"/>
              <w:bottom w:val="nil"/>
            </w:tcBorders>
          </w:tcPr>
          <w:p>
            <w:pPr>
              <w:pStyle w:val="nTable"/>
              <w:spacing w:after="40"/>
            </w:pPr>
            <w:r>
              <w:t>SL 2021/88</w:t>
            </w:r>
            <w:r>
              <w:br/>
              <w:t>18 Jun 2021</w:t>
            </w:r>
          </w:p>
        </w:tc>
        <w:tc>
          <w:tcPr>
            <w:tcW w:w="2693" w:type="dxa"/>
            <w:gridSpan w:val="2"/>
            <w:tcBorders>
              <w:top w:val="nil"/>
              <w:bottom w:val="nil"/>
            </w:tcBorders>
          </w:tcPr>
          <w:p>
            <w:pPr>
              <w:pStyle w:val="nTable"/>
              <w:spacing w:after="40"/>
            </w:pPr>
            <w:r>
              <w:t>1 Jul 2021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tcPr>
          <w:p>
            <w:pPr>
              <w:pStyle w:val="nTable"/>
              <w:spacing w:after="40"/>
              <w:ind w:right="113"/>
            </w:pPr>
            <w:r>
              <w:rPr>
                <w:i/>
              </w:rPr>
              <w:t>Lands Regulations Amendment (Surveys) Regulations 2021</w:t>
            </w:r>
            <w:r>
              <w:t xml:space="preserve"> Pt. 4</w:t>
            </w:r>
          </w:p>
        </w:tc>
        <w:tc>
          <w:tcPr>
            <w:tcW w:w="1276" w:type="dxa"/>
            <w:gridSpan w:val="2"/>
            <w:tcBorders>
              <w:bottom w:val="single" w:sz="4" w:space="0" w:color="auto"/>
            </w:tcBorders>
          </w:tcPr>
          <w:p>
            <w:pPr>
              <w:pStyle w:val="nTable"/>
              <w:spacing w:after="40"/>
            </w:pPr>
            <w:r>
              <w:t>SL 2021/151 31 Aug 2021</w:t>
            </w:r>
          </w:p>
        </w:tc>
        <w:tc>
          <w:tcPr>
            <w:tcW w:w="2693" w:type="dxa"/>
            <w:gridSpan w:val="2"/>
            <w:tcBorders>
              <w:bottom w:val="single" w:sz="4" w:space="0" w:color="auto"/>
            </w:tcBorders>
          </w:tcPr>
          <w:p>
            <w:pPr>
              <w:pStyle w:val="nTable"/>
              <w:spacing w:after="40"/>
            </w:pPr>
            <w:r>
              <w:t>1 Sep 2021 (see r. 2(b))</w:t>
            </w:r>
          </w:p>
        </w:tc>
      </w:tr>
    </w:tbl>
    <w:p>
      <w:pPr>
        <w:pStyle w:val="nHeading3"/>
      </w:pPr>
      <w:bookmarkStart w:id="90" w:name="_Toc104969083"/>
      <w:r>
        <w:t>Uncommenced provisions table</w:t>
      </w:r>
      <w:bookmarkEnd w:id="9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Lands Regulations Amendment (Fees and Charges) Regulations 2022</w:t>
            </w:r>
            <w:r>
              <w:t xml:space="preserve"> Pt. 5</w:t>
            </w:r>
          </w:p>
        </w:tc>
        <w:tc>
          <w:tcPr>
            <w:tcW w:w="1276" w:type="dxa"/>
          </w:tcPr>
          <w:p>
            <w:pPr>
              <w:pStyle w:val="nTable"/>
              <w:spacing w:after="40"/>
            </w:pPr>
            <w:r>
              <w:t>SL 2022/62 3 Jun 2022</w:t>
            </w:r>
          </w:p>
        </w:tc>
        <w:tc>
          <w:tcPr>
            <w:tcW w:w="2693" w:type="dxa"/>
          </w:tcPr>
          <w:p>
            <w:pPr>
              <w:pStyle w:val="nTable"/>
              <w:spacing w:after="40"/>
            </w:pPr>
            <w:r>
              <w:t>1 Jul 2022 (see r. 2(b))</w:t>
            </w:r>
          </w:p>
        </w:tc>
      </w:tr>
    </w:tbl>
    <w:p>
      <w:pPr>
        <w:pStyle w:val="nHeading3"/>
      </w:pPr>
      <w:bookmarkStart w:id="91" w:name="_Toc104969084"/>
      <w:r>
        <w:t>Other notes</w:t>
      </w:r>
      <w:bookmarkEnd w:id="91"/>
    </w:p>
    <w:p>
      <w:pPr>
        <w:pStyle w:val="nNote"/>
      </w:pPr>
      <w:r>
        <w:rPr>
          <w:vertAlign w:val="superscript"/>
        </w:rPr>
        <w:t>1</w:t>
      </w:r>
      <w:r>
        <w:rPr>
          <w:vertAlign w:val="superscript"/>
        </w:rPr>
        <w:tab/>
      </w:r>
      <w:r>
        <w:t xml:space="preserve">Repealed by the </w:t>
      </w:r>
      <w:r>
        <w:rPr>
          <w:i/>
        </w:rPr>
        <w:t>Taxation Administration (Consequential Provisions) Act 2002</w:t>
      </w:r>
      <w:r>
        <w:t>.</w:t>
      </w:r>
    </w:p>
    <w:p>
      <w:pPr>
        <w:pStyle w:val="nNote"/>
      </w:pPr>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93" w:name="_Toc104902896"/>
      <w:bookmarkStart w:id="94" w:name="_Toc104902945"/>
      <w:bookmarkStart w:id="95" w:name="_Toc104969085"/>
      <w:r>
        <w:rPr>
          <w:sz w:val="28"/>
        </w:rPr>
        <w:lastRenderedPageBreak/>
        <w:t>Defined terms</w:t>
      </w:r>
      <w:bookmarkEnd w:id="93"/>
      <w:bookmarkEnd w:id="94"/>
      <w:bookmarkEnd w:id="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benefited lot</w:t>
      </w:r>
      <w:r>
        <w:tab/>
        <w:t>8(1)</w:t>
      </w:r>
    </w:p>
    <w:p>
      <w:pPr>
        <w:pStyle w:val="DefinedTerms"/>
      </w:pPr>
      <w:r>
        <w:t>circle</w:t>
      </w:r>
      <w:r>
        <w:tab/>
        <w:t>8(1)</w:t>
      </w:r>
    </w:p>
    <w:p>
      <w:pPr>
        <w:pStyle w:val="DefinedTerms"/>
      </w:pPr>
      <w:r>
        <w:t>department</w:t>
      </w:r>
      <w:r>
        <w:tab/>
        <w:t>11</w:t>
      </w:r>
    </w:p>
    <w:p>
      <w:pPr>
        <w:pStyle w:val="DefinedTerms"/>
      </w:pPr>
      <w:r>
        <w:t>ELN</w:t>
      </w:r>
      <w:r>
        <w:tab/>
        <w:t>8A(1)</w:t>
      </w:r>
    </w:p>
    <w:p>
      <w:pPr>
        <w:pStyle w:val="DefinedTerms"/>
      </w:pPr>
      <w:r>
        <w:t>lot</w:t>
      </w:r>
      <w:r>
        <w:tab/>
        <w:t>8(1)</w:t>
      </w:r>
    </w:p>
    <w:p>
      <w:pPr>
        <w:pStyle w:val="DefinedTerms"/>
      </w:pPr>
      <w:r>
        <w:t>names index</w:t>
      </w:r>
      <w:r>
        <w:tab/>
        <w:t>11</w:t>
      </w:r>
    </w:p>
    <w:p>
      <w:pPr>
        <w:pStyle w:val="DefinedTerms"/>
      </w:pPr>
      <w:r>
        <w:t>organisation</w:t>
      </w:r>
      <w:r>
        <w:tab/>
        <w:t>11</w:t>
      </w:r>
    </w:p>
    <w:p>
      <w:pPr>
        <w:pStyle w:val="DefinedTerms"/>
      </w:pPr>
      <w:r>
        <w:t>single dwelling covenant</w:t>
      </w:r>
      <w:r>
        <w:tab/>
        <w:t>8(1)</w:t>
      </w:r>
    </w:p>
    <w:p>
      <w:pPr>
        <w:pStyle w:val="DefinedTerms"/>
      </w:pPr>
      <w:r>
        <w:t>suppressed information</w:t>
      </w:r>
      <w:r>
        <w:tab/>
        <w:t>11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5" w:name="Schedule"/>
    <w:bookmarkEnd w:id="8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2" w:name="Compilation"/>
    <w:bookmarkEnd w:id="9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6" w:name="DefinedTerms"/>
    <w:bookmarkEnd w:id="9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7" w:name="Coversheet"/>
    <w:bookmarkEnd w:id="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102FF8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31145354"/>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 w:name="WAFER_20141110134448" w:val="RemoveTocBookmarks,RemoveUnusedBookmarks,RemoveLanguageTags,UsedStyles,ResetPageSize,RemoveBadVanishTags,RemoveDocumentProtection,UpdateArrangement,ExtractDocX,RunningHeaders"/>
    <w:docVar w:name="WAFER_20141110134448_GUID" w:val="0a64fc51-8669-41c6-9791-25c02e055eb4"/>
    <w:docVar w:name="WAFER_20141125143159" w:val="RemoveTocBookmarks,RemoveUnusedBookmarks,RemoveLanguageTags,UsedStyles,RemoveDocumentProtection,ExtractDocX,RunningHeaders"/>
    <w:docVar w:name="WAFER_20141125143159_GUID" w:val="2e74c842-6d1b-4eec-b8a9-73f656567aef"/>
    <w:docVar w:name="WAFER_20150721143445" w:val="ResetPageSize,UpdateArrangement,UpdateNTable"/>
    <w:docVar w:name="WAFER_20150721143445_GUID" w:val="3a5fce66-877c-4b24-8a55-7818fa6ef62d"/>
    <w:docVar w:name="WAFER_20151112092922" w:val="UpdateStyles,UsedStyles"/>
    <w:docVar w:name="WAFER_20151112092922_GUID" w:val="aeb613ab-3b17-4a03-9338-c3a0f83c93f4"/>
    <w:docVar w:name="WAFER_20171123111745" w:val="RemoveTocBookmarks,RemoveUnusedBookmarks,RemoveLanguageTags,UsedStyles,ResetPageSize"/>
    <w:docVar w:name="WAFER_20171123111745_GUID" w:val="ef734467-44c5-4f0f-a111-7b19b73705c9"/>
    <w:docVar w:name="WAFER_20171218140804" w:val="RemoveTocBookmarks,RemoveUnusedBookmarks,RemoveLanguageTags,UsedStyles,ResetPageSize,RemoveCustomizations"/>
    <w:docVar w:name="WAFER_20171218140804_GUID" w:val="ed7bc2fb-82de-499e-9d19-90b3d3c75cf2"/>
    <w:docVar w:name="WAFER_20180614115154" w:val="RemoveTocBookmarks,RemoveUnusedBookmarks,RemoveLanguageTags,UsedStyles,ResetPageSize"/>
    <w:docVar w:name="WAFER_20180614115154_GUID" w:val="88ccf9e0-3b78-46ad-9e88-b53d8d8884af"/>
    <w:docVar w:name="WAFER_20180628102427" w:val="RemoveTocBookmarks,RemoveUnusedBookmarks,RemoveLanguageTags,UsedStyles,ResetPageSize"/>
    <w:docVar w:name="WAFER_20180628102427_GUID" w:val="d914e8b1-5987-40b5-ab9b-c8bea136f0c2"/>
    <w:docVar w:name="WAFER_20190618150614" w:val="RemoveTocBookmarks,RemoveUnusedBookmarks,RemoveLanguageTags,ResetPageSize,RunningHeaders,UpdateStyles,UsedStyles"/>
    <w:docVar w:name="WAFER_20190618150614_GUID" w:val="c9646b5a-74c5-4784-9388-cbbd280aacd3"/>
    <w:docVar w:name="WAFER_202006081148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4841_GUID" w:val="51ed45c2-fe48-4d51-878e-2dac1ed50327"/>
    <w:docVar w:name="WAFER_20200617081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1736_GUID" w:val="05d1947f-3f8a-4edc-9d9b-6214be96c3e1"/>
    <w:docVar w:name="WAFER_202106161131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3127_GUID" w:val="05cb4cd0-b8a3-4103-9fe0-8540effa3632"/>
    <w:docVar w:name="WAFER_202106231611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61144_GUID" w:val="c6b94375-a83c-451b-be8c-744ae97dac33"/>
    <w:docVar w:name="WAFER_202108251031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3142_GUID" w:val="c42a9ad1-c32b-4fee-a346-9a5d31c7ede1"/>
    <w:docVar w:name="WAFER_202205311453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354_GUID" w:val="51b7503c-5f8f-4c33-80cb-9549b53392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8084</Words>
  <Characters>38080</Characters>
  <Application>Microsoft Office Word</Application>
  <DocSecurity>0</DocSecurity>
  <Lines>1523</Lines>
  <Paragraphs>905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2004 - 05-k0-00</dc:title>
  <dc:subject/>
  <dc:creator/>
  <cp:keywords/>
  <dc:description/>
  <cp:lastModifiedBy>Master Repository Process</cp:lastModifiedBy>
  <cp:revision>4</cp:revision>
  <cp:lastPrinted>2019-06-20T02:42:00Z</cp:lastPrinted>
  <dcterms:created xsi:type="dcterms:W3CDTF">2022-06-03T03:31:00Z</dcterms:created>
  <dcterms:modified xsi:type="dcterms:W3CDTF">2022-06-03T03:31:00Z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OwlsUID">
    <vt:i4>34034</vt:i4>
  </property>
  <property fmtid="{D5CDD505-2E9C-101B-9397-08002B2CF9AE}" pid="4" name="DocumentType">
    <vt:lpwstr>Reg</vt:lpwstr>
  </property>
  <property fmtid="{D5CDD505-2E9C-101B-9397-08002B2CF9AE}" pid="5" name="ReprintedAsAt">
    <vt:filetime>2018-01-18T16:00:00Z</vt:filetime>
  </property>
  <property fmtid="{D5CDD505-2E9C-101B-9397-08002B2CF9AE}" pid="6" name="ReprintNo">
    <vt:lpwstr>5</vt:lpwstr>
  </property>
  <property fmtid="{D5CDD505-2E9C-101B-9397-08002B2CF9AE}" pid="7" name="AsAtDate">
    <vt:lpwstr>03 Jun 2022</vt:lpwstr>
  </property>
  <property fmtid="{D5CDD505-2E9C-101B-9397-08002B2CF9AE}" pid="8" name="Suffix">
    <vt:lpwstr>05-k0-00</vt:lpwstr>
  </property>
  <property fmtid="{D5CDD505-2E9C-101B-9397-08002B2CF9AE}" pid="9" name="CommencementDate">
    <vt:lpwstr>20220603</vt:lpwstr>
  </property>
</Properties>
</file>