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_Toc104976625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_Toc104976626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_Toc104976627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_Toc104976628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_Toc104976629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_Toc104976630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_Toc104976631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_Toc104976632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_Toc104976634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_Toc104976635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3" w:name="_Toc104976625"/>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10497662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04976627"/>
      <w:r>
        <w:rPr>
          <w:rStyle w:val="CharSectno"/>
        </w:rPr>
        <w:t>3</w:t>
      </w:r>
      <w:r>
        <w:t>.</w:t>
      </w:r>
      <w:r>
        <w:tab/>
        <w:t>Term used: Bayulu Aboriginal Community</w:t>
      </w:r>
      <w:bookmarkEnd w:id="6"/>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Ednotesection"/>
      </w:pPr>
      <w:r>
        <w:t>[</w:t>
      </w:r>
      <w:r>
        <w:rPr>
          <w:b/>
        </w:rPr>
        <w:t>4.</w:t>
      </w:r>
      <w:r>
        <w:tab/>
        <w:t>Deleted: SL 2022/63 r. 4.]</w:t>
      </w:r>
    </w:p>
    <w:p>
      <w:pPr>
        <w:pStyle w:val="Heading5"/>
      </w:pPr>
      <w:bookmarkStart w:id="7" w:name="_Toc104976628"/>
      <w:r>
        <w:rPr>
          <w:rStyle w:val="CharSectno"/>
        </w:rPr>
        <w:lastRenderedPageBreak/>
        <w:t>5</w:t>
      </w:r>
      <w:r>
        <w:t>.</w:t>
      </w:r>
      <w:r>
        <w:tab/>
        <w:t>Declaration of restricted area</w:t>
      </w:r>
      <w:bookmarkEnd w:id="7"/>
    </w:p>
    <w:p>
      <w:pPr>
        <w:pStyle w:val="Subsection"/>
      </w:pPr>
      <w:r>
        <w:tab/>
      </w:r>
      <w:r>
        <w:tab/>
        <w:t>The Bayulu Aboriginal Community is declared to be a restricted area for the purposes of section 175(1a) of the Act.</w:t>
      </w:r>
    </w:p>
    <w:p>
      <w:pPr>
        <w:pStyle w:val="Heading5"/>
      </w:pPr>
      <w:bookmarkStart w:id="8" w:name="_Toc104976629"/>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04976630"/>
      <w:r>
        <w:rPr>
          <w:rStyle w:val="CharSectno"/>
        </w:rPr>
        <w:t>7</w:t>
      </w:r>
      <w:r>
        <w:t>.</w:t>
      </w:r>
      <w:r>
        <w:tab/>
        <w:t>Prohibitions as to liquor in the Bayulu Aboriginal Community</w:t>
      </w:r>
      <w:bookmarkEnd w:id="9"/>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04976631"/>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04976632"/>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28 June 2023.</w:t>
      </w:r>
    </w:p>
    <w:p>
      <w:pPr>
        <w:pStyle w:val="Footnotesection"/>
      </w:pPr>
      <w:r>
        <w:tab/>
        <w:t>[Regulation 9 amended: Gazette 29 Nov 2013 p.</w:t>
      </w:r>
      <w:r>
        <w:rPr>
          <w:sz w:val="19"/>
        </w:rPr>
        <w:t> </w:t>
      </w:r>
      <w:r>
        <w:t>5466; 27 May 2016 p. 1549; 28 Oct 2016 p. 4917; 11 Jun 2019 p. 1862; 29 Nov 2019 p. 4108; SL 2022/63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104969829"/>
      <w:bookmarkStart w:id="13" w:name="_Toc104976633"/>
      <w:bookmarkStart w:id="14" w:name="_Toc104969185"/>
      <w:r>
        <w:lastRenderedPageBreak/>
        <w:t>Notes</w:t>
      </w:r>
      <w:bookmarkEnd w:id="12"/>
      <w:bookmarkEnd w:id="13"/>
    </w:p>
    <w:p>
      <w:pPr>
        <w:pStyle w:val="nStatement"/>
      </w:pPr>
      <w:r>
        <w:t xml:space="preserve">This is a compilation of the </w:t>
      </w:r>
      <w:r>
        <w:rPr>
          <w:i/>
          <w:noProof/>
        </w:rPr>
        <w:t>Liquor Control (Bayulu Restricted Area) Regulations 2013</w:t>
      </w:r>
      <w:r>
        <w:t xml:space="preserve"> and includes amendments made by other written laws. For provisions that have come into operation see the compilation table.</w:t>
      </w:r>
    </w:p>
    <w:p>
      <w:pPr>
        <w:pStyle w:val="nHeading3"/>
      </w:pPr>
      <w:bookmarkStart w:id="15" w:name="_Toc104976634"/>
      <w:r>
        <w:t>Compilation table</w:t>
      </w:r>
      <w:bookmarkEnd w:id="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rPr>
              <w:t>Liquor Control (Bayulu Restricted Area) Regulations 2013</w:t>
            </w:r>
            <w:r>
              <w:rPr>
                <w:vertAlign w:val="superscript"/>
              </w:rPr>
              <w:t> 1</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9"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9"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9"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9" w:type="dxa"/>
            <w:tcBorders>
              <w:top w:val="nil"/>
              <w:bottom w:val="nil"/>
            </w:tcBorders>
          </w:tcPr>
          <w:p>
            <w:pPr>
              <w:pStyle w:val="nTable"/>
              <w:spacing w:after="40"/>
              <w:rPr>
                <w:i/>
              </w:rPr>
            </w:pPr>
            <w:r>
              <w:rPr>
                <w:i/>
              </w:rPr>
              <w:t>Liquor Control (Bayulu Restricted Area) Amendment Regulations 2019</w:t>
            </w:r>
          </w:p>
        </w:tc>
        <w:tc>
          <w:tcPr>
            <w:tcW w:w="1276" w:type="dxa"/>
            <w:tcBorders>
              <w:top w:val="nil"/>
              <w:bottom w:val="nil"/>
            </w:tcBorders>
          </w:tcPr>
          <w:p>
            <w:pPr>
              <w:pStyle w:val="nTable"/>
              <w:spacing w:after="40"/>
            </w:pPr>
            <w:r>
              <w:t>11 Jun 2019 p. 1862</w:t>
            </w:r>
          </w:p>
        </w:tc>
        <w:tc>
          <w:tcPr>
            <w:tcW w:w="2693" w:type="dxa"/>
            <w:tcBorders>
              <w:top w:val="nil"/>
              <w:bottom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r>
        <w:tc>
          <w:tcPr>
            <w:tcW w:w="3119" w:type="dxa"/>
            <w:tcBorders>
              <w:top w:val="nil"/>
              <w:bottom w:val="nil"/>
            </w:tcBorders>
          </w:tcPr>
          <w:p>
            <w:pPr>
              <w:pStyle w:val="nTable"/>
              <w:spacing w:after="40"/>
              <w:rPr>
                <w:i/>
              </w:rPr>
            </w:pPr>
            <w:r>
              <w:rPr>
                <w:i/>
              </w:rPr>
              <w:t>Liquor Control (Bayulu Restricted Area) Amendment Regulations (No. 2) 2019</w:t>
            </w:r>
          </w:p>
        </w:tc>
        <w:tc>
          <w:tcPr>
            <w:tcW w:w="1276" w:type="dxa"/>
            <w:tcBorders>
              <w:top w:val="nil"/>
              <w:bottom w:val="nil"/>
            </w:tcBorders>
          </w:tcPr>
          <w:p>
            <w:pPr>
              <w:pStyle w:val="nTable"/>
              <w:spacing w:after="40"/>
            </w:pPr>
            <w:r>
              <w:t>29 Nov 2019 p. 4107-8</w:t>
            </w:r>
          </w:p>
        </w:tc>
        <w:tc>
          <w:tcPr>
            <w:tcW w:w="2693" w:type="dxa"/>
            <w:tcBorders>
              <w:top w:val="nil"/>
              <w:bottom w:val="nil"/>
            </w:tcBorders>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c>
          <w:tcPr>
            <w:tcW w:w="3119" w:type="dxa"/>
            <w:tcBorders>
              <w:top w:val="nil"/>
            </w:tcBorders>
          </w:tcPr>
          <w:p>
            <w:pPr>
              <w:pStyle w:val="nTable"/>
              <w:spacing w:after="40"/>
            </w:pPr>
            <w:r>
              <w:rPr>
                <w:i/>
              </w:rPr>
              <w:t>Racing and Gaming Regulations Amendment (Liquor Control) Regulations (No. 2) 2022</w:t>
            </w:r>
            <w:r>
              <w:t xml:space="preserve"> Pt. 2</w:t>
            </w:r>
          </w:p>
        </w:tc>
        <w:tc>
          <w:tcPr>
            <w:tcW w:w="1276" w:type="dxa"/>
            <w:tcBorders>
              <w:top w:val="nil"/>
            </w:tcBorders>
          </w:tcPr>
          <w:p>
            <w:pPr>
              <w:pStyle w:val="nTable"/>
              <w:spacing w:after="40"/>
            </w:pPr>
            <w:r>
              <w:t>SL 2022/63 3 Jun 2022</w:t>
            </w:r>
          </w:p>
        </w:tc>
        <w:tc>
          <w:tcPr>
            <w:tcW w:w="2693" w:type="dxa"/>
            <w:tcBorders>
              <w:top w:val="nil"/>
            </w:tcBorders>
          </w:tcPr>
          <w:p>
            <w:pPr>
              <w:pStyle w:val="nTable"/>
              <w:spacing w:after="40"/>
              <w:rPr>
                <w:bCs/>
                <w:snapToGrid w:val="0"/>
                <w:spacing w:val="-2"/>
              </w:rPr>
            </w:pPr>
            <w:r>
              <w:rPr>
                <w:bCs/>
                <w:snapToGrid w:val="0"/>
                <w:spacing w:val="-2"/>
              </w:rPr>
              <w:t>4 Jun 2022 (see r. 2(b))</w:t>
            </w:r>
          </w:p>
        </w:tc>
      </w:tr>
    </w:tbl>
    <w:p>
      <w:pPr>
        <w:pStyle w:val="nHeading3"/>
      </w:pPr>
      <w:bookmarkStart w:id="16" w:name="_Toc104976635"/>
      <w:r>
        <w:t>Other notes</w:t>
      </w:r>
      <w:bookmarkEnd w:id="16"/>
    </w:p>
    <w:p>
      <w:pPr>
        <w:pStyle w:val="nNote"/>
      </w:pPr>
      <w:r>
        <w:rPr>
          <w:vertAlign w:val="superscript"/>
        </w:rPr>
        <w:t>1</w:t>
      </w:r>
      <w:r>
        <w:tab/>
        <w:t>These regulations expire at the close of 28 June 2023 (see r. 9).</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8" w:name="_Toc104969832"/>
      <w:bookmarkStart w:id="19" w:name="_Toc104976636"/>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Bayulu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4300"/>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 w:name="WAFER_20191128101108" w:val="RemoveTocBookmarks,RemoveUnusedBookmarks,RemoveLanguageTags,ResetPageSize,RunningHeaders,UpdateStyles,UsedStyles"/>
    <w:docVar w:name="WAFER_20191128101108_GUID" w:val="aaeb1461-f139-4823-8444-17048d6f7d38"/>
    <w:docVar w:name="WAFER_20220601094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00_GUID" w:val="f3eca653-1337-4f68-a661-27fbef74eb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4851</Characters>
  <Application>Microsoft Office Word</Application>
  <DocSecurity>0</DocSecurity>
  <Lines>194</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2013 - 00-g0-00</dc:title>
  <dc:subject/>
  <dc:creator/>
  <cp:keywords/>
  <dc:description/>
  <cp:lastModifiedBy>Master Repository Process</cp:lastModifiedBy>
  <cp:revision>4</cp:revision>
  <cp:lastPrinted>2013-06-10T02:19:00Z</cp:lastPrinted>
  <dcterms:created xsi:type="dcterms:W3CDTF">2022-06-03T03:58:00Z</dcterms:created>
  <dcterms:modified xsi:type="dcterms:W3CDTF">2022-06-03T03:58:00Z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AsAtDate">
    <vt:lpwstr>04 Jun 2022</vt:lpwstr>
  </property>
  <property fmtid="{D5CDD505-2E9C-101B-9397-08002B2CF9AE}" pid="5" name="Suffix">
    <vt:lpwstr>00-g0-00</vt:lpwstr>
  </property>
  <property fmtid="{D5CDD505-2E9C-101B-9397-08002B2CF9AE}" pid="6" name="CommencementDate">
    <vt:lpwstr>20220604</vt:lpwstr>
  </property>
</Properties>
</file>