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(Court of Appeal)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(Court of Appeal)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_Toc105658654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_Toc105658655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_Toc105658656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_Toc105658657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the </w:t>
      </w:r>
      <w:r>
        <w:rPr>
          <w:i/>
        </w:rPr>
        <w:t>Rules of the Supreme Court 1971</w:t>
      </w:r>
      <w:r>
        <w:tab/>
      </w:r>
      <w:r>
        <w:fldChar w:fldCharType="begin"/>
      </w:r>
      <w:r>
        <w:instrText xml:space="preserve"> PAGEREF _Toc105658658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5A.</w:t>
      </w:r>
      <w:r>
        <w:tab/>
        <w:t>Delegated jurisdiction may be exercised by Court of Appeal</w:t>
      </w:r>
      <w:r>
        <w:tab/>
      </w:r>
      <w:r>
        <w:fldChar w:fldCharType="begin"/>
      </w:r>
      <w:r>
        <w:instrText xml:space="preserve"> PAGEREF _Toc105658661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Single judge’s jurisdiction</w:t>
      </w:r>
    </w:p>
    <w:p>
      <w:pPr>
        <w:pStyle w:val="TOC8"/>
        <w:rPr>
          <w:rFonts w:asciiTheme="minorHAnsi" w:eastAsiaTheme="minorEastAsia" w:hAnsiTheme="minorHAnsi" w:cstheme="minorBidi"/>
          <w:szCs w:val="22"/>
        </w:rPr>
      </w:pPr>
      <w:r>
        <w:t>7.</w:t>
      </w:r>
      <w:r>
        <w:tab/>
        <w:t>General jurisdiction</w:t>
      </w:r>
      <w:r>
        <w:tab/>
      </w:r>
      <w:r>
        <w:fldChar w:fldCharType="begin"/>
      </w:r>
      <w:r>
        <w:instrText xml:space="preserve"> PAGEREF _Toc105658663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Reviewing decisions by a single judge</w:t>
      </w:r>
    </w:p>
    <w:p>
      <w:pPr>
        <w:pStyle w:val="TOC8"/>
        <w:rPr>
          <w:rFonts w:asciiTheme="minorHAnsi" w:eastAsiaTheme="minorEastAsia" w:hAnsiTheme="minorHAnsi" w:cstheme="minorBidi"/>
          <w:szCs w:val="22"/>
        </w:rPr>
      </w:pPr>
      <w:r>
        <w:t>8.</w:t>
      </w:r>
      <w:r>
        <w:tab/>
        <w:t>Application for review by Court of Appeal</w:t>
      </w:r>
      <w:r>
        <w:tab/>
      </w:r>
      <w:r>
        <w:fldChar w:fldCharType="begin"/>
      </w:r>
      <w:r>
        <w:instrText xml:space="preserve"> PAGEREF _Toc105658665 \h </w:instrText>
      </w:r>
      <w:r>
        <w:fldChar w:fldCharType="separate"/>
      </w:r>
      <w:r>
        <w:t>7</w:t>
      </w:r>
      <w:r>
        <w:fldChar w:fldCharType="end"/>
      </w:r>
    </w:p>
    <w:p>
      <w:pPr>
        <w:pStyle w:val="TOC8"/>
        <w:rPr>
          <w:rFonts w:asciiTheme="minorHAnsi" w:eastAsiaTheme="minorEastAsia" w:hAnsiTheme="minorHAnsi" w:cstheme="minorBidi"/>
          <w:szCs w:val="22"/>
        </w:rPr>
      </w:pPr>
      <w:r>
        <w:t>9.</w:t>
      </w:r>
      <w:r>
        <w:tab/>
        <w:t>Dealing with the application</w:t>
      </w:r>
      <w:r>
        <w:tab/>
      </w:r>
      <w:r>
        <w:fldChar w:fldCharType="begin"/>
      </w:r>
      <w:r>
        <w:instrText xml:space="preserve"> PAGEREF _Toc105658666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Registrar’s jurisdiction</w:t>
      </w:r>
    </w:p>
    <w:p>
      <w:pPr>
        <w:pStyle w:val="TOC8"/>
        <w:rPr>
          <w:rFonts w:asciiTheme="minorHAnsi" w:eastAsiaTheme="minorEastAsia" w:hAnsiTheme="minorHAnsi" w:cstheme="minorBidi"/>
          <w:szCs w:val="22"/>
        </w:rPr>
      </w:pPr>
      <w:r>
        <w:t>10.</w:t>
      </w:r>
      <w:r>
        <w:tab/>
        <w:t>General jurisdiction</w:t>
      </w:r>
      <w:r>
        <w:tab/>
      </w:r>
      <w:r>
        <w:fldChar w:fldCharType="begin"/>
      </w:r>
      <w:r>
        <w:instrText xml:space="preserve"> PAGEREF _Toc105658668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 may refer questions to single judge or Court of Appeal</w:t>
      </w:r>
      <w:r>
        <w:tab/>
      </w:r>
      <w:r>
        <w:fldChar w:fldCharType="begin"/>
      </w:r>
      <w:r>
        <w:instrText xml:space="preserve"> PAGEREF _Toc105658669 \h </w:instrText>
      </w:r>
      <w:r>
        <w:fldChar w:fldCharType="separate"/>
      </w:r>
      <w:r>
        <w:t>9</w:t>
      </w:r>
      <w:r>
        <w:fldChar w:fldCharType="end"/>
      </w:r>
    </w:p>
    <w:p>
      <w:pPr>
        <w:pStyle w:val="TOC8"/>
        <w:rPr>
          <w:rFonts w:asciiTheme="minorHAnsi" w:eastAsiaTheme="minorEastAsia" w:hAnsiTheme="minorHAnsi" w:cstheme="minorBidi"/>
          <w:szCs w:val="22"/>
        </w:rPr>
      </w:pPr>
      <w:r>
        <w:t>12.</w:t>
      </w:r>
      <w:r>
        <w:tab/>
        <w:t>Hearing before single judge or registrar, parties to be notified</w:t>
      </w:r>
      <w:r>
        <w:tab/>
      </w:r>
      <w:r>
        <w:fldChar w:fldCharType="begin"/>
      </w:r>
      <w:r>
        <w:instrText xml:space="preserve"> PAGEREF _Toc105658670 \h </w:instrText>
      </w:r>
      <w:r>
        <w:fldChar w:fldCharType="separate"/>
      </w:r>
      <w:r>
        <w:t>10</w:t>
      </w:r>
      <w:r>
        <w:fldChar w:fldCharType="end"/>
      </w:r>
    </w:p>
    <w:p>
      <w:pPr>
        <w:pStyle w:val="TOC8"/>
        <w:rPr>
          <w:rFonts w:asciiTheme="minorHAnsi" w:eastAsiaTheme="minorEastAsia" w:hAnsiTheme="minorHAnsi" w:cstheme="minorBidi"/>
          <w:szCs w:val="22"/>
        </w:rPr>
      </w:pPr>
      <w:r>
        <w:t>13.</w:t>
      </w:r>
      <w:r>
        <w:tab/>
        <w:t>Written order by registrar, issue and service of</w:t>
      </w:r>
      <w:r>
        <w:tab/>
      </w:r>
      <w:r>
        <w:fldChar w:fldCharType="begin"/>
      </w:r>
      <w:r>
        <w:instrText xml:space="preserve"> PAGEREF _Toc105658671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Reviewing decisions by a registrar</w:t>
      </w:r>
    </w:p>
    <w:p>
      <w:pPr>
        <w:pStyle w:val="TOC8"/>
        <w:rPr>
          <w:rFonts w:asciiTheme="minorHAnsi" w:eastAsiaTheme="minorEastAsia" w:hAnsiTheme="minorHAnsi" w:cstheme="minorBidi"/>
          <w:szCs w:val="22"/>
        </w:rPr>
      </w:pPr>
      <w:r>
        <w:t>15.</w:t>
      </w:r>
      <w:r>
        <w:tab/>
        <w:t>Application for review by single judge</w:t>
      </w:r>
      <w:r>
        <w:tab/>
      </w:r>
      <w:r>
        <w:fldChar w:fldCharType="begin"/>
      </w:r>
      <w:r>
        <w:instrText xml:space="preserve"> PAGEREF _Toc105658673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Dealing with the application</w:t>
      </w:r>
      <w:r>
        <w:tab/>
      </w:r>
      <w:r>
        <w:fldChar w:fldCharType="begin"/>
      </w:r>
      <w:r>
        <w:instrText xml:space="preserve"> PAGEREF _Toc105658674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17.</w:t>
      </w:r>
      <w:r>
        <w:tab/>
        <w:t>Consequences of non</w:t>
      </w:r>
      <w:r>
        <w:noBreakHyphen/>
        <w:t>attendance by party</w:t>
      </w:r>
      <w:r>
        <w:tab/>
      </w:r>
      <w:r>
        <w:fldChar w:fldCharType="begin"/>
      </w:r>
      <w:r>
        <w:instrText xml:space="preserve"> PAGEREF _Toc105658676 \h </w:instrText>
      </w:r>
      <w:r>
        <w:fldChar w:fldCharType="separate"/>
      </w:r>
      <w:r>
        <w:t>12</w:t>
      </w:r>
      <w:r>
        <w:fldChar w:fldCharType="end"/>
      </w:r>
    </w:p>
    <w:p>
      <w:pPr>
        <w:pStyle w:val="TOC8"/>
        <w:rPr>
          <w:rFonts w:asciiTheme="minorHAnsi" w:eastAsiaTheme="minorEastAsia" w:hAnsiTheme="minorHAnsi" w:cstheme="minorBidi"/>
          <w:szCs w:val="22"/>
        </w:rPr>
      </w:pPr>
      <w:r>
        <w:t>18.</w:t>
      </w:r>
      <w:r>
        <w:tab/>
        <w:t>Decisions made in absence of party</w:t>
      </w:r>
      <w:r>
        <w:tab/>
      </w:r>
      <w:r>
        <w:fldChar w:fldCharType="begin"/>
      </w:r>
      <w:r>
        <w:instrText xml:space="preserve"> PAGEREF _Toc105658677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made on the papers</w:t>
      </w:r>
      <w:r>
        <w:tab/>
      </w:r>
      <w:r>
        <w:fldChar w:fldCharType="begin"/>
      </w:r>
      <w:r>
        <w:instrText xml:space="preserve"> PAGEREF _Toc105658678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8"/>
        <w:rPr>
          <w:rFonts w:asciiTheme="minorHAnsi" w:eastAsiaTheme="minorEastAsia" w:hAnsiTheme="minorHAnsi" w:cstheme="minorBidi"/>
          <w:szCs w:val="22"/>
        </w:rPr>
      </w:pPr>
      <w:r>
        <w:t>20.</w:t>
      </w:r>
      <w:r>
        <w:tab/>
        <w:t>Completion of forms</w:t>
      </w:r>
      <w:r>
        <w:tab/>
      </w:r>
      <w:r>
        <w:fldChar w:fldCharType="begin"/>
      </w:r>
      <w:r>
        <w:instrText xml:space="preserve"> PAGEREF _Toc105658680 \h </w:instrText>
      </w:r>
      <w:r>
        <w:fldChar w:fldCharType="separate"/>
      </w:r>
      <w:r>
        <w:t>15</w:t>
      </w:r>
      <w:r>
        <w:fldChar w:fldCharType="end"/>
      </w:r>
    </w:p>
    <w:p>
      <w:pPr>
        <w:pStyle w:val="TOC8"/>
        <w:rPr>
          <w:rFonts w:asciiTheme="minorHAnsi" w:eastAsiaTheme="minorEastAsia" w:hAnsiTheme="minorHAnsi" w:cstheme="minorBidi"/>
          <w:szCs w:val="22"/>
        </w:rPr>
      </w:pPr>
      <w:r>
        <w:t>21.</w:t>
      </w:r>
      <w:r>
        <w:tab/>
        <w:t>Filed documents, technical requirements</w:t>
      </w:r>
      <w:r>
        <w:tab/>
      </w:r>
      <w:r>
        <w:fldChar w:fldCharType="begin"/>
      </w:r>
      <w:r>
        <w:instrText xml:space="preserve"> PAGEREF _Toc105658681 \h </w:instrText>
      </w:r>
      <w:r>
        <w:fldChar w:fldCharType="separate"/>
      </w:r>
      <w:r>
        <w:t>16</w:t>
      </w:r>
      <w:r>
        <w:fldChar w:fldCharType="end"/>
      </w:r>
    </w:p>
    <w:p>
      <w:pPr>
        <w:pStyle w:val="TOC8"/>
        <w:rPr>
          <w:rFonts w:asciiTheme="minorHAnsi" w:eastAsiaTheme="minorEastAsia" w:hAnsiTheme="minorHAnsi" w:cstheme="minorBidi"/>
          <w:szCs w:val="22"/>
        </w:rPr>
      </w:pPr>
      <w:r>
        <w:t>22.</w:t>
      </w:r>
      <w:r>
        <w:tab/>
        <w:t>Filed documents to be served</w:t>
      </w:r>
      <w:r>
        <w:tab/>
      </w:r>
      <w:r>
        <w:fldChar w:fldCharType="begin"/>
      </w:r>
      <w:r>
        <w:instrText xml:space="preserve"> PAGEREF _Toc105658682 \h </w:instrText>
      </w:r>
      <w:r>
        <w:fldChar w:fldCharType="separate"/>
      </w:r>
      <w:r>
        <w:t>17</w:t>
      </w:r>
      <w:r>
        <w:fldChar w:fldCharType="end"/>
      </w:r>
    </w:p>
    <w:p>
      <w:pPr>
        <w:pStyle w:val="TOC8"/>
        <w:rPr>
          <w:rFonts w:asciiTheme="minorHAnsi" w:eastAsiaTheme="minorEastAsia" w:hAnsiTheme="minorHAnsi" w:cstheme="minorBidi"/>
          <w:szCs w:val="22"/>
        </w:rPr>
      </w:pPr>
      <w:r>
        <w:t>22A.</w:t>
      </w:r>
      <w:r>
        <w:tab/>
        <w:t>Service of documents</w:t>
      </w:r>
      <w:r>
        <w:tab/>
      </w:r>
      <w:r>
        <w:fldChar w:fldCharType="begin"/>
      </w:r>
      <w:r>
        <w:instrText xml:space="preserve"> PAGEREF _Toc105658683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Duties of lawyers who act for parties</w:t>
      </w:r>
    </w:p>
    <w:p>
      <w:pPr>
        <w:pStyle w:val="TOC8"/>
        <w:rPr>
          <w:rFonts w:asciiTheme="minorHAnsi" w:eastAsiaTheme="minorEastAsia" w:hAnsiTheme="minorHAnsi" w:cstheme="minorBidi"/>
          <w:szCs w:val="22"/>
        </w:rPr>
      </w:pPr>
      <w:r>
        <w:t>23.</w:t>
      </w:r>
      <w:r>
        <w:tab/>
        <w:t>Duty to notify when acting for a party</w:t>
      </w:r>
      <w:r>
        <w:tab/>
      </w:r>
      <w:r>
        <w:fldChar w:fldCharType="begin"/>
      </w:r>
      <w:r>
        <w:instrText xml:space="preserve"> PAGEREF _Toc105658685 \h </w:instrText>
      </w:r>
      <w:r>
        <w:fldChar w:fldCharType="separate"/>
      </w:r>
      <w:r>
        <w:t>19</w:t>
      </w:r>
      <w:r>
        <w:fldChar w:fldCharType="end"/>
      </w:r>
    </w:p>
    <w:p>
      <w:pPr>
        <w:pStyle w:val="TOC8"/>
        <w:rPr>
          <w:rFonts w:asciiTheme="minorHAnsi" w:eastAsiaTheme="minorEastAsia" w:hAnsiTheme="minorHAnsi" w:cstheme="minorBidi"/>
          <w:szCs w:val="22"/>
        </w:rPr>
      </w:pPr>
      <w:r>
        <w:t>24.</w:t>
      </w:r>
      <w:r>
        <w:tab/>
        <w:t>Presumptions as to who is acting for a party</w:t>
      </w:r>
      <w:r>
        <w:tab/>
      </w:r>
      <w:r>
        <w:fldChar w:fldCharType="begin"/>
      </w:r>
      <w:r>
        <w:instrText xml:space="preserve"> PAGEREF _Toc105658686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 for appeals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25.</w:t>
      </w:r>
      <w:r>
        <w:tab/>
        <w:t>Nature of appeals</w:t>
      </w:r>
      <w:r>
        <w:tab/>
      </w:r>
      <w:r>
        <w:fldChar w:fldCharType="begin"/>
      </w:r>
      <w:r>
        <w:instrText xml:space="preserve"> PAGEREF _Toc105658689 \h </w:instrText>
      </w:r>
      <w:r>
        <w:fldChar w:fldCharType="separate"/>
      </w:r>
      <w:r>
        <w:t>21</w:t>
      </w:r>
      <w:r>
        <w:fldChar w:fldCharType="end"/>
      </w:r>
    </w:p>
    <w:p>
      <w:pPr>
        <w:pStyle w:val="TOC8"/>
        <w:rPr>
          <w:rFonts w:asciiTheme="minorHAnsi" w:eastAsiaTheme="minorEastAsia" w:hAnsiTheme="minorHAnsi" w:cstheme="minorBidi"/>
          <w:szCs w:val="22"/>
        </w:rPr>
      </w:pPr>
      <w:r>
        <w:t>26.</w:t>
      </w:r>
      <w:r>
        <w:tab/>
        <w:t>Time for appealing</w:t>
      </w:r>
      <w:r>
        <w:tab/>
      </w:r>
      <w:r>
        <w:fldChar w:fldCharType="begin"/>
      </w:r>
      <w:r>
        <w:instrText xml:space="preserve"> PAGEREF _Toc105658690 \h </w:instrText>
      </w:r>
      <w:r>
        <w:fldChar w:fldCharType="separate"/>
      </w:r>
      <w:r>
        <w:t>21</w:t>
      </w:r>
      <w:r>
        <w:fldChar w:fldCharType="end"/>
      </w:r>
    </w:p>
    <w:p>
      <w:pPr>
        <w:pStyle w:val="TOC8"/>
        <w:rPr>
          <w:rFonts w:asciiTheme="minorHAnsi" w:eastAsiaTheme="minorEastAsia" w:hAnsiTheme="minorHAnsi" w:cstheme="minorBidi"/>
          <w:szCs w:val="22"/>
        </w:rPr>
      </w:pPr>
      <w:r>
        <w:t>26A.</w:t>
      </w:r>
      <w:r>
        <w:tab/>
        <w:t>Parties to appeals</w:t>
      </w:r>
      <w:r>
        <w:tab/>
      </w:r>
      <w:r>
        <w:fldChar w:fldCharType="begin"/>
      </w:r>
      <w:r>
        <w:instrText xml:space="preserve"> PAGEREF _Toc105658691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Commencing an appeal</w:t>
      </w:r>
    </w:p>
    <w:p>
      <w:pPr>
        <w:pStyle w:val="TOC8"/>
        <w:rPr>
          <w:rFonts w:asciiTheme="minorHAnsi" w:eastAsiaTheme="minorEastAsia" w:hAnsiTheme="minorHAnsi" w:cstheme="minorBidi"/>
          <w:szCs w:val="22"/>
        </w:rPr>
      </w:pPr>
      <w:r>
        <w:t>27.</w:t>
      </w:r>
      <w:r>
        <w:tab/>
        <w:t>When an appeal is taken to be commenced</w:t>
      </w:r>
      <w:r>
        <w:tab/>
      </w:r>
      <w:r>
        <w:fldChar w:fldCharType="begin"/>
      </w:r>
      <w:r>
        <w:instrText xml:space="preserve"> PAGEREF _Toc105658693 \h </w:instrText>
      </w:r>
      <w:r>
        <w:fldChar w:fldCharType="separate"/>
      </w:r>
      <w:r>
        <w:t>21</w:t>
      </w:r>
      <w:r>
        <w:fldChar w:fldCharType="end"/>
      </w:r>
    </w:p>
    <w:p>
      <w:pPr>
        <w:pStyle w:val="TOC8"/>
        <w:rPr>
          <w:rFonts w:asciiTheme="minorHAnsi" w:eastAsiaTheme="minorEastAsia" w:hAnsiTheme="minorHAnsi" w:cstheme="minorBidi"/>
          <w:szCs w:val="22"/>
        </w:rPr>
      </w:pPr>
      <w:r>
        <w:t>28.</w:t>
      </w:r>
      <w:r>
        <w:tab/>
        <w:t>How to commence criminal appeal</w:t>
      </w:r>
      <w:r>
        <w:tab/>
      </w:r>
      <w:r>
        <w:fldChar w:fldCharType="begin"/>
      </w:r>
      <w:r>
        <w:instrText xml:space="preserve"> PAGEREF _Toc105658694 \h </w:instrText>
      </w:r>
      <w:r>
        <w:fldChar w:fldCharType="separate"/>
      </w:r>
      <w:r>
        <w:t>22</w:t>
      </w:r>
      <w:r>
        <w:fldChar w:fldCharType="end"/>
      </w:r>
    </w:p>
    <w:p>
      <w:pPr>
        <w:pStyle w:val="TOC8"/>
        <w:rPr>
          <w:rFonts w:asciiTheme="minorHAnsi" w:eastAsiaTheme="minorEastAsia" w:hAnsiTheme="minorHAnsi" w:cstheme="minorBidi"/>
          <w:szCs w:val="22"/>
        </w:rPr>
      </w:pPr>
      <w:r>
        <w:t>29.</w:t>
      </w:r>
      <w:r>
        <w:tab/>
        <w:t>Civil appeal, how to commence</w:t>
      </w:r>
      <w:r>
        <w:tab/>
      </w:r>
      <w:r>
        <w:fldChar w:fldCharType="begin"/>
      </w:r>
      <w:r>
        <w:instrText xml:space="preserve"> PAGEREF _Toc105658695 \h </w:instrText>
      </w:r>
      <w:r>
        <w:fldChar w:fldCharType="separate"/>
      </w:r>
      <w:r>
        <w:t>23</w:t>
      </w:r>
      <w:r>
        <w:fldChar w:fldCharType="end"/>
      </w:r>
    </w:p>
    <w:p>
      <w:pPr>
        <w:pStyle w:val="TOC8"/>
        <w:rPr>
          <w:rFonts w:asciiTheme="minorHAnsi" w:eastAsiaTheme="minorEastAsia" w:hAnsiTheme="minorHAnsi" w:cstheme="minorBidi"/>
          <w:szCs w:val="22"/>
        </w:rPr>
      </w:pPr>
      <w:r>
        <w:t>30.</w:t>
      </w:r>
      <w:r>
        <w:tab/>
        <w:t>Primary court to be notified and to supply records</w:t>
      </w:r>
      <w:r>
        <w:tab/>
      </w:r>
      <w:r>
        <w:fldChar w:fldCharType="begin"/>
      </w:r>
      <w:r>
        <w:instrText xml:space="preserve"> PAGEREF _Toc105658696 \h </w:instrText>
      </w:r>
      <w:r>
        <w:fldChar w:fldCharType="separate"/>
      </w:r>
      <w:r>
        <w:t>24</w:t>
      </w:r>
      <w:r>
        <w:fldChar w:fldCharType="end"/>
      </w:r>
    </w:p>
    <w:p>
      <w:pPr>
        <w:pStyle w:val="TOC8"/>
        <w:rPr>
          <w:rFonts w:asciiTheme="minorHAnsi" w:eastAsiaTheme="minorEastAsia" w:hAnsiTheme="minorHAnsi" w:cstheme="minorBidi"/>
          <w:szCs w:val="22"/>
        </w:rPr>
      </w:pPr>
      <w:r>
        <w:t>31.</w:t>
      </w:r>
      <w:r>
        <w:tab/>
        <w:t>Respondent’s options</w:t>
      </w:r>
      <w:r>
        <w:tab/>
      </w:r>
      <w:r>
        <w:fldChar w:fldCharType="begin"/>
      </w:r>
      <w:r>
        <w:instrText xml:space="preserve"> PAGEREF _Toc105658697 \h </w:instrText>
      </w:r>
      <w:r>
        <w:fldChar w:fldCharType="separate"/>
      </w:r>
      <w:r>
        <w:t>24</w:t>
      </w:r>
      <w:r>
        <w:fldChar w:fldCharType="end"/>
      </w:r>
    </w:p>
    <w:p>
      <w:pPr>
        <w:pStyle w:val="TOC8"/>
        <w:rPr>
          <w:rFonts w:asciiTheme="minorHAnsi" w:eastAsiaTheme="minorEastAsia" w:hAnsiTheme="minorHAnsi" w:cstheme="minorBidi"/>
          <w:szCs w:val="22"/>
        </w:rPr>
      </w:pPr>
      <w:r>
        <w:t>31A.</w:t>
      </w:r>
      <w:r>
        <w:tab/>
        <w:t>Cross appeals</w:t>
      </w:r>
      <w:r>
        <w:tab/>
      </w:r>
      <w:r>
        <w:fldChar w:fldCharType="begin"/>
      </w:r>
      <w:r>
        <w:instrText xml:space="preserve"> PAGEREF _Toc105658698 \h </w:instrText>
      </w:r>
      <w:r>
        <w:fldChar w:fldCharType="separate"/>
      </w:r>
      <w:r>
        <w:t>25</w:t>
      </w:r>
      <w:r>
        <w:fldChar w:fldCharType="end"/>
      </w:r>
    </w:p>
    <w:p>
      <w:pPr>
        <w:pStyle w:val="TOC8"/>
        <w:rPr>
          <w:rFonts w:asciiTheme="minorHAnsi" w:eastAsiaTheme="minorEastAsia" w:hAnsiTheme="minorHAnsi" w:cstheme="minorBidi"/>
          <w:szCs w:val="22"/>
        </w:rPr>
      </w:pPr>
      <w:r>
        <w:t>32.</w:t>
      </w:r>
      <w:r>
        <w:tab/>
        <w:t>“Appellant’s case” to be filed</w:t>
      </w:r>
      <w:r>
        <w:tab/>
      </w:r>
      <w:r>
        <w:fldChar w:fldCharType="begin"/>
      </w:r>
      <w:r>
        <w:instrText xml:space="preserve"> PAGEREF _Toc105658699 \h </w:instrText>
      </w:r>
      <w:r>
        <w:fldChar w:fldCharType="separate"/>
      </w:r>
      <w:r>
        <w:t>26</w:t>
      </w:r>
      <w:r>
        <w:fldChar w:fldCharType="end"/>
      </w:r>
    </w:p>
    <w:p>
      <w:pPr>
        <w:pStyle w:val="TOC8"/>
        <w:rPr>
          <w:rFonts w:asciiTheme="minorHAnsi" w:eastAsiaTheme="minorEastAsia" w:hAnsiTheme="minorHAnsi" w:cstheme="minorBidi"/>
          <w:szCs w:val="22"/>
        </w:rPr>
      </w:pPr>
      <w:r>
        <w:t>33.</w:t>
      </w:r>
      <w:r>
        <w:tab/>
        <w:t>“Respondent’s answer” to be filed</w:t>
      </w:r>
      <w:r>
        <w:tab/>
      </w:r>
      <w:r>
        <w:fldChar w:fldCharType="begin"/>
      </w:r>
      <w:r>
        <w:instrText xml:space="preserve"> PAGEREF _Toc105658700 \h </w:instrText>
      </w:r>
      <w:r>
        <w:fldChar w:fldCharType="separate"/>
      </w:r>
      <w:r>
        <w:t>30</w:t>
      </w:r>
      <w:r>
        <w:fldChar w:fldCharType="end"/>
      </w:r>
    </w:p>
    <w:p>
      <w:pPr>
        <w:pStyle w:val="TOC8"/>
        <w:rPr>
          <w:rFonts w:asciiTheme="minorHAnsi" w:eastAsiaTheme="minorEastAsia" w:hAnsiTheme="minorHAnsi" w:cstheme="minorBidi"/>
          <w:szCs w:val="22"/>
        </w:rPr>
      </w:pPr>
      <w:r>
        <w:t>34.</w:t>
      </w:r>
      <w:r>
        <w:tab/>
        <w:t>Appellant’s reply to notice of contention, when required</w:t>
      </w:r>
      <w:r>
        <w:tab/>
      </w:r>
      <w:r>
        <w:fldChar w:fldCharType="begin"/>
      </w:r>
      <w:r>
        <w:instrText xml:space="preserve"> PAGEREF _Toc105658701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Appeal books</w:t>
      </w:r>
    </w:p>
    <w:p>
      <w:pPr>
        <w:pStyle w:val="TOC8"/>
        <w:rPr>
          <w:rFonts w:asciiTheme="minorHAnsi" w:eastAsiaTheme="minorEastAsia" w:hAnsiTheme="minorHAnsi" w:cstheme="minorBidi"/>
          <w:szCs w:val="22"/>
        </w:rPr>
      </w:pPr>
      <w:r>
        <w:t>35.</w:t>
      </w:r>
      <w:r>
        <w:tab/>
        <w:t>Appeal book, when required</w:t>
      </w:r>
      <w:r>
        <w:tab/>
      </w:r>
      <w:r>
        <w:fldChar w:fldCharType="begin"/>
      </w:r>
      <w:r>
        <w:instrText xml:space="preserve"> PAGEREF _Toc105658703 \h </w:instrText>
      </w:r>
      <w:r>
        <w:fldChar w:fldCharType="separate"/>
      </w:r>
      <w:r>
        <w:t>33</w:t>
      </w:r>
      <w:r>
        <w:fldChar w:fldCharType="end"/>
      </w:r>
    </w:p>
    <w:p>
      <w:pPr>
        <w:pStyle w:val="TOC8"/>
        <w:rPr>
          <w:rFonts w:asciiTheme="minorHAnsi" w:eastAsiaTheme="minorEastAsia" w:hAnsiTheme="minorHAnsi" w:cstheme="minorBidi"/>
          <w:szCs w:val="22"/>
        </w:rPr>
      </w:pPr>
      <w:r>
        <w:t>36.</w:t>
      </w:r>
      <w:r>
        <w:tab/>
        <w:t>Settling of indexes</w:t>
      </w:r>
      <w:r>
        <w:tab/>
      </w:r>
      <w:r>
        <w:fldChar w:fldCharType="begin"/>
      </w:r>
      <w:r>
        <w:instrText xml:space="preserve"> PAGEREF _Toc105658704 \h </w:instrText>
      </w:r>
      <w:r>
        <w:fldChar w:fldCharType="separate"/>
      </w:r>
      <w:r>
        <w:t>34</w:t>
      </w:r>
      <w:r>
        <w:fldChar w:fldCharType="end"/>
      </w:r>
    </w:p>
    <w:p>
      <w:pPr>
        <w:pStyle w:val="TOC8"/>
        <w:rPr>
          <w:rFonts w:asciiTheme="minorHAnsi" w:eastAsiaTheme="minorEastAsia" w:hAnsiTheme="minorHAnsi" w:cstheme="minorBidi"/>
          <w:szCs w:val="22"/>
        </w:rPr>
      </w:pPr>
      <w:r>
        <w:t>37.</w:t>
      </w:r>
      <w:r>
        <w:tab/>
        <w:t>Appeal book, general provisions</w:t>
      </w:r>
      <w:r>
        <w:tab/>
      </w:r>
      <w:r>
        <w:fldChar w:fldCharType="begin"/>
      </w:r>
      <w:r>
        <w:instrText xml:space="preserve"> PAGEREF _Toc105658705 \h </w:instrText>
      </w:r>
      <w:r>
        <w:fldChar w:fldCharType="separate"/>
      </w:r>
      <w:r>
        <w:t>35</w:t>
      </w:r>
      <w:r>
        <w:fldChar w:fldCharType="end"/>
      </w:r>
    </w:p>
    <w:p>
      <w:pPr>
        <w:pStyle w:val="TOC8"/>
        <w:rPr>
          <w:rFonts w:asciiTheme="minorHAnsi" w:eastAsiaTheme="minorEastAsia" w:hAnsiTheme="minorHAnsi" w:cstheme="minorBidi"/>
          <w:szCs w:val="22"/>
        </w:rPr>
      </w:pPr>
      <w:r>
        <w:t>38.</w:t>
      </w:r>
      <w:r>
        <w:tab/>
        <w:t>Appeal book, contents of</w:t>
      </w:r>
      <w:r>
        <w:tab/>
      </w:r>
      <w:r>
        <w:fldChar w:fldCharType="begin"/>
      </w:r>
      <w:r>
        <w:instrText xml:space="preserve"> PAGEREF _Toc105658706 \h </w:instrText>
      </w:r>
      <w:r>
        <w:fldChar w:fldCharType="separate"/>
      </w:r>
      <w:r>
        <w:t>35</w:t>
      </w:r>
      <w:r>
        <w:fldChar w:fldCharType="end"/>
      </w:r>
    </w:p>
    <w:p>
      <w:pPr>
        <w:pStyle w:val="TOC8"/>
        <w:rPr>
          <w:rFonts w:asciiTheme="minorHAnsi" w:eastAsiaTheme="minorEastAsia" w:hAnsiTheme="minorHAnsi" w:cstheme="minorBidi"/>
          <w:szCs w:val="22"/>
        </w:rPr>
      </w:pPr>
      <w:r>
        <w:t>39.</w:t>
      </w:r>
      <w:r>
        <w:tab/>
        <w:t>Technical requirements for appeal books</w:t>
      </w:r>
      <w:r>
        <w:tab/>
      </w:r>
      <w:r>
        <w:fldChar w:fldCharType="begin"/>
      </w:r>
      <w:r>
        <w:instrText xml:space="preserve"> PAGEREF _Toc105658707 \h </w:instrText>
      </w:r>
      <w:r>
        <w:fldChar w:fldCharType="separate"/>
      </w:r>
      <w:r>
        <w:t>38</w:t>
      </w:r>
      <w:r>
        <w:fldChar w:fldCharType="end"/>
      </w:r>
    </w:p>
    <w:p>
      <w:pPr>
        <w:pStyle w:val="TOC8"/>
        <w:rPr>
          <w:rFonts w:asciiTheme="minorHAnsi" w:eastAsiaTheme="minorEastAsia" w:hAnsiTheme="minorHAnsi" w:cstheme="minorBidi"/>
          <w:szCs w:val="22"/>
        </w:rPr>
      </w:pPr>
      <w:r>
        <w:lastRenderedPageBreak/>
        <w:t>40.</w:t>
      </w:r>
      <w:r>
        <w:tab/>
        <w:t>Sentence appeal, appeal book for</w:t>
      </w:r>
      <w:r>
        <w:tab/>
      </w:r>
      <w:r>
        <w:fldChar w:fldCharType="begin"/>
      </w:r>
      <w:r>
        <w:instrText xml:space="preserve"> PAGEREF _Toc105658708 \h </w:instrText>
      </w:r>
      <w:r>
        <w:fldChar w:fldCharType="separate"/>
      </w:r>
      <w:r>
        <w:t>40</w:t>
      </w:r>
      <w:r>
        <w:fldChar w:fldCharType="end"/>
      </w:r>
    </w:p>
    <w:p>
      <w:pPr>
        <w:pStyle w:val="TOC8"/>
        <w:rPr>
          <w:rFonts w:asciiTheme="minorHAnsi" w:eastAsiaTheme="minorEastAsia" w:hAnsiTheme="minorHAnsi" w:cstheme="minorBidi"/>
          <w:szCs w:val="22"/>
        </w:rPr>
      </w:pPr>
      <w:r>
        <w:t>41.</w:t>
      </w:r>
      <w:r>
        <w:tab/>
        <w:t>Appeal book to be prepared by appellant</w:t>
      </w:r>
      <w:r>
        <w:tab/>
      </w:r>
      <w:r>
        <w:fldChar w:fldCharType="begin"/>
      </w:r>
      <w:r>
        <w:instrText xml:space="preserve"> PAGEREF _Toc105658709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Matters prior to the hearing of any appeal</w:t>
      </w:r>
    </w:p>
    <w:p>
      <w:pPr>
        <w:pStyle w:val="TOC8"/>
        <w:rPr>
          <w:rFonts w:asciiTheme="minorHAnsi" w:eastAsiaTheme="minorEastAsia" w:hAnsiTheme="minorHAnsi" w:cstheme="minorBidi"/>
          <w:szCs w:val="22"/>
        </w:rPr>
      </w:pPr>
      <w:r>
        <w:t>42.</w:t>
      </w:r>
      <w:r>
        <w:tab/>
        <w:t>Application of Division</w:t>
      </w:r>
      <w:r>
        <w:tab/>
      </w:r>
      <w:r>
        <w:fldChar w:fldCharType="begin"/>
      </w:r>
      <w:r>
        <w:instrText xml:space="preserve"> PAGEREF _Toc105658711 \h </w:instrText>
      </w:r>
      <w:r>
        <w:fldChar w:fldCharType="separate"/>
      </w:r>
      <w:r>
        <w:t>41</w:t>
      </w:r>
      <w:r>
        <w:fldChar w:fldCharType="end"/>
      </w:r>
    </w:p>
    <w:p>
      <w:pPr>
        <w:pStyle w:val="TOC8"/>
        <w:rPr>
          <w:rFonts w:asciiTheme="minorHAnsi" w:eastAsiaTheme="minorEastAsia" w:hAnsiTheme="minorHAnsi" w:cstheme="minorBidi"/>
          <w:szCs w:val="22"/>
        </w:rPr>
      </w:pPr>
      <w:r>
        <w:t>42A.</w:t>
      </w:r>
      <w:r>
        <w:tab/>
        <w:t>Matters requiring leave</w:t>
      </w:r>
      <w:r>
        <w:tab/>
      </w:r>
      <w:r>
        <w:fldChar w:fldCharType="begin"/>
      </w:r>
      <w:r>
        <w:instrText xml:space="preserve"> PAGEREF _Toc105658712 \h </w:instrText>
      </w:r>
      <w:r>
        <w:fldChar w:fldCharType="separate"/>
      </w:r>
      <w:r>
        <w:t>41</w:t>
      </w:r>
      <w:r>
        <w:fldChar w:fldCharType="end"/>
      </w:r>
    </w:p>
    <w:p>
      <w:pPr>
        <w:pStyle w:val="TOC8"/>
        <w:rPr>
          <w:rFonts w:asciiTheme="minorHAnsi" w:eastAsiaTheme="minorEastAsia" w:hAnsiTheme="minorHAnsi" w:cstheme="minorBidi"/>
          <w:szCs w:val="22"/>
        </w:rPr>
      </w:pPr>
      <w:r>
        <w:t>43.</w:t>
      </w:r>
      <w:r>
        <w:tab/>
        <w:t>Single judge’s jurisdiction</w:t>
      </w:r>
      <w:r>
        <w:tab/>
      </w:r>
      <w:r>
        <w:fldChar w:fldCharType="begin"/>
      </w:r>
      <w:r>
        <w:instrText xml:space="preserve"> PAGEREF _Toc105658713 \h </w:instrText>
      </w:r>
      <w:r>
        <w:fldChar w:fldCharType="separate"/>
      </w:r>
      <w:r>
        <w:t>42</w:t>
      </w:r>
      <w:r>
        <w:fldChar w:fldCharType="end"/>
      </w:r>
    </w:p>
    <w:p>
      <w:pPr>
        <w:pStyle w:val="TOC8"/>
        <w:rPr>
          <w:rFonts w:asciiTheme="minorHAnsi" w:eastAsiaTheme="minorEastAsia" w:hAnsiTheme="minorHAnsi" w:cstheme="minorBidi"/>
          <w:szCs w:val="22"/>
        </w:rPr>
      </w:pPr>
      <w:r>
        <w:t>44.</w:t>
      </w:r>
      <w:r>
        <w:tab/>
        <w:t>Applying for interim order</w:t>
      </w:r>
      <w:r>
        <w:tab/>
      </w:r>
      <w:r>
        <w:fldChar w:fldCharType="begin"/>
      </w:r>
      <w:r>
        <w:instrText xml:space="preserve"> PAGEREF _Toc105658714 \h </w:instrText>
      </w:r>
      <w:r>
        <w:fldChar w:fldCharType="separate"/>
      </w:r>
      <w:r>
        <w:t>43</w:t>
      </w:r>
      <w:r>
        <w:fldChar w:fldCharType="end"/>
      </w:r>
    </w:p>
    <w:p>
      <w:pPr>
        <w:pStyle w:val="TOC8"/>
        <w:rPr>
          <w:rFonts w:asciiTheme="minorHAnsi" w:eastAsiaTheme="minorEastAsia" w:hAnsiTheme="minorHAnsi" w:cstheme="minorBidi"/>
          <w:szCs w:val="22"/>
        </w:rPr>
      </w:pPr>
      <w:r>
        <w:t>45.</w:t>
      </w:r>
      <w:r>
        <w:tab/>
        <w:t>Consenting to orders</w:t>
      </w:r>
      <w:r>
        <w:tab/>
      </w:r>
      <w:r>
        <w:fldChar w:fldCharType="begin"/>
      </w:r>
      <w:r>
        <w:instrText xml:space="preserve"> PAGEREF _Toc105658715 \h </w:instrText>
      </w:r>
      <w:r>
        <w:fldChar w:fldCharType="separate"/>
      </w:r>
      <w:r>
        <w:t>44</w:t>
      </w:r>
      <w:r>
        <w:fldChar w:fldCharType="end"/>
      </w:r>
    </w:p>
    <w:p>
      <w:pPr>
        <w:pStyle w:val="TOC8"/>
        <w:rPr>
          <w:rFonts w:asciiTheme="minorHAnsi" w:eastAsiaTheme="minorEastAsia" w:hAnsiTheme="minorHAnsi" w:cstheme="minorBidi"/>
          <w:szCs w:val="22"/>
        </w:rPr>
      </w:pPr>
      <w:r>
        <w:t>46.</w:t>
      </w:r>
      <w:r>
        <w:tab/>
        <w:t>Urgent appeal order, nature of</w:t>
      </w:r>
      <w:r>
        <w:tab/>
      </w:r>
      <w:r>
        <w:fldChar w:fldCharType="begin"/>
      </w:r>
      <w:r>
        <w:instrText xml:space="preserve"> PAGEREF _Toc105658716 \h </w:instrText>
      </w:r>
      <w:r>
        <w:fldChar w:fldCharType="separate"/>
      </w:r>
      <w:r>
        <w:t>44</w:t>
      </w:r>
      <w:r>
        <w:fldChar w:fldCharType="end"/>
      </w:r>
    </w:p>
    <w:p>
      <w:pPr>
        <w:pStyle w:val="TOC8"/>
        <w:rPr>
          <w:rFonts w:asciiTheme="minorHAnsi" w:eastAsiaTheme="minorEastAsia" w:hAnsiTheme="minorHAnsi" w:cstheme="minorBidi"/>
          <w:szCs w:val="22"/>
        </w:rPr>
      </w:pPr>
      <w:r>
        <w:t>47.</w:t>
      </w:r>
      <w:r>
        <w:tab/>
        <w:t>Case management</w:t>
      </w:r>
      <w:r>
        <w:tab/>
      </w:r>
      <w:r>
        <w:fldChar w:fldCharType="begin"/>
      </w:r>
      <w:r>
        <w:instrText xml:space="preserve"> PAGEREF _Toc105658717 \h </w:instrText>
      </w:r>
      <w:r>
        <w:fldChar w:fldCharType="separate"/>
      </w:r>
      <w:r>
        <w:t>45</w:t>
      </w:r>
      <w:r>
        <w:fldChar w:fldCharType="end"/>
      </w:r>
    </w:p>
    <w:p>
      <w:pPr>
        <w:pStyle w:val="TOC8"/>
        <w:rPr>
          <w:rFonts w:asciiTheme="minorHAnsi" w:eastAsiaTheme="minorEastAsia" w:hAnsiTheme="minorHAnsi" w:cstheme="minorBidi"/>
          <w:szCs w:val="22"/>
        </w:rPr>
      </w:pPr>
      <w:r>
        <w:t>48.</w:t>
      </w:r>
      <w:r>
        <w:tab/>
        <w:t>Applications for adjournments to be made promptly</w:t>
      </w:r>
      <w:r>
        <w:tab/>
      </w:r>
      <w:r>
        <w:fldChar w:fldCharType="begin"/>
      </w:r>
      <w:r>
        <w:instrText xml:space="preserve"> PAGEREF _Toc105658718 \h </w:instrText>
      </w:r>
      <w:r>
        <w:fldChar w:fldCharType="separate"/>
      </w:r>
      <w:r>
        <w:t>46</w:t>
      </w:r>
      <w:r>
        <w:fldChar w:fldCharType="end"/>
      </w:r>
    </w:p>
    <w:p>
      <w:pPr>
        <w:pStyle w:val="TOC8"/>
        <w:rPr>
          <w:rFonts w:asciiTheme="minorHAnsi" w:eastAsiaTheme="minorEastAsia" w:hAnsiTheme="minorHAnsi" w:cstheme="minorBidi"/>
          <w:szCs w:val="22"/>
        </w:rPr>
      </w:pPr>
      <w:r>
        <w:t>49.</w:t>
      </w:r>
      <w:r>
        <w:tab/>
        <w:t>Offers of compromise</w:t>
      </w:r>
      <w:r>
        <w:tab/>
      </w:r>
      <w:r>
        <w:fldChar w:fldCharType="begin"/>
      </w:r>
      <w:r>
        <w:instrText xml:space="preserve"> PAGEREF _Toc105658719 \h </w:instrText>
      </w:r>
      <w:r>
        <w:fldChar w:fldCharType="separate"/>
      </w:r>
      <w:r>
        <w:t>46</w:t>
      </w:r>
      <w:r>
        <w:fldChar w:fldCharType="end"/>
      </w:r>
    </w:p>
    <w:p>
      <w:pPr>
        <w:pStyle w:val="TOC8"/>
        <w:rPr>
          <w:rFonts w:asciiTheme="minorHAnsi" w:eastAsiaTheme="minorEastAsia" w:hAnsiTheme="minorHAnsi" w:cstheme="minorBidi"/>
          <w:szCs w:val="22"/>
        </w:rPr>
      </w:pPr>
      <w:r>
        <w:t>50.</w:t>
      </w:r>
      <w:r>
        <w:tab/>
        <w:t>Court to be advised immediately of settlement etc.</w:t>
      </w:r>
      <w:r>
        <w:tab/>
      </w:r>
      <w:r>
        <w:fldChar w:fldCharType="begin"/>
      </w:r>
      <w:r>
        <w:instrText xml:space="preserve"> PAGEREF _Toc105658720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Matters prior to the hearing of a criminal appeal</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_Toc105658722 \h </w:instrText>
      </w:r>
      <w:r>
        <w:fldChar w:fldCharType="separate"/>
      </w:r>
      <w:r>
        <w:t>47</w:t>
      </w:r>
      <w:r>
        <w:fldChar w:fldCharType="end"/>
      </w:r>
    </w:p>
    <w:p>
      <w:pPr>
        <w:pStyle w:val="TOC8"/>
        <w:rPr>
          <w:rFonts w:asciiTheme="minorHAnsi" w:eastAsiaTheme="minorEastAsia" w:hAnsiTheme="minorHAnsi" w:cstheme="minorBidi"/>
          <w:szCs w:val="22"/>
        </w:rPr>
      </w:pPr>
      <w:r>
        <w:t>52.</w:t>
      </w:r>
      <w:r>
        <w:tab/>
        <w:t>Applications for certain orders under CAA s. 40(1)</w:t>
      </w:r>
      <w:r>
        <w:tab/>
      </w:r>
      <w:r>
        <w:fldChar w:fldCharType="begin"/>
      </w:r>
      <w:r>
        <w:instrText xml:space="preserve"> PAGEREF _Toc105658723 \h </w:instrText>
      </w:r>
      <w:r>
        <w:fldChar w:fldCharType="separate"/>
      </w:r>
      <w:r>
        <w:t>47</w:t>
      </w:r>
      <w:r>
        <w:fldChar w:fldCharType="end"/>
      </w:r>
    </w:p>
    <w:p>
      <w:pPr>
        <w:pStyle w:val="TOC8"/>
        <w:rPr>
          <w:rFonts w:asciiTheme="minorHAnsi" w:eastAsiaTheme="minorEastAsia" w:hAnsiTheme="minorHAnsi" w:cstheme="minorBidi"/>
          <w:szCs w:val="22"/>
        </w:rPr>
      </w:pPr>
      <w:r>
        <w:t>53.</w:t>
      </w:r>
      <w:r>
        <w:tab/>
        <w:t>Single judge’s jurisdiction</w:t>
      </w:r>
      <w:r>
        <w:tab/>
      </w:r>
      <w:r>
        <w:fldChar w:fldCharType="begin"/>
      </w:r>
      <w:r>
        <w:instrText xml:space="preserve"> PAGEREF _Toc105658724 \h </w:instrText>
      </w:r>
      <w:r>
        <w:fldChar w:fldCharType="separate"/>
      </w:r>
      <w:r>
        <w:t>47</w:t>
      </w:r>
      <w:r>
        <w:fldChar w:fldCharType="end"/>
      </w:r>
    </w:p>
    <w:p>
      <w:pPr>
        <w:pStyle w:val="TOC8"/>
        <w:rPr>
          <w:rFonts w:asciiTheme="minorHAnsi" w:eastAsiaTheme="minorEastAsia" w:hAnsiTheme="minorHAnsi" w:cstheme="minorBidi"/>
          <w:szCs w:val="22"/>
        </w:rPr>
      </w:pPr>
      <w:r>
        <w:t>54.</w:t>
      </w:r>
      <w:r>
        <w:tab/>
        <w:t>Witnesses required by the Court of Appeal</w:t>
      </w:r>
      <w:r>
        <w:tab/>
      </w:r>
      <w:r>
        <w:fldChar w:fldCharType="begin"/>
      </w:r>
      <w:r>
        <w:instrText xml:space="preserve"> PAGEREF _Toc105658725 \h </w:instrText>
      </w:r>
      <w:r>
        <w:fldChar w:fldCharType="separate"/>
      </w:r>
      <w:r>
        <w:t>47</w:t>
      </w:r>
      <w:r>
        <w:fldChar w:fldCharType="end"/>
      </w:r>
    </w:p>
    <w:p>
      <w:pPr>
        <w:pStyle w:val="TOC8"/>
        <w:rPr>
          <w:rFonts w:asciiTheme="minorHAnsi" w:eastAsiaTheme="minorEastAsia" w:hAnsiTheme="minorHAnsi" w:cstheme="minorBidi"/>
          <w:szCs w:val="22"/>
        </w:rPr>
      </w:pPr>
      <w:r>
        <w:t>55.</w:t>
      </w:r>
      <w:r>
        <w:tab/>
        <w:t>Proceedings before an examiner</w:t>
      </w:r>
      <w:r>
        <w:tab/>
      </w:r>
      <w:r>
        <w:fldChar w:fldCharType="begin"/>
      </w:r>
      <w:r>
        <w:instrText xml:space="preserve"> PAGEREF _Toc105658726 \h </w:instrText>
      </w:r>
      <w:r>
        <w:fldChar w:fldCharType="separate"/>
      </w:r>
      <w:r>
        <w:t>48</w:t>
      </w:r>
      <w:r>
        <w:fldChar w:fldCharType="end"/>
      </w:r>
    </w:p>
    <w:p>
      <w:pPr>
        <w:pStyle w:val="TOC8"/>
        <w:rPr>
          <w:rFonts w:asciiTheme="minorHAnsi" w:eastAsiaTheme="minorEastAsia" w:hAnsiTheme="minorHAnsi" w:cstheme="minorBidi"/>
          <w:szCs w:val="22"/>
        </w:rPr>
      </w:pPr>
      <w:r>
        <w:t>56.</w:t>
      </w:r>
      <w:r>
        <w:tab/>
        <w:t>Special commissioners and assessors (CAA s. 40(1))</w:t>
      </w:r>
      <w:r>
        <w:tab/>
      </w:r>
      <w:r>
        <w:fldChar w:fldCharType="begin"/>
      </w:r>
      <w:r>
        <w:instrText xml:space="preserve"> PAGEREF _Toc105658727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Hearing an appeal</w:t>
      </w:r>
    </w:p>
    <w:p>
      <w:pPr>
        <w:pStyle w:val="TOC8"/>
        <w:rPr>
          <w:rFonts w:asciiTheme="minorHAnsi" w:eastAsiaTheme="minorEastAsia" w:hAnsiTheme="minorHAnsi" w:cstheme="minorBidi"/>
          <w:szCs w:val="22"/>
        </w:rPr>
      </w:pPr>
      <w:r>
        <w:t>57.</w:t>
      </w:r>
      <w:r>
        <w:tab/>
        <w:t>Hearing date to be set</w:t>
      </w:r>
      <w:r>
        <w:tab/>
      </w:r>
      <w:r>
        <w:fldChar w:fldCharType="begin"/>
      </w:r>
      <w:r>
        <w:instrText xml:space="preserve"> PAGEREF _Toc105658729 \h </w:instrText>
      </w:r>
      <w:r>
        <w:fldChar w:fldCharType="separate"/>
      </w:r>
      <w:r>
        <w:t>50</w:t>
      </w:r>
      <w:r>
        <w:fldChar w:fldCharType="end"/>
      </w:r>
    </w:p>
    <w:p>
      <w:pPr>
        <w:pStyle w:val="TOC8"/>
        <w:rPr>
          <w:rFonts w:asciiTheme="minorHAnsi" w:eastAsiaTheme="minorEastAsia" w:hAnsiTheme="minorHAnsi" w:cstheme="minorBidi"/>
          <w:szCs w:val="22"/>
        </w:rPr>
      </w:pPr>
      <w:r>
        <w:t>58.</w:t>
      </w:r>
      <w:r>
        <w:tab/>
        <w:t>Hearings by audio link or video link</w:t>
      </w:r>
      <w:r>
        <w:tab/>
      </w:r>
      <w:r>
        <w:fldChar w:fldCharType="begin"/>
      </w:r>
      <w:r>
        <w:instrText xml:space="preserve"> PAGEREF _Toc105658730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Concluding an appeal</w:t>
      </w:r>
    </w:p>
    <w:p>
      <w:pPr>
        <w:pStyle w:val="TOC8"/>
        <w:rPr>
          <w:rFonts w:asciiTheme="minorHAnsi" w:eastAsiaTheme="minorEastAsia" w:hAnsiTheme="minorHAnsi" w:cstheme="minorBidi"/>
          <w:szCs w:val="22"/>
        </w:rPr>
      </w:pPr>
      <w:r>
        <w:t>59.</w:t>
      </w:r>
      <w:r>
        <w:tab/>
        <w:t>Discontinuing an appeal</w:t>
      </w:r>
      <w:r>
        <w:tab/>
      </w:r>
      <w:r>
        <w:fldChar w:fldCharType="begin"/>
      </w:r>
      <w:r>
        <w:instrText xml:space="preserve"> PAGEREF _Toc105658732 \h </w:instrText>
      </w:r>
      <w:r>
        <w:fldChar w:fldCharType="separate"/>
      </w:r>
      <w:r>
        <w:t>50</w:t>
      </w:r>
      <w:r>
        <w:fldChar w:fldCharType="end"/>
      </w:r>
    </w:p>
    <w:p>
      <w:pPr>
        <w:pStyle w:val="TOC8"/>
        <w:rPr>
          <w:rFonts w:asciiTheme="minorHAnsi" w:eastAsiaTheme="minorEastAsia" w:hAnsiTheme="minorHAnsi" w:cstheme="minorBidi"/>
          <w:szCs w:val="22"/>
        </w:rPr>
      </w:pPr>
      <w:r>
        <w:t>60.</w:t>
      </w:r>
      <w:r>
        <w:tab/>
        <w:t>Settling an appeal</w:t>
      </w:r>
      <w:r>
        <w:tab/>
      </w:r>
      <w:r>
        <w:fldChar w:fldCharType="begin"/>
      </w:r>
      <w:r>
        <w:instrText xml:space="preserve"> PAGEREF _Toc105658733 \h </w:instrText>
      </w:r>
      <w:r>
        <w:fldChar w:fldCharType="separate"/>
      </w:r>
      <w:r>
        <w:t>51</w:t>
      </w:r>
      <w:r>
        <w:fldChar w:fldCharType="end"/>
      </w:r>
    </w:p>
    <w:p>
      <w:pPr>
        <w:pStyle w:val="TOC8"/>
        <w:rPr>
          <w:rFonts w:asciiTheme="minorHAnsi" w:eastAsiaTheme="minorEastAsia" w:hAnsiTheme="minorHAnsi" w:cstheme="minorBidi"/>
          <w:szCs w:val="22"/>
        </w:rPr>
      </w:pPr>
      <w:r>
        <w:t>61.</w:t>
      </w:r>
      <w:r>
        <w:tab/>
        <w:t>Guideline judgments</w:t>
      </w:r>
      <w:r>
        <w:tab/>
      </w:r>
      <w:r>
        <w:fldChar w:fldCharType="begin"/>
      </w:r>
      <w:r>
        <w:instrText xml:space="preserve"> PAGEREF _Toc105658734 \h </w:instrText>
      </w:r>
      <w:r>
        <w:fldChar w:fldCharType="separate"/>
      </w:r>
      <w:r>
        <w:t>52</w:t>
      </w:r>
      <w:r>
        <w:fldChar w:fldCharType="end"/>
      </w:r>
    </w:p>
    <w:p>
      <w:pPr>
        <w:pStyle w:val="TOC8"/>
        <w:rPr>
          <w:rFonts w:asciiTheme="minorHAnsi" w:eastAsiaTheme="minorEastAsia" w:hAnsiTheme="minorHAnsi" w:cstheme="minorBidi"/>
          <w:szCs w:val="22"/>
        </w:rPr>
      </w:pPr>
      <w:r>
        <w:t>62.</w:t>
      </w:r>
      <w:r>
        <w:tab/>
        <w:t>Criminal appeals, certificate of conclusion of</w:t>
      </w:r>
      <w:r>
        <w:tab/>
      </w:r>
      <w:r>
        <w:fldChar w:fldCharType="begin"/>
      </w:r>
      <w:r>
        <w:instrText xml:space="preserve"> PAGEREF _Toc105658735 \h </w:instrText>
      </w:r>
      <w:r>
        <w:fldChar w:fldCharType="separate"/>
      </w:r>
      <w:r>
        <w:t>52</w:t>
      </w:r>
      <w:r>
        <w:fldChar w:fldCharType="end"/>
      </w:r>
    </w:p>
    <w:p>
      <w:pPr>
        <w:pStyle w:val="TOC8"/>
        <w:rPr>
          <w:rFonts w:asciiTheme="minorHAnsi" w:eastAsiaTheme="minorEastAsia" w:hAnsiTheme="minorHAnsi" w:cstheme="minorBidi"/>
          <w:szCs w:val="22"/>
        </w:rPr>
      </w:pPr>
      <w:r>
        <w:t>63.</w:t>
      </w:r>
      <w:r>
        <w:tab/>
        <w:t>Other appeals, final orders on</w:t>
      </w:r>
      <w:r>
        <w:tab/>
      </w:r>
      <w:r>
        <w:fldChar w:fldCharType="begin"/>
      </w:r>
      <w:r>
        <w:instrText xml:space="preserve"> PAGEREF _Toc105658736 \h </w:instrText>
      </w:r>
      <w:r>
        <w:fldChar w:fldCharType="separate"/>
      </w:r>
      <w:r>
        <w:t>53</w:t>
      </w:r>
      <w:r>
        <w:fldChar w:fldCharType="end"/>
      </w:r>
    </w:p>
    <w:p>
      <w:pPr>
        <w:pStyle w:val="TOC8"/>
        <w:rPr>
          <w:rFonts w:asciiTheme="minorHAnsi" w:eastAsiaTheme="minorEastAsia" w:hAnsiTheme="minorHAnsi" w:cstheme="minorBidi"/>
          <w:szCs w:val="22"/>
        </w:rPr>
      </w:pPr>
      <w:r>
        <w:t>64.</w:t>
      </w:r>
      <w:r>
        <w:tab/>
        <w:t>Return of records and things</w:t>
      </w:r>
      <w:r>
        <w:tab/>
      </w:r>
      <w:r>
        <w:fldChar w:fldCharType="begin"/>
      </w:r>
      <w:r>
        <w:instrText xml:space="preserve"> PAGEREF _Toc105658737 \h </w:instrText>
      </w:r>
      <w:r>
        <w:fldChar w:fldCharType="separate"/>
      </w:r>
      <w:r>
        <w:t>53</w:t>
      </w:r>
      <w:r>
        <w:fldChar w:fldCharType="end"/>
      </w:r>
    </w:p>
    <w:p>
      <w:pPr>
        <w:pStyle w:val="TOC8"/>
        <w:rPr>
          <w:rFonts w:asciiTheme="minorHAnsi" w:eastAsiaTheme="minorEastAsia" w:hAnsiTheme="minorHAnsi" w:cstheme="minorBidi"/>
          <w:szCs w:val="22"/>
        </w:rPr>
      </w:pPr>
      <w:r>
        <w:t>65.</w:t>
      </w:r>
      <w:r>
        <w:tab/>
        <w:t>Enforcing judgments and orders</w:t>
      </w:r>
      <w:r>
        <w:tab/>
      </w:r>
      <w:r>
        <w:fldChar w:fldCharType="begin"/>
      </w:r>
      <w:r>
        <w:instrText xml:space="preserve"> PAGEREF _Toc105658738 \h </w:instrText>
      </w:r>
      <w:r>
        <w:fldChar w:fldCharType="separate"/>
      </w:r>
      <w:r>
        <w:t>54</w:t>
      </w:r>
      <w:r>
        <w:fldChar w:fldCharType="end"/>
      </w:r>
    </w:p>
    <w:p>
      <w:pPr>
        <w:pStyle w:val="TOC8"/>
        <w:rPr>
          <w:rFonts w:asciiTheme="minorHAnsi" w:eastAsiaTheme="minorEastAsia" w:hAnsiTheme="minorHAnsi" w:cstheme="minorBidi"/>
          <w:szCs w:val="22"/>
        </w:rPr>
      </w:pPr>
      <w:r>
        <w:t>66.</w:t>
      </w:r>
      <w:r>
        <w:tab/>
        <w:t>Costs</w:t>
      </w:r>
      <w:r>
        <w:tab/>
      </w:r>
      <w:r>
        <w:fldChar w:fldCharType="begin"/>
      </w:r>
      <w:r>
        <w:instrText xml:space="preserve"> PAGEREF _Toc105658739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Referred and other CA matters</w:t>
      </w:r>
    </w:p>
    <w:p>
      <w:pPr>
        <w:pStyle w:val="TOC8"/>
        <w:rPr>
          <w:rFonts w:asciiTheme="minorHAnsi" w:eastAsiaTheme="minorEastAsia" w:hAnsiTheme="minorHAnsi" w:cstheme="minorBidi"/>
          <w:szCs w:val="22"/>
        </w:rPr>
      </w:pPr>
      <w:r>
        <w:t>67.</w:t>
      </w:r>
      <w:r>
        <w:tab/>
        <w:t>Referring a legal issue to the Court of Appeal</w:t>
      </w:r>
      <w:r>
        <w:tab/>
      </w:r>
      <w:r>
        <w:fldChar w:fldCharType="begin"/>
      </w:r>
      <w:r>
        <w:instrText xml:space="preserve"> PAGEREF _Toc105658741 \h </w:instrText>
      </w:r>
      <w:r>
        <w:fldChar w:fldCharType="separate"/>
      </w:r>
      <w:r>
        <w:t>57</w:t>
      </w:r>
      <w:r>
        <w:fldChar w:fldCharType="end"/>
      </w:r>
    </w:p>
    <w:p>
      <w:pPr>
        <w:pStyle w:val="TOC8"/>
        <w:rPr>
          <w:rFonts w:asciiTheme="minorHAnsi" w:eastAsiaTheme="minorEastAsia" w:hAnsiTheme="minorHAnsi" w:cstheme="minorBidi"/>
          <w:szCs w:val="22"/>
        </w:rPr>
      </w:pPr>
      <w:r>
        <w:t>68.</w:t>
      </w:r>
      <w:r>
        <w:tab/>
        <w:t>Dealing with referred and other CA matters</w:t>
      </w:r>
      <w:r>
        <w:tab/>
      </w:r>
      <w:r>
        <w:fldChar w:fldCharType="begin"/>
      </w:r>
      <w:r>
        <w:instrText xml:space="preserve"> PAGEREF _Toc105658742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69.</w:t>
      </w:r>
      <w:r>
        <w:tab/>
        <w:t>Removal of District Court appeal into Court of Appeal</w:t>
      </w:r>
      <w:r>
        <w:tab/>
      </w:r>
      <w:r>
        <w:fldChar w:fldCharType="begin"/>
      </w:r>
      <w:r>
        <w:instrText xml:space="preserve"> PAGEREF _Toc105658744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Appeal notice (criminal) (r. 28)</w:t>
      </w:r>
      <w:r>
        <w:tab/>
      </w:r>
      <w:r>
        <w:fldChar w:fldCharType="begin"/>
      </w:r>
      <w:r>
        <w:instrText xml:space="preserve"> PAGEREF _Toc105658746 \h </w:instrText>
      </w:r>
      <w:r>
        <w:fldChar w:fldCharType="separate"/>
      </w:r>
      <w:r>
        <w:t>61</w:t>
      </w:r>
      <w:r>
        <w:fldChar w:fldCharType="end"/>
      </w:r>
    </w:p>
    <w:p>
      <w:pPr>
        <w:pStyle w:val="TOC8"/>
        <w:rPr>
          <w:rFonts w:asciiTheme="minorHAnsi" w:eastAsiaTheme="minorEastAsia" w:hAnsiTheme="minorHAnsi" w:cstheme="minorBidi"/>
          <w:szCs w:val="22"/>
        </w:rPr>
      </w:pPr>
      <w:r>
        <w:t>2.</w:t>
      </w:r>
      <w:r>
        <w:tab/>
        <w:t>Appeal notice (civil) (r. 29)</w:t>
      </w:r>
      <w:r>
        <w:tab/>
      </w:r>
      <w:r>
        <w:fldChar w:fldCharType="begin"/>
      </w:r>
      <w:r>
        <w:instrText xml:space="preserve"> PAGEREF _Toc105658747 \h </w:instrText>
      </w:r>
      <w:r>
        <w:fldChar w:fldCharType="separate"/>
      </w:r>
      <w:r>
        <w:t>63</w:t>
      </w:r>
      <w:r>
        <w:fldChar w:fldCharType="end"/>
      </w:r>
    </w:p>
    <w:p>
      <w:pPr>
        <w:pStyle w:val="TOC8"/>
        <w:rPr>
          <w:rFonts w:asciiTheme="minorHAnsi" w:eastAsiaTheme="minorEastAsia" w:hAnsiTheme="minorHAnsi" w:cstheme="minorBidi"/>
          <w:szCs w:val="22"/>
        </w:rPr>
      </w:pPr>
      <w:r>
        <w:t>3.</w:t>
      </w:r>
      <w:r>
        <w:tab/>
        <w:t>Service certificate (r. 28(7) &amp; 29(5))</w:t>
      </w:r>
      <w:r>
        <w:tab/>
      </w:r>
      <w:r>
        <w:fldChar w:fldCharType="begin"/>
      </w:r>
      <w:r>
        <w:instrText xml:space="preserve"> PAGEREF _Toc105658748 \h </w:instrText>
      </w:r>
      <w:r>
        <w:fldChar w:fldCharType="separate"/>
      </w:r>
      <w:r>
        <w:t>64</w:t>
      </w:r>
      <w:r>
        <w:fldChar w:fldCharType="end"/>
      </w:r>
    </w:p>
    <w:p>
      <w:pPr>
        <w:pStyle w:val="TOC8"/>
        <w:rPr>
          <w:rFonts w:asciiTheme="minorHAnsi" w:eastAsiaTheme="minorEastAsia" w:hAnsiTheme="minorHAnsi" w:cstheme="minorBidi"/>
          <w:szCs w:val="22"/>
        </w:rPr>
      </w:pPr>
      <w:r>
        <w:t>4.</w:t>
      </w:r>
      <w:r>
        <w:tab/>
        <w:t>Notice of respondent’s intention (r. 31)</w:t>
      </w:r>
      <w:r>
        <w:tab/>
      </w:r>
      <w:r>
        <w:fldChar w:fldCharType="begin"/>
      </w:r>
      <w:r>
        <w:instrText xml:space="preserve"> PAGEREF _Toc105658749 \h </w:instrText>
      </w:r>
      <w:r>
        <w:fldChar w:fldCharType="separate"/>
      </w:r>
      <w:r>
        <w:t>64</w:t>
      </w:r>
      <w:r>
        <w:fldChar w:fldCharType="end"/>
      </w:r>
    </w:p>
    <w:p>
      <w:pPr>
        <w:pStyle w:val="TOC8"/>
        <w:rPr>
          <w:rFonts w:asciiTheme="minorHAnsi" w:eastAsiaTheme="minorEastAsia" w:hAnsiTheme="minorHAnsi" w:cstheme="minorBidi"/>
          <w:szCs w:val="22"/>
        </w:rPr>
      </w:pPr>
      <w:r>
        <w:t>4A.</w:t>
      </w:r>
      <w:r>
        <w:tab/>
        <w:t>Notice of respondent’s cross appeal (r. 31A)</w:t>
      </w:r>
      <w:r>
        <w:tab/>
      </w:r>
      <w:r>
        <w:fldChar w:fldCharType="begin"/>
      </w:r>
      <w:r>
        <w:instrText xml:space="preserve"> PAGEREF _Toc105658750 \h </w:instrText>
      </w:r>
      <w:r>
        <w:fldChar w:fldCharType="separate"/>
      </w:r>
      <w:r>
        <w:t>65</w:t>
      </w:r>
      <w:r>
        <w:fldChar w:fldCharType="end"/>
      </w:r>
    </w:p>
    <w:p>
      <w:pPr>
        <w:pStyle w:val="TOC8"/>
        <w:rPr>
          <w:rFonts w:asciiTheme="minorHAnsi" w:eastAsiaTheme="minorEastAsia" w:hAnsiTheme="minorHAnsi" w:cstheme="minorBidi"/>
          <w:szCs w:val="22"/>
        </w:rPr>
      </w:pPr>
      <w:r>
        <w:t>5.</w:t>
      </w:r>
      <w:r>
        <w:tab/>
        <w:t>Lawyer’s notice of acting (Part 4)</w:t>
      </w:r>
      <w:r>
        <w:tab/>
      </w:r>
      <w:r>
        <w:fldChar w:fldCharType="begin"/>
      </w:r>
      <w:r>
        <w:instrText xml:space="preserve"> PAGEREF _Toc105658751 \h </w:instrText>
      </w:r>
      <w:r>
        <w:fldChar w:fldCharType="separate"/>
      </w:r>
      <w:r>
        <w:t>66</w:t>
      </w:r>
      <w:r>
        <w:fldChar w:fldCharType="end"/>
      </w:r>
    </w:p>
    <w:p>
      <w:pPr>
        <w:pStyle w:val="TOC8"/>
        <w:rPr>
          <w:rFonts w:asciiTheme="minorHAnsi" w:eastAsiaTheme="minorEastAsia" w:hAnsiTheme="minorHAnsi" w:cstheme="minorBidi"/>
          <w:szCs w:val="22"/>
        </w:rPr>
      </w:pPr>
      <w:r>
        <w:t>5A.</w:t>
      </w:r>
      <w:r>
        <w:tab/>
        <w:t>Service certificate by lawyer ceasing to act (r. 24(3))</w:t>
      </w:r>
      <w:r>
        <w:tab/>
      </w:r>
      <w:r>
        <w:fldChar w:fldCharType="begin"/>
      </w:r>
      <w:r>
        <w:instrText xml:space="preserve"> PAGEREF _Toc105658752 \h </w:instrText>
      </w:r>
      <w:r>
        <w:fldChar w:fldCharType="separate"/>
      </w:r>
      <w:r>
        <w:t>66</w:t>
      </w:r>
      <w:r>
        <w:fldChar w:fldCharType="end"/>
      </w:r>
    </w:p>
    <w:p>
      <w:pPr>
        <w:pStyle w:val="TOC8"/>
        <w:rPr>
          <w:rFonts w:asciiTheme="minorHAnsi" w:eastAsiaTheme="minorEastAsia" w:hAnsiTheme="minorHAnsi" w:cstheme="minorBidi"/>
          <w:szCs w:val="22"/>
        </w:rPr>
      </w:pPr>
      <w:r>
        <w:t>6.</w:t>
      </w:r>
      <w:r>
        <w:tab/>
        <w:t>Notice of self-representation (r. 24)</w:t>
      </w:r>
      <w:r>
        <w:tab/>
      </w:r>
      <w:r>
        <w:fldChar w:fldCharType="begin"/>
      </w:r>
      <w:r>
        <w:instrText xml:space="preserve"> PAGEREF _Toc105658753 \h </w:instrText>
      </w:r>
      <w:r>
        <w:fldChar w:fldCharType="separate"/>
      </w:r>
      <w:r>
        <w:t>67</w:t>
      </w:r>
      <w:r>
        <w:fldChar w:fldCharType="end"/>
      </w:r>
    </w:p>
    <w:p>
      <w:pPr>
        <w:pStyle w:val="TOC8"/>
        <w:rPr>
          <w:rFonts w:asciiTheme="minorHAnsi" w:eastAsiaTheme="minorEastAsia" w:hAnsiTheme="minorHAnsi" w:cstheme="minorBidi"/>
          <w:szCs w:val="22"/>
        </w:rPr>
      </w:pPr>
      <w:r>
        <w:t>7.</w:t>
      </w:r>
      <w:r>
        <w:tab/>
        <w:t>Appellant’s case (r. 32)</w:t>
      </w:r>
      <w:r>
        <w:tab/>
      </w:r>
      <w:r>
        <w:fldChar w:fldCharType="begin"/>
      </w:r>
      <w:r>
        <w:instrText xml:space="preserve"> PAGEREF _Toc105658754 \h </w:instrText>
      </w:r>
      <w:r>
        <w:fldChar w:fldCharType="separate"/>
      </w:r>
      <w:r>
        <w:t>67</w:t>
      </w:r>
      <w:r>
        <w:fldChar w:fldCharType="end"/>
      </w:r>
    </w:p>
    <w:p>
      <w:pPr>
        <w:pStyle w:val="TOC8"/>
        <w:rPr>
          <w:rFonts w:asciiTheme="minorHAnsi" w:eastAsiaTheme="minorEastAsia" w:hAnsiTheme="minorHAnsi" w:cstheme="minorBidi"/>
          <w:szCs w:val="22"/>
        </w:rPr>
      </w:pPr>
      <w:r>
        <w:t>8.</w:t>
      </w:r>
      <w:r>
        <w:tab/>
        <w:t>Respondent’s answer (r. 33)</w:t>
      </w:r>
      <w:r>
        <w:tab/>
      </w:r>
      <w:r>
        <w:fldChar w:fldCharType="begin"/>
      </w:r>
      <w:r>
        <w:instrText xml:space="preserve"> PAGEREF _Toc105658755 \h </w:instrText>
      </w:r>
      <w:r>
        <w:fldChar w:fldCharType="separate"/>
      </w:r>
      <w:r>
        <w:t>68</w:t>
      </w:r>
      <w:r>
        <w:fldChar w:fldCharType="end"/>
      </w:r>
    </w:p>
    <w:p>
      <w:pPr>
        <w:pStyle w:val="TOC8"/>
        <w:rPr>
          <w:rFonts w:asciiTheme="minorHAnsi" w:eastAsiaTheme="minorEastAsia" w:hAnsiTheme="minorHAnsi" w:cstheme="minorBidi"/>
          <w:szCs w:val="22"/>
        </w:rPr>
      </w:pPr>
      <w:r>
        <w:t>9.</w:t>
      </w:r>
      <w:r>
        <w:tab/>
        <w:t>Application in an appeal (r. 44)</w:t>
      </w:r>
      <w:r>
        <w:tab/>
      </w:r>
      <w:r>
        <w:fldChar w:fldCharType="begin"/>
      </w:r>
      <w:r>
        <w:instrText xml:space="preserve"> PAGEREF _Toc105658756 \h </w:instrText>
      </w:r>
      <w:r>
        <w:fldChar w:fldCharType="separate"/>
      </w:r>
      <w:r>
        <w:t>69</w:t>
      </w:r>
      <w:r>
        <w:fldChar w:fldCharType="end"/>
      </w:r>
    </w:p>
    <w:p>
      <w:pPr>
        <w:pStyle w:val="TOC8"/>
        <w:rPr>
          <w:rFonts w:asciiTheme="minorHAnsi" w:eastAsiaTheme="minorEastAsia" w:hAnsiTheme="minorHAnsi" w:cstheme="minorBidi"/>
          <w:szCs w:val="22"/>
        </w:rPr>
      </w:pPr>
      <w:r>
        <w:t>10.</w:t>
      </w:r>
      <w:r>
        <w:tab/>
        <w:t>Consent notice (r. 45 &amp; 60)</w:t>
      </w:r>
      <w:r>
        <w:tab/>
      </w:r>
      <w:r>
        <w:fldChar w:fldCharType="begin"/>
      </w:r>
      <w:r>
        <w:instrText xml:space="preserve"> PAGEREF _Toc105658757 \h </w:instrText>
      </w:r>
      <w:r>
        <w:fldChar w:fldCharType="separate"/>
      </w:r>
      <w:r>
        <w:t>70</w:t>
      </w:r>
      <w:r>
        <w:fldChar w:fldCharType="end"/>
      </w:r>
    </w:p>
    <w:p>
      <w:pPr>
        <w:pStyle w:val="TOC8"/>
        <w:rPr>
          <w:rFonts w:asciiTheme="minorHAnsi" w:eastAsiaTheme="minorEastAsia" w:hAnsiTheme="minorHAnsi" w:cstheme="minorBidi"/>
          <w:szCs w:val="22"/>
        </w:rPr>
      </w:pPr>
      <w:r>
        <w:t>11.</w:t>
      </w:r>
      <w:r>
        <w:tab/>
        <w:t>Affidavit cover sheet (r. 21(3))</w:t>
      </w:r>
      <w:r>
        <w:tab/>
      </w:r>
      <w:r>
        <w:fldChar w:fldCharType="begin"/>
      </w:r>
      <w:r>
        <w:instrText xml:space="preserve"> PAGEREF _Toc105658758 \h </w:instrText>
      </w:r>
      <w:r>
        <w:fldChar w:fldCharType="separate"/>
      </w:r>
      <w:r>
        <w:t>70</w:t>
      </w:r>
      <w:r>
        <w:fldChar w:fldCharType="end"/>
      </w:r>
    </w:p>
    <w:p>
      <w:pPr>
        <w:pStyle w:val="TOC8"/>
        <w:rPr>
          <w:rFonts w:asciiTheme="minorHAnsi" w:eastAsiaTheme="minorEastAsia" w:hAnsiTheme="minorHAnsi" w:cstheme="minorBidi"/>
          <w:szCs w:val="22"/>
        </w:rPr>
      </w:pPr>
      <w:r>
        <w:t>12.</w:t>
      </w:r>
      <w:r>
        <w:tab/>
        <w:t>Request for hearing (r. 19)</w:t>
      </w:r>
      <w:r>
        <w:tab/>
      </w:r>
      <w:r>
        <w:fldChar w:fldCharType="begin"/>
      </w:r>
      <w:r>
        <w:instrText xml:space="preserve"> PAGEREF _Toc105658759 \h </w:instrText>
      </w:r>
      <w:r>
        <w:fldChar w:fldCharType="separate"/>
      </w:r>
      <w:r>
        <w:t>71</w:t>
      </w:r>
      <w:r>
        <w:fldChar w:fldCharType="end"/>
      </w:r>
    </w:p>
    <w:p>
      <w:pPr>
        <w:pStyle w:val="TOC8"/>
        <w:rPr>
          <w:rFonts w:asciiTheme="minorHAnsi" w:eastAsiaTheme="minorEastAsia" w:hAnsiTheme="minorHAnsi" w:cstheme="minorBidi"/>
          <w:szCs w:val="22"/>
        </w:rPr>
      </w:pPr>
      <w:r>
        <w:t>13.</w:t>
      </w:r>
      <w:r>
        <w:tab/>
        <w:t>Application for review of single judge’s or registrar’s decision (r. 8 &amp; 15)</w:t>
      </w:r>
      <w:r>
        <w:tab/>
      </w:r>
      <w:r>
        <w:fldChar w:fldCharType="begin"/>
      </w:r>
      <w:r>
        <w:instrText xml:space="preserve"> PAGEREF _Toc105658760 \h </w:instrText>
      </w:r>
      <w:r>
        <w:fldChar w:fldCharType="separate"/>
      </w:r>
      <w:r>
        <w:t>71</w:t>
      </w:r>
      <w:r>
        <w:fldChar w:fldCharType="end"/>
      </w:r>
    </w:p>
    <w:p>
      <w:pPr>
        <w:pStyle w:val="TOC8"/>
        <w:rPr>
          <w:rFonts w:asciiTheme="minorHAnsi" w:eastAsiaTheme="minorEastAsia" w:hAnsiTheme="minorHAnsi" w:cstheme="minorBidi"/>
          <w:szCs w:val="22"/>
        </w:rPr>
      </w:pPr>
      <w:r>
        <w:t>14.</w:t>
      </w:r>
      <w:r>
        <w:tab/>
        <w:t>Appeal book, cover page (r. 39(5))</w:t>
      </w:r>
      <w:r>
        <w:tab/>
      </w:r>
      <w:r>
        <w:fldChar w:fldCharType="begin"/>
      </w:r>
      <w:r>
        <w:instrText xml:space="preserve"> PAGEREF _Toc105658761 \h </w:instrText>
      </w:r>
      <w:r>
        <w:fldChar w:fldCharType="separate"/>
      </w:r>
      <w:r>
        <w:t>72</w:t>
      </w:r>
      <w:r>
        <w:fldChar w:fldCharType="end"/>
      </w:r>
    </w:p>
    <w:p>
      <w:pPr>
        <w:pStyle w:val="TOC8"/>
        <w:rPr>
          <w:rFonts w:asciiTheme="minorHAnsi" w:eastAsiaTheme="minorEastAsia" w:hAnsiTheme="minorHAnsi" w:cstheme="minorBidi"/>
          <w:szCs w:val="22"/>
        </w:rPr>
      </w:pPr>
      <w:r>
        <w:t>14A.</w:t>
      </w:r>
      <w:r>
        <w:tab/>
        <w:t>Certificate of correctness of appeal book (r. 41(c))</w:t>
      </w:r>
      <w:r>
        <w:tab/>
      </w:r>
      <w:r>
        <w:fldChar w:fldCharType="begin"/>
      </w:r>
      <w:r>
        <w:instrText xml:space="preserve"> PAGEREF _Toc105658762 \h </w:instrText>
      </w:r>
      <w:r>
        <w:fldChar w:fldCharType="separate"/>
      </w:r>
      <w:r>
        <w:t>72</w:t>
      </w:r>
      <w:r>
        <w:fldChar w:fldCharType="end"/>
      </w:r>
    </w:p>
    <w:p>
      <w:pPr>
        <w:pStyle w:val="TOC8"/>
        <w:rPr>
          <w:rFonts w:asciiTheme="minorHAnsi" w:eastAsiaTheme="minorEastAsia" w:hAnsiTheme="minorHAnsi" w:cstheme="minorBidi"/>
          <w:szCs w:val="22"/>
        </w:rPr>
      </w:pPr>
      <w:r>
        <w:t>15.</w:t>
      </w:r>
      <w:r>
        <w:tab/>
        <w:t>Notice of hearing date (r. 57)</w:t>
      </w:r>
      <w:r>
        <w:tab/>
      </w:r>
      <w:r>
        <w:fldChar w:fldCharType="begin"/>
      </w:r>
      <w:r>
        <w:instrText xml:space="preserve"> PAGEREF _Toc105658763 \h </w:instrText>
      </w:r>
      <w:r>
        <w:fldChar w:fldCharType="separate"/>
      </w:r>
      <w:r>
        <w:t>73</w:t>
      </w:r>
      <w:r>
        <w:fldChar w:fldCharType="end"/>
      </w:r>
    </w:p>
    <w:p>
      <w:pPr>
        <w:pStyle w:val="TOC8"/>
        <w:rPr>
          <w:rFonts w:asciiTheme="minorHAnsi" w:eastAsiaTheme="minorEastAsia" w:hAnsiTheme="minorHAnsi" w:cstheme="minorBidi"/>
          <w:szCs w:val="22"/>
        </w:rPr>
      </w:pPr>
      <w:r>
        <w:t>16.</w:t>
      </w:r>
      <w:r>
        <w:tab/>
        <w:t>Discontinuance notice (r. 59)</w:t>
      </w:r>
      <w:r>
        <w:tab/>
      </w:r>
      <w:r>
        <w:fldChar w:fldCharType="begin"/>
      </w:r>
      <w:r>
        <w:instrText xml:space="preserve"> PAGEREF _Toc105658764 \h </w:instrText>
      </w:r>
      <w:r>
        <w:fldChar w:fldCharType="separate"/>
      </w:r>
      <w:r>
        <w:t>73</w:t>
      </w:r>
      <w:r>
        <w:fldChar w:fldCharType="end"/>
      </w:r>
    </w:p>
    <w:p>
      <w:pPr>
        <w:pStyle w:val="TOC8"/>
        <w:rPr>
          <w:rFonts w:asciiTheme="minorHAnsi" w:eastAsiaTheme="minorEastAsia" w:hAnsiTheme="minorHAnsi" w:cstheme="minorBidi"/>
          <w:szCs w:val="22"/>
        </w:rPr>
      </w:pPr>
      <w:r>
        <w:t>17.</w:t>
      </w:r>
      <w:r>
        <w:tab/>
        <w:t>Certificate of conclusion of criminal appeal (r. 62)</w:t>
      </w:r>
      <w:r>
        <w:tab/>
      </w:r>
      <w:r>
        <w:fldChar w:fldCharType="begin"/>
      </w:r>
      <w:r>
        <w:instrText xml:space="preserve"> PAGEREF _Toc105658765 \h </w:instrText>
      </w:r>
      <w:r>
        <w:fldChar w:fldCharType="separate"/>
      </w:r>
      <w:r>
        <w:t>74</w:t>
      </w:r>
      <w:r>
        <w:fldChar w:fldCharType="end"/>
      </w:r>
    </w:p>
    <w:p>
      <w:pPr>
        <w:pStyle w:val="TOC8"/>
        <w:rPr>
          <w:rFonts w:asciiTheme="minorHAnsi" w:eastAsiaTheme="minorEastAsia" w:hAnsiTheme="minorHAnsi" w:cstheme="minorBidi"/>
          <w:szCs w:val="22"/>
        </w:rPr>
      </w:pPr>
      <w:r>
        <w:t>18.</w:t>
      </w:r>
      <w:r>
        <w:tab/>
        <w:t>Referral of legal issue to Court of Appeal (r. 67)</w:t>
      </w:r>
      <w:r>
        <w:tab/>
      </w:r>
      <w:r>
        <w:fldChar w:fldCharType="begin"/>
      </w:r>
      <w:r>
        <w:instrText xml:space="preserve"> PAGEREF _Toc105658766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_Toc105658768 \h </w:instrText>
      </w:r>
      <w:r>
        <w:fldChar w:fldCharType="separate"/>
      </w:r>
      <w:r>
        <w:t>76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_Toc105658769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Supreme Court Act 1935</w:t>
      </w:r>
    </w:p>
    <w:p>
      <w:pPr>
        <w:pStyle w:val="NameofActReg"/>
      </w:pPr>
      <w:r>
        <w:t>Supreme Court (Court of Appeal) Rules 2005</w:t>
      </w:r>
    </w:p>
    <w:p>
      <w:pPr>
        <w:pStyle w:val="Heading2"/>
        <w:pageBreakBefore w:val="0"/>
      </w:pPr>
      <w:bookmarkStart w:id="3" w:name="_Toc105594959"/>
      <w:bookmarkStart w:id="4" w:name="_Toc105595076"/>
      <w:bookmarkStart w:id="5" w:name="_Toc10565865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5658654"/>
      <w:r>
        <w:rPr>
          <w:rStyle w:val="CharSectno"/>
        </w:rPr>
        <w:t>1</w:t>
      </w:r>
      <w:r>
        <w:t>.</w:t>
      </w:r>
      <w:r>
        <w:tab/>
        <w:t>Citation</w:t>
      </w:r>
      <w:bookmarkEnd w:id="6"/>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7" w:name="_Toc105658655"/>
      <w:r>
        <w:rPr>
          <w:rStyle w:val="CharSectno"/>
        </w:rPr>
        <w:t>2</w:t>
      </w:r>
      <w:r>
        <w:rPr>
          <w:spacing w:val="-2"/>
        </w:rPr>
        <w:t>.</w:t>
      </w:r>
      <w:r>
        <w:rPr>
          <w:spacing w:val="-2"/>
        </w:rPr>
        <w:tab/>
        <w:t>Commencement</w:t>
      </w:r>
      <w:bookmarkEnd w:id="7"/>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8" w:name="_Toc105658656"/>
      <w:r>
        <w:rPr>
          <w:rStyle w:val="CharSectno"/>
        </w:rPr>
        <w:t>3</w:t>
      </w:r>
      <w:r>
        <w:t>.</w:t>
      </w:r>
      <w:r>
        <w:tab/>
        <w:t>Interpretation</w:t>
      </w:r>
      <w:bookmarkEnd w:id="8"/>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lastRenderedPageBreak/>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decree, determination, direction, judgment and order;</w:t>
      </w:r>
    </w:p>
    <w:p>
      <w:pPr>
        <w:pStyle w:val="Defstart"/>
      </w:pPr>
      <w:r>
        <w:tab/>
      </w:r>
      <w:r>
        <w:rPr>
          <w:rStyle w:val="CharDefText"/>
        </w:rPr>
        <w:t>file</w:t>
      </w:r>
      <w:r>
        <w:t xml:space="preserve">, in relation to a document, means — </w:t>
      </w:r>
    </w:p>
    <w:p>
      <w:pPr>
        <w:pStyle w:val="Defpara"/>
      </w:pPr>
      <w:r>
        <w:tab/>
        <w:t>(a)</w:t>
      </w:r>
      <w:r>
        <w:tab/>
        <w:t>for a civil appeal, to file the document in accordance with the RSC Order 67A; or</w:t>
      </w:r>
    </w:p>
    <w:p>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lastRenderedPageBreak/>
        <w:tab/>
        <w:t>(h)</w:t>
      </w:r>
      <w:r>
        <w:tab/>
        <w:t>any other order that the Court of Appeal may make before the appeal is concluded, other than an order giving or refusing to give leave to appeal;</w:t>
      </w:r>
    </w:p>
    <w:p>
      <w:pPr>
        <w:pStyle w:val="Defstart"/>
      </w:pPr>
      <w:r>
        <w:tab/>
      </w:r>
      <w:r>
        <w:rPr>
          <w:rStyle w:val="CharDefText"/>
        </w:rPr>
        <w:t>interlocutory civil appeal</w:t>
      </w:r>
      <w:r>
        <w:t xml:space="preserve"> means — </w:t>
      </w:r>
    </w:p>
    <w:p>
      <w:pPr>
        <w:pStyle w:val="Defpara"/>
      </w:pPr>
      <w:r>
        <w:tab/>
        <w:t>(a)</w:t>
      </w:r>
      <w:r>
        <w:tab/>
        <w:t>an appeal from an interlocutory decision made in civil proceedings in the General Division by a judge or master; or</w:t>
      </w:r>
    </w:p>
    <w:p>
      <w:pPr>
        <w:pStyle w:val="Defpara"/>
      </w:pPr>
      <w:r>
        <w:tab/>
        <w:t>(b)</w:t>
      </w:r>
      <w:r>
        <w:tab/>
        <w:t xml:space="preserve">an appeal under the </w:t>
      </w:r>
      <w:r>
        <w:rPr>
          <w:i/>
        </w:rPr>
        <w:t>District Court of Western Australia Act 1969</w:t>
      </w:r>
      <w:r>
        <w:t xml:space="preserve"> section 79(1)(b);</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tab/>
      </w:r>
      <w:r>
        <w:rPr>
          <w:rStyle w:val="CharDefText"/>
        </w:rPr>
        <w:t>primary court case</w:t>
      </w:r>
      <w:r>
        <w:t>, in relation to an appeal, means the action, case, matter or proceedings in the primary court in which the decision being appealed was made;</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lastRenderedPageBreak/>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tab/>
      </w:r>
      <w:r>
        <w:rPr>
          <w:rStyle w:val="CharDefText"/>
        </w:rPr>
        <w:t>video link</w:t>
      </w:r>
      <w:r>
        <w:t xml:space="preserve"> means facilities, including closed</w:t>
      </w:r>
      <w:r>
        <w:noBreakHyphen/>
        <w:t>circuit television, that enable, at the same time, a court at one place to see and hear a person at another place and vice versa;</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 SL 2021/34 r. 4; SL 2022/60 r. 4.]</w:t>
      </w:r>
    </w:p>
    <w:p>
      <w:pPr>
        <w:pStyle w:val="Heading5"/>
      </w:pPr>
      <w:bookmarkStart w:id="9" w:name="_Toc105658657"/>
      <w:r>
        <w:rPr>
          <w:rStyle w:val="CharSectno"/>
        </w:rPr>
        <w:t>4</w:t>
      </w:r>
      <w:r>
        <w:t>.</w:t>
      </w:r>
      <w:r>
        <w:tab/>
        <w:t>Application of these rules</w:t>
      </w:r>
      <w:bookmarkEnd w:id="9"/>
    </w:p>
    <w:p>
      <w:pPr>
        <w:pStyle w:val="Subsection"/>
      </w:pPr>
      <w:r>
        <w:tab/>
        <w:t>(1)</w:t>
      </w:r>
      <w:r>
        <w:tab/>
        <w:t>These rules apply to and in respect of any CA matter.</w:t>
      </w:r>
    </w:p>
    <w:p>
      <w:pPr>
        <w:pStyle w:val="Ednotesubsection"/>
      </w:pPr>
      <w:r>
        <w:tab/>
        <w:t>[(2)</w:t>
      </w:r>
      <w:r>
        <w:tab/>
        <w:t>deleted]</w:t>
      </w:r>
    </w:p>
    <w:p>
      <w:pPr>
        <w:pStyle w:val="Subsection"/>
      </w:pPr>
      <w:r>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10" w:name="_Toc105658658"/>
      <w:r>
        <w:rPr>
          <w:rStyle w:val="CharSectno"/>
        </w:rPr>
        <w:lastRenderedPageBreak/>
        <w:t>5</w:t>
      </w:r>
      <w:r>
        <w:t>.</w:t>
      </w:r>
      <w:r>
        <w:tab/>
        <w:t xml:space="preserve">Application of the </w:t>
      </w:r>
      <w:r>
        <w:rPr>
          <w:i/>
        </w:rPr>
        <w:t>Rules of the Supreme Court 1971</w:t>
      </w:r>
      <w:bookmarkEnd w:id="10"/>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11" w:name="_Toc105594965"/>
      <w:bookmarkStart w:id="12" w:name="_Toc105595082"/>
      <w:bookmarkStart w:id="13" w:name="_Toc105658659"/>
      <w:r>
        <w:rPr>
          <w:rStyle w:val="CharPartNo"/>
        </w:rPr>
        <w:lastRenderedPageBreak/>
        <w:t>Part 2</w:t>
      </w:r>
      <w:r>
        <w:t> — </w:t>
      </w:r>
      <w:r>
        <w:rPr>
          <w:rStyle w:val="CharPartText"/>
        </w:rPr>
        <w:t>Delegated jurisdiction</w:t>
      </w:r>
      <w:bookmarkEnd w:id="11"/>
      <w:bookmarkEnd w:id="12"/>
      <w:bookmarkEnd w:id="13"/>
    </w:p>
    <w:p>
      <w:pPr>
        <w:pStyle w:val="Heading3"/>
      </w:pPr>
      <w:bookmarkStart w:id="14" w:name="_Toc105594966"/>
      <w:bookmarkStart w:id="15" w:name="_Toc105595083"/>
      <w:bookmarkStart w:id="16" w:name="_Toc105658660"/>
      <w:r>
        <w:rPr>
          <w:rStyle w:val="CharDivNo"/>
        </w:rPr>
        <w:t>Division 1</w:t>
      </w:r>
      <w:r>
        <w:t> — </w:t>
      </w:r>
      <w:r>
        <w:rPr>
          <w:rStyle w:val="CharDivText"/>
        </w:rPr>
        <w:t>General</w:t>
      </w:r>
      <w:bookmarkEnd w:id="14"/>
      <w:bookmarkEnd w:id="15"/>
      <w:bookmarkEnd w:id="16"/>
    </w:p>
    <w:p>
      <w:pPr>
        <w:pStyle w:val="Heading5"/>
      </w:pPr>
      <w:bookmarkStart w:id="17" w:name="_Toc105658661"/>
      <w:r>
        <w:rPr>
          <w:rStyle w:val="CharSectno"/>
        </w:rPr>
        <w:t>5A</w:t>
      </w:r>
      <w:r>
        <w:t>.</w:t>
      </w:r>
      <w:r>
        <w:tab/>
        <w:t>Delegated jurisdiction may be exercised by Court of Appeal</w:t>
      </w:r>
      <w:bookmarkEnd w:id="17"/>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PermNoteHeading"/>
      </w:pPr>
      <w:r>
        <w:tab/>
        <w:t>Note for this rule:</w:t>
      </w:r>
    </w:p>
    <w:p>
      <w:pPr>
        <w:pStyle w:val="PermNoteText"/>
      </w:pPr>
      <w:r>
        <w:tab/>
      </w:r>
      <w:r>
        <w:tab/>
        <w:t>Any jurisdiction that a single judge or registrar is able to exercise under these rules may be exercised by the Court of Appeal in the same manner as a single judge or registrar unless otherwise provided for by these rules.</w:t>
      </w:r>
    </w:p>
    <w:p>
      <w:pPr>
        <w:pStyle w:val="Footnotesection"/>
      </w:pPr>
      <w:r>
        <w:tab/>
        <w:t>[Rule 5A inserted: Gazette 22 Aug 2017 p. 4518; amended: SL 2022/60 r. 5.]</w:t>
      </w:r>
    </w:p>
    <w:p>
      <w:pPr>
        <w:pStyle w:val="Ednotesection"/>
      </w:pPr>
      <w:r>
        <w:t>[</w:t>
      </w:r>
      <w:r>
        <w:rPr>
          <w:b/>
        </w:rPr>
        <w:t>6.</w:t>
      </w:r>
      <w:r>
        <w:tab/>
        <w:t>Deleted: SL 2022/60 r. 6.]</w:t>
      </w:r>
    </w:p>
    <w:p>
      <w:pPr>
        <w:pStyle w:val="Heading3"/>
        <w:rPr>
          <w:rStyle w:val="CharDivText"/>
        </w:rPr>
      </w:pPr>
      <w:bookmarkStart w:id="18" w:name="_Toc105594968"/>
      <w:bookmarkStart w:id="19" w:name="_Toc105595085"/>
      <w:bookmarkStart w:id="20" w:name="_Toc105658662"/>
      <w:r>
        <w:rPr>
          <w:rStyle w:val="CharDivNo"/>
        </w:rPr>
        <w:t>Division 2</w:t>
      </w:r>
      <w:r>
        <w:t> — </w:t>
      </w:r>
      <w:r>
        <w:rPr>
          <w:rStyle w:val="CharDivText"/>
        </w:rPr>
        <w:t>Single judge’s jurisdiction</w:t>
      </w:r>
      <w:bookmarkEnd w:id="18"/>
      <w:bookmarkEnd w:id="19"/>
      <w:bookmarkEnd w:id="20"/>
    </w:p>
    <w:p>
      <w:pPr>
        <w:pStyle w:val="Heading5"/>
      </w:pPr>
      <w:bookmarkStart w:id="21" w:name="_Toc105658663"/>
      <w:r>
        <w:rPr>
          <w:rStyle w:val="CharSectno"/>
        </w:rPr>
        <w:t>7</w:t>
      </w:r>
      <w:r>
        <w:t>.</w:t>
      </w:r>
      <w:r>
        <w:tab/>
        <w:t>General jurisdiction</w:t>
      </w:r>
      <w:bookmarkEnd w:id="21"/>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lastRenderedPageBreak/>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on the basis of the documents filed without requiring the parties to attend a hearing, rule 19 applies.</w:t>
      </w:r>
    </w:p>
    <w:p>
      <w:pPr>
        <w:pStyle w:val="PermNoteHeading"/>
      </w:pPr>
      <w:r>
        <w:tab/>
        <w:t>Note for this subrule:</w:t>
      </w:r>
    </w:p>
    <w:p>
      <w:pPr>
        <w:pStyle w:val="PermNoteText"/>
      </w:pPr>
      <w:r>
        <w:tab/>
      </w:r>
      <w:r>
        <w:tab/>
        <w:t>Rule 19 does not apply to a decision made by the Court of Appeal.</w:t>
      </w:r>
    </w:p>
    <w:p>
      <w:pPr>
        <w:pStyle w:val="Footnotesection"/>
      </w:pPr>
      <w:r>
        <w:tab/>
        <w:t>[Rule 7 amended: Gazette 22 Aug 2017 p. 4519; SL 2022/60 r. 7.]</w:t>
      </w:r>
    </w:p>
    <w:p>
      <w:pPr>
        <w:pStyle w:val="Heading3"/>
      </w:pPr>
      <w:bookmarkStart w:id="22" w:name="_Toc105594970"/>
      <w:bookmarkStart w:id="23" w:name="_Toc105595087"/>
      <w:bookmarkStart w:id="24" w:name="_Toc105658664"/>
      <w:r>
        <w:rPr>
          <w:rStyle w:val="CharDivNo"/>
        </w:rPr>
        <w:t>Division 3</w:t>
      </w:r>
      <w:r>
        <w:t> — </w:t>
      </w:r>
      <w:r>
        <w:rPr>
          <w:rStyle w:val="CharDivText"/>
        </w:rPr>
        <w:t>Reviewing decisions by a single judge</w:t>
      </w:r>
      <w:bookmarkEnd w:id="22"/>
      <w:bookmarkEnd w:id="23"/>
      <w:bookmarkEnd w:id="24"/>
    </w:p>
    <w:p>
      <w:pPr>
        <w:pStyle w:val="Heading5"/>
      </w:pPr>
      <w:bookmarkStart w:id="25" w:name="_Toc105658665"/>
      <w:r>
        <w:rPr>
          <w:rStyle w:val="CharSectno"/>
        </w:rPr>
        <w:t>8</w:t>
      </w:r>
      <w:r>
        <w:t>.</w:t>
      </w:r>
      <w:r>
        <w:tab/>
        <w:t>Application for review by Court of Appeal</w:t>
      </w:r>
      <w:bookmarkEnd w:id="25"/>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lastRenderedPageBreak/>
        <w:tab/>
        <w:t>(3)</w:t>
      </w:r>
      <w:r>
        <w:tab/>
        <w:t>Except as provided in subrule (2), an application made under subrule (1) does not stay the single judge’s decision or the CA matter unless the Court of Appeal orders otherwise.</w:t>
      </w:r>
    </w:p>
    <w:p>
      <w:pPr>
        <w:pStyle w:val="PermNoteHeading"/>
      </w:pPr>
      <w:r>
        <w:tab/>
        <w:t>Note for this rule:</w:t>
      </w:r>
    </w:p>
    <w:p>
      <w:pPr>
        <w:pStyle w:val="PermNoteText"/>
      </w:pPr>
      <w:r>
        <w:tab/>
      </w:r>
      <w:r>
        <w:tab/>
        <w:t>This rule does not apply to a decision made by the Court of Appeal.</w:t>
      </w:r>
    </w:p>
    <w:p>
      <w:pPr>
        <w:pStyle w:val="Footnotesection"/>
      </w:pPr>
      <w:r>
        <w:tab/>
        <w:t>[Rule 8 amended: SL 2022/60 r. 8.]</w:t>
      </w:r>
    </w:p>
    <w:p>
      <w:pPr>
        <w:pStyle w:val="Heading5"/>
      </w:pPr>
      <w:bookmarkStart w:id="26" w:name="_Toc105658666"/>
      <w:r>
        <w:rPr>
          <w:rStyle w:val="CharSectno"/>
        </w:rPr>
        <w:t>9</w:t>
      </w:r>
      <w:r>
        <w:t>.</w:t>
      </w:r>
      <w:r>
        <w:tab/>
        <w:t>Dealing with the application</w:t>
      </w:r>
      <w:bookmarkEnd w:id="26"/>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27" w:name="_Toc105594973"/>
      <w:bookmarkStart w:id="28" w:name="_Toc105595090"/>
      <w:bookmarkStart w:id="29" w:name="_Toc105658667"/>
      <w:r>
        <w:rPr>
          <w:rStyle w:val="CharDivNo"/>
        </w:rPr>
        <w:t>Division 4</w:t>
      </w:r>
      <w:r>
        <w:t> — </w:t>
      </w:r>
      <w:r>
        <w:rPr>
          <w:rStyle w:val="CharDivText"/>
        </w:rPr>
        <w:t>Registrar’s jurisdiction</w:t>
      </w:r>
      <w:bookmarkEnd w:id="27"/>
      <w:bookmarkEnd w:id="28"/>
      <w:bookmarkEnd w:id="29"/>
    </w:p>
    <w:p>
      <w:pPr>
        <w:pStyle w:val="Heading5"/>
      </w:pPr>
      <w:bookmarkStart w:id="30" w:name="_Toc105658668"/>
      <w:r>
        <w:rPr>
          <w:rStyle w:val="CharSectno"/>
        </w:rPr>
        <w:t>10</w:t>
      </w:r>
      <w:r>
        <w:t>.</w:t>
      </w:r>
      <w:r>
        <w:tab/>
        <w:t>General jurisdiction</w:t>
      </w:r>
      <w:bookmarkEnd w:id="30"/>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lastRenderedPageBreak/>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31" w:name="_Toc105658669"/>
      <w:r>
        <w:rPr>
          <w:rStyle w:val="CharSectno"/>
        </w:rPr>
        <w:t>11</w:t>
      </w:r>
      <w:r>
        <w:t>.</w:t>
      </w:r>
      <w:r>
        <w:tab/>
        <w:t>Registrar may refer questions to single judge or Court of Appeal</w:t>
      </w:r>
      <w:bookmarkEnd w:id="31"/>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lastRenderedPageBreak/>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32" w:name="_Toc105658670"/>
      <w:r>
        <w:rPr>
          <w:rStyle w:val="CharSectno"/>
        </w:rPr>
        <w:t>12</w:t>
      </w:r>
      <w:r>
        <w:t>.</w:t>
      </w:r>
      <w:r>
        <w:tab/>
        <w:t>Hearing before single judge or registrar, parties to be notified</w:t>
      </w:r>
      <w:bookmarkEnd w:id="32"/>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Ednotesubsection"/>
      </w:pPr>
      <w:r>
        <w:tab/>
        <w:t>[(4)</w:t>
      </w:r>
      <w:r>
        <w:tab/>
        <w:t>deleted]</w:t>
      </w:r>
    </w:p>
    <w:p>
      <w:pPr>
        <w:pStyle w:val="Footnotesection"/>
      </w:pPr>
      <w:r>
        <w:tab/>
        <w:t>[Rule 12 amended: Gazette 22 Aug 2017 p. 4543; SL 2021/34 r. 5.]</w:t>
      </w:r>
    </w:p>
    <w:p>
      <w:pPr>
        <w:pStyle w:val="Heading5"/>
      </w:pPr>
      <w:bookmarkStart w:id="33" w:name="_Toc105658671"/>
      <w:r>
        <w:rPr>
          <w:rStyle w:val="CharSectno"/>
        </w:rPr>
        <w:t>13</w:t>
      </w:r>
      <w:r>
        <w:t>.</w:t>
      </w:r>
      <w:r>
        <w:tab/>
        <w:t>Written order by registrar, issue and service of</w:t>
      </w:r>
      <w:bookmarkEnd w:id="33"/>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lastRenderedPageBreak/>
        <w:tab/>
        <w:t>(c)</w:t>
      </w:r>
      <w:r>
        <w:tab/>
        <w:t>must be served on the party at least 3 clear working days before the date on which the party has to obey it.</w:t>
      </w:r>
    </w:p>
    <w:p>
      <w:pPr>
        <w:pStyle w:val="Ednotesubsection"/>
      </w:pPr>
      <w:r>
        <w:tab/>
        <w:t>[(3)</w:t>
      </w:r>
      <w:r>
        <w:tab/>
        <w:t>deleted]</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 SL 2021/34 r. 6.]</w:t>
      </w:r>
    </w:p>
    <w:p>
      <w:pPr>
        <w:pStyle w:val="Heading3"/>
      </w:pPr>
      <w:bookmarkStart w:id="34" w:name="_Toc105594978"/>
      <w:bookmarkStart w:id="35" w:name="_Toc105595095"/>
      <w:bookmarkStart w:id="36" w:name="_Toc105658672"/>
      <w:r>
        <w:rPr>
          <w:rStyle w:val="CharDivNo"/>
        </w:rPr>
        <w:t>Division 5</w:t>
      </w:r>
      <w:r>
        <w:t> — </w:t>
      </w:r>
      <w:r>
        <w:rPr>
          <w:rStyle w:val="CharDivText"/>
        </w:rPr>
        <w:t>Reviewing decisions by a registrar</w:t>
      </w:r>
      <w:bookmarkEnd w:id="34"/>
      <w:bookmarkEnd w:id="35"/>
      <w:bookmarkEnd w:id="36"/>
    </w:p>
    <w:p>
      <w:pPr>
        <w:pStyle w:val="Footnoteheading"/>
      </w:pPr>
      <w:r>
        <w:tab/>
        <w:t>[Heading amended: Gazette 22 Aug 2017 p. 4544.]</w:t>
      </w:r>
    </w:p>
    <w:p>
      <w:pPr>
        <w:pStyle w:val="Ednotesection"/>
      </w:pPr>
      <w:r>
        <w:t>[</w:t>
      </w:r>
      <w:r>
        <w:rPr>
          <w:b/>
        </w:rPr>
        <w:t>14.</w:t>
      </w:r>
      <w:r>
        <w:tab/>
        <w:t>Deleted: SL 2022/60 r. 9.]</w:t>
      </w:r>
    </w:p>
    <w:p>
      <w:pPr>
        <w:pStyle w:val="Heading5"/>
      </w:pPr>
      <w:bookmarkStart w:id="37" w:name="_Toc105658673"/>
      <w:r>
        <w:rPr>
          <w:rStyle w:val="CharSectno"/>
        </w:rPr>
        <w:t>15</w:t>
      </w:r>
      <w:r>
        <w:t>.</w:t>
      </w:r>
      <w:r>
        <w:tab/>
        <w:t>Application for review by single judge</w:t>
      </w:r>
      <w:bookmarkEnd w:id="37"/>
      <w:r>
        <w:t xml:space="preserve"> </w:t>
      </w:r>
    </w:p>
    <w:p>
      <w:pPr>
        <w:pStyle w:val="Subsection"/>
      </w:pPr>
      <w:r>
        <w:tab/>
        <w:t>(1A)</w:t>
      </w:r>
      <w:r>
        <w:tab/>
        <w:t xml:space="preserve">In this rule — </w:t>
      </w:r>
    </w:p>
    <w:p>
      <w:pPr>
        <w:pStyle w:val="Defstart"/>
      </w:pPr>
      <w:r>
        <w:tab/>
      </w:r>
      <w:r>
        <w:rPr>
          <w:rStyle w:val="CharDefText"/>
        </w:rPr>
        <w:t>reviewable decision</w:t>
      </w:r>
      <w:r>
        <w:t xml:space="preserve"> — </w:t>
      </w:r>
    </w:p>
    <w:p>
      <w:pPr>
        <w:pStyle w:val="Defpara"/>
      </w:pPr>
      <w:r>
        <w:tab/>
        <w:t>(a)</w:t>
      </w:r>
      <w:r>
        <w:tab/>
        <w:t>means a decision made by a registrar under these rules, other than the following —</w:t>
      </w:r>
    </w:p>
    <w:p>
      <w:pPr>
        <w:pStyle w:val="Defsubpara"/>
      </w:pPr>
      <w:r>
        <w:tab/>
        <w:t>(i)</w:t>
      </w:r>
      <w:r>
        <w:tab/>
        <w:t>a decision made under rule 11;</w:t>
      </w:r>
    </w:p>
    <w:p>
      <w:pPr>
        <w:pStyle w:val="Defsubpara"/>
      </w:pPr>
      <w:r>
        <w:tab/>
        <w:t>(ii)</w:t>
      </w:r>
      <w:r>
        <w:tab/>
        <w:t>a decision to list a CA matter;</w:t>
      </w:r>
    </w:p>
    <w:p>
      <w:pPr>
        <w:pStyle w:val="Defsubpara"/>
      </w:pPr>
      <w:r>
        <w:tab/>
        <w:t>(iii)</w:t>
      </w:r>
      <w:r>
        <w:tab/>
        <w:t>a decision made as a taxing officer;</w:t>
      </w:r>
    </w:p>
    <w:p>
      <w:pPr>
        <w:pStyle w:val="Defpara"/>
      </w:pPr>
      <w:r>
        <w:tab/>
      </w:r>
      <w:r>
        <w:tab/>
        <w:t>and</w:t>
      </w:r>
    </w:p>
    <w:p>
      <w:pPr>
        <w:pStyle w:val="Defpara"/>
      </w:pPr>
      <w:r>
        <w:tab/>
        <w:t>(b)</w:t>
      </w:r>
      <w:r>
        <w:tab/>
        <w:t>includes a decision made by a registrar under rule 10(1) to refuse to accept for filing any document, including an originating document, that is required or permitted by these rules or an order made under these rules.</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lastRenderedPageBreak/>
        <w:tab/>
        <w:t>(3)</w:t>
      </w:r>
      <w:r>
        <w:tab/>
        <w:t>An application made under subrule (1) does not stay the reviewable decision or the CA matter unless a single judge orders otherwise.</w:t>
      </w:r>
    </w:p>
    <w:p>
      <w:pPr>
        <w:pStyle w:val="Footnotesection"/>
      </w:pPr>
      <w:r>
        <w:tab/>
        <w:t>[Rule 15 amended: SL 2022/60 r. 10.]</w:t>
      </w:r>
    </w:p>
    <w:p>
      <w:pPr>
        <w:pStyle w:val="Heading5"/>
      </w:pPr>
      <w:bookmarkStart w:id="38" w:name="_Toc105658674"/>
      <w:r>
        <w:rPr>
          <w:rStyle w:val="CharSectno"/>
        </w:rPr>
        <w:t>16</w:t>
      </w:r>
      <w:r>
        <w:t>.</w:t>
      </w:r>
      <w:r>
        <w:tab/>
        <w:t>Dealing with the application</w:t>
      </w:r>
      <w:bookmarkEnd w:id="38"/>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39" w:name="_Toc105594981"/>
      <w:bookmarkStart w:id="40" w:name="_Toc105595098"/>
      <w:bookmarkStart w:id="41" w:name="_Toc105658675"/>
      <w:r>
        <w:rPr>
          <w:rStyle w:val="CharDivNo"/>
        </w:rPr>
        <w:t>Division 6</w:t>
      </w:r>
      <w:r>
        <w:t> — </w:t>
      </w:r>
      <w:r>
        <w:rPr>
          <w:rStyle w:val="CharDivText"/>
        </w:rPr>
        <w:t>Miscellaneous</w:t>
      </w:r>
      <w:bookmarkEnd w:id="39"/>
      <w:bookmarkEnd w:id="40"/>
      <w:bookmarkEnd w:id="41"/>
    </w:p>
    <w:p>
      <w:pPr>
        <w:pStyle w:val="Heading5"/>
      </w:pPr>
      <w:bookmarkStart w:id="42" w:name="_Toc105658676"/>
      <w:r>
        <w:rPr>
          <w:rStyle w:val="CharSectno"/>
        </w:rPr>
        <w:t>17</w:t>
      </w:r>
      <w:r>
        <w:t>.</w:t>
      </w:r>
      <w:r>
        <w:tab/>
        <w:t>Consequences of non</w:t>
      </w:r>
      <w:r>
        <w:noBreakHyphen/>
        <w:t>attendance by party</w:t>
      </w:r>
      <w:bookmarkEnd w:id="42"/>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PermNoteHeading"/>
      </w:pPr>
      <w:r>
        <w:tab/>
        <w:t>Note for this rule:</w:t>
      </w:r>
    </w:p>
    <w:p>
      <w:pPr>
        <w:pStyle w:val="PermNoteText"/>
      </w:pPr>
      <w:r>
        <w:tab/>
      </w:r>
      <w:r>
        <w:tab/>
        <w:t>If a party does not attend a hearing before the Court of Appeal, the Court may proceed in the party’s absence.</w:t>
      </w:r>
    </w:p>
    <w:p>
      <w:pPr>
        <w:pStyle w:val="Footnotesection"/>
      </w:pPr>
      <w:r>
        <w:tab/>
        <w:t>[Rule 17 amended: Gazette 22 Aug 2017 p. 4543; SL 2022/60 r. 11.]</w:t>
      </w:r>
    </w:p>
    <w:p>
      <w:pPr>
        <w:pStyle w:val="Heading5"/>
      </w:pPr>
      <w:bookmarkStart w:id="43" w:name="_Toc105658677"/>
      <w:r>
        <w:rPr>
          <w:rStyle w:val="CharSectno"/>
        </w:rPr>
        <w:t>18</w:t>
      </w:r>
      <w:r>
        <w:t>.</w:t>
      </w:r>
      <w:r>
        <w:tab/>
        <w:t>Decisions made in absence of party</w:t>
      </w:r>
      <w:bookmarkEnd w:id="43"/>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lastRenderedPageBreak/>
        <w:tab/>
        <w:t>(2)</w:t>
      </w:r>
      <w:r>
        <w:tab/>
        <w:t>If in a party’s absence a single judge or a registrar makes a decision in a CA matter, whether or not at a hearing, a registrar must notify the party of the decision.</w:t>
      </w:r>
    </w:p>
    <w:p>
      <w:pPr>
        <w:pStyle w:val="Footnotesection"/>
      </w:pPr>
      <w:r>
        <w:tab/>
        <w:t>[Rule 18 amended: Gazette 22 Aug 2017 p. 4543</w:t>
      </w:r>
      <w:r>
        <w:noBreakHyphen/>
        <w:t>4; SL 2022/60 r. 12.]</w:t>
      </w:r>
    </w:p>
    <w:p>
      <w:pPr>
        <w:pStyle w:val="Heading5"/>
      </w:pPr>
      <w:bookmarkStart w:id="44" w:name="_Toc105658678"/>
      <w:r>
        <w:rPr>
          <w:rStyle w:val="CharSectno"/>
        </w:rPr>
        <w:t>19</w:t>
      </w:r>
      <w:r>
        <w:t>.</w:t>
      </w:r>
      <w:r>
        <w:tab/>
        <w:t>Decisions made on the papers</w:t>
      </w:r>
      <w:bookmarkEnd w:id="44"/>
    </w:p>
    <w:p>
      <w:pPr>
        <w:pStyle w:val="Subsection"/>
      </w:pPr>
      <w:r>
        <w:tab/>
        <w:t>(1)</w:t>
      </w:r>
      <w:r>
        <w:tab/>
        <w:t>This rule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keepNext/>
      </w:pPr>
      <w:r>
        <w:tab/>
        <w:t>(8)</w:t>
      </w:r>
      <w:r>
        <w:tab/>
        <w:t xml:space="preserve">Any right to appeal against, or to make an application as a result of or in respect of, a final decision on a matter cannot be </w:t>
      </w:r>
      <w:r>
        <w:lastRenderedPageBreak/>
        <w:t>exercised in relation to a provisional decision until it becomes a final decision.</w:t>
      </w:r>
    </w:p>
    <w:p>
      <w:pPr>
        <w:pStyle w:val="Footnotesection"/>
      </w:pPr>
      <w:r>
        <w:tab/>
        <w:t>[Rule 19 amended: Gazette 22 Aug 2017 p. 4543; SL 2022/60 r. 13.]</w:t>
      </w:r>
    </w:p>
    <w:p>
      <w:pPr>
        <w:pStyle w:val="Heading2"/>
      </w:pPr>
      <w:bookmarkStart w:id="45" w:name="_Toc105594985"/>
      <w:bookmarkStart w:id="46" w:name="_Toc105595102"/>
      <w:bookmarkStart w:id="47" w:name="_Toc105658679"/>
      <w:r>
        <w:rPr>
          <w:rStyle w:val="CharPartNo"/>
        </w:rPr>
        <w:lastRenderedPageBreak/>
        <w:t>Part 3</w:t>
      </w:r>
      <w:r>
        <w:t> — </w:t>
      </w:r>
      <w:r>
        <w:rPr>
          <w:rStyle w:val="CharPartText"/>
        </w:rPr>
        <w:t>Administrative matters</w:t>
      </w:r>
      <w:bookmarkEnd w:id="45"/>
      <w:bookmarkEnd w:id="46"/>
      <w:bookmarkEnd w:id="47"/>
    </w:p>
    <w:p>
      <w:pPr>
        <w:pStyle w:val="Heading5"/>
      </w:pPr>
      <w:bookmarkStart w:id="48" w:name="_Toc105658680"/>
      <w:r>
        <w:rPr>
          <w:rStyle w:val="CharSectno"/>
        </w:rPr>
        <w:t>20</w:t>
      </w:r>
      <w:r>
        <w:t>.</w:t>
      </w:r>
      <w:r>
        <w:tab/>
        <w:t>Completion of forms</w:t>
      </w:r>
      <w:bookmarkEnd w:id="48"/>
    </w:p>
    <w:p>
      <w:pPr>
        <w:pStyle w:val="Subsection"/>
      </w:pPr>
      <w:r>
        <w:tab/>
        <w:t>(1)</w:t>
      </w:r>
      <w:r>
        <w:tab/>
        <w:t>This rule is in addition to the RSC Order 69.</w:t>
      </w:r>
    </w:p>
    <w:p>
      <w:pPr>
        <w:pStyle w:val="Ednotesubsection"/>
      </w:pPr>
      <w:r>
        <w:tab/>
        <w:t>[(2)</w:t>
      </w:r>
      <w:r>
        <w:tab/>
        <w:t>deleted]</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Subsection"/>
        <w:keepNext/>
      </w:pPr>
      <w:r>
        <w:lastRenderedPageBreak/>
        <w:tab/>
        <w:t>(6)</w:t>
      </w:r>
      <w:r>
        <w:tab/>
        <w:t>A party completing a form in Schedule 1 must not attach a document to the form except as specifically provided for in rule 32, 33 or 67 or this rule.</w:t>
      </w:r>
    </w:p>
    <w:p>
      <w:pPr>
        <w:pStyle w:val="Footnotesection"/>
      </w:pPr>
      <w:r>
        <w:tab/>
        <w:t>[Rule 20 amended: Gazette 22 Aug 2017 p. 4520</w:t>
      </w:r>
      <w:r>
        <w:noBreakHyphen/>
        <w:t>1; SL 2021/34 r. 7; SL 2022/60 r. 14.]</w:t>
      </w:r>
    </w:p>
    <w:p>
      <w:pPr>
        <w:pStyle w:val="Heading5"/>
      </w:pPr>
      <w:bookmarkStart w:id="49" w:name="_Toc105658681"/>
      <w:r>
        <w:rPr>
          <w:rStyle w:val="CharSectno"/>
        </w:rPr>
        <w:t>21</w:t>
      </w:r>
      <w:r>
        <w:t>.</w:t>
      </w:r>
      <w:r>
        <w:tab/>
        <w:t>Filed documents, technical requirements</w:t>
      </w:r>
      <w:bookmarkEnd w:id="49"/>
    </w:p>
    <w:p>
      <w:pPr>
        <w:pStyle w:val="Subsection"/>
      </w:pPr>
      <w:r>
        <w:t>(1AA)</w:t>
      </w:r>
      <w:r>
        <w:tab/>
        <w:t>For the purposes of documents filed electronically, this rule applies with any necessary changes.</w:t>
      </w:r>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lastRenderedPageBreak/>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 SL 2021/34 r. 8.]</w:t>
      </w:r>
    </w:p>
    <w:p>
      <w:pPr>
        <w:pStyle w:val="Heading5"/>
      </w:pPr>
      <w:bookmarkStart w:id="50" w:name="_Toc105658682"/>
      <w:r>
        <w:rPr>
          <w:rStyle w:val="CharSectno"/>
        </w:rPr>
        <w:t>22</w:t>
      </w:r>
      <w:r>
        <w:t>.</w:t>
      </w:r>
      <w:r>
        <w:tab/>
        <w:t>Filed documents to be served</w:t>
      </w:r>
      <w:bookmarkEnd w:id="50"/>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pPr>
      <w:bookmarkStart w:id="51" w:name="_Toc105658683"/>
      <w:r>
        <w:rPr>
          <w:rStyle w:val="CharSectno"/>
        </w:rPr>
        <w:t>22A</w:t>
      </w:r>
      <w:r>
        <w:t>.</w:t>
      </w:r>
      <w:r>
        <w:tab/>
        <w:t>Service of documents</w:t>
      </w:r>
      <w:bookmarkEnd w:id="51"/>
    </w:p>
    <w:p>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pPr>
        <w:pStyle w:val="Indenta"/>
      </w:pPr>
      <w:r>
        <w:tab/>
        <w:t>(a)</w:t>
      </w:r>
      <w:r>
        <w:tab/>
        <w:t>by posting the document by pre</w:t>
      </w:r>
      <w:r>
        <w:noBreakHyphen/>
        <w:t>paid post to the address for service of the person or the address of the court; or</w:t>
      </w:r>
    </w:p>
    <w:p>
      <w:pPr>
        <w:pStyle w:val="Indenta"/>
      </w:pPr>
      <w:r>
        <w:tab/>
        <w:t>(b)</w:t>
      </w:r>
      <w:r>
        <w:tab/>
        <w:t>if the person has given a fax number for service or the court has a fax number — by sending the document to the person or court at that number; or</w:t>
      </w:r>
    </w:p>
    <w:p>
      <w:pPr>
        <w:pStyle w:val="Indenta"/>
      </w:pPr>
      <w:r>
        <w:tab/>
        <w:t>(c)</w:t>
      </w:r>
      <w:r>
        <w:tab/>
        <w:t xml:space="preserve">if the person has given an email address for service or the court has an email address — by sending the </w:t>
      </w:r>
      <w:r>
        <w:lastRenderedPageBreak/>
        <w:t>document to the person or court as an attachment to an email sent to that address; or</w:t>
      </w:r>
    </w:p>
    <w:p>
      <w:pPr>
        <w:pStyle w:val="Indenta"/>
        <w:keepNext/>
      </w:pPr>
      <w:r>
        <w:tab/>
        <w:t>(d)</w:t>
      </w:r>
      <w:r>
        <w:tab/>
        <w:t xml:space="preserve">if the person or court is an authorised user of the ECMS — </w:t>
      </w:r>
    </w:p>
    <w:p>
      <w:pPr>
        <w:pStyle w:val="Indenti"/>
      </w:pPr>
      <w:r>
        <w:tab/>
        <w:t>(i)</w:t>
      </w:r>
      <w:r>
        <w:tab/>
        <w:t>by putting the document in an electronic mailbox maintained by the Court; and</w:t>
      </w:r>
    </w:p>
    <w:p>
      <w:pPr>
        <w:pStyle w:val="Indenti"/>
      </w:pPr>
      <w:r>
        <w:tab/>
        <w:t>(ii)</w:t>
      </w:r>
      <w:r>
        <w:tab/>
        <w:t>by sending to the email address of the person or court recorded on the ECMS an email that says the document is in the mailbox.</w:t>
      </w:r>
    </w:p>
    <w:p>
      <w:pPr>
        <w:pStyle w:val="Footnotesection"/>
      </w:pPr>
      <w:r>
        <w:tab/>
        <w:t>[Rule 22A inserted: SL 2021/34 r. 9.]</w:t>
      </w:r>
    </w:p>
    <w:p>
      <w:pPr>
        <w:pStyle w:val="Heading2"/>
      </w:pPr>
      <w:bookmarkStart w:id="52" w:name="_Toc105594990"/>
      <w:bookmarkStart w:id="53" w:name="_Toc105595107"/>
      <w:bookmarkStart w:id="54" w:name="_Toc105658684"/>
      <w:r>
        <w:rPr>
          <w:rStyle w:val="CharPartNo"/>
        </w:rPr>
        <w:lastRenderedPageBreak/>
        <w:t>Part 4</w:t>
      </w:r>
      <w:r>
        <w:rPr>
          <w:rStyle w:val="CharDivNo"/>
        </w:rPr>
        <w:t> </w:t>
      </w:r>
      <w:r>
        <w:t>—</w:t>
      </w:r>
      <w:r>
        <w:rPr>
          <w:rStyle w:val="CharDivText"/>
        </w:rPr>
        <w:t> </w:t>
      </w:r>
      <w:r>
        <w:rPr>
          <w:rStyle w:val="CharPartText"/>
        </w:rPr>
        <w:t>Duties of lawyers who act for parties</w:t>
      </w:r>
      <w:bookmarkEnd w:id="52"/>
      <w:bookmarkEnd w:id="53"/>
      <w:bookmarkEnd w:id="54"/>
    </w:p>
    <w:p>
      <w:pPr>
        <w:pStyle w:val="Heading5"/>
      </w:pPr>
      <w:bookmarkStart w:id="55" w:name="_Toc105658685"/>
      <w:r>
        <w:rPr>
          <w:rStyle w:val="CharSectno"/>
        </w:rPr>
        <w:t>23</w:t>
      </w:r>
      <w:r>
        <w:t>.</w:t>
      </w:r>
      <w:r>
        <w:tab/>
        <w:t>Duty to notify when acting for a party</w:t>
      </w:r>
      <w:bookmarkEnd w:id="55"/>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56" w:name="_Toc105658686"/>
      <w:r>
        <w:rPr>
          <w:rStyle w:val="CharSectno"/>
        </w:rPr>
        <w:t>24</w:t>
      </w:r>
      <w:r>
        <w:t>.</w:t>
      </w:r>
      <w:r>
        <w:tab/>
        <w:t>Presumptions as to who is acting for a party</w:t>
      </w:r>
      <w:bookmarkEnd w:id="56"/>
    </w:p>
    <w:p>
      <w:pPr>
        <w:pStyle w:val="Subsection"/>
      </w:pPr>
      <w:r>
        <w:tab/>
        <w:t>(1)</w:t>
      </w:r>
      <w:r>
        <w:tab/>
        <w:t xml:space="preserve">A lawyer who is said to be acting for a party by reason of a Form 1, 2, 4 or 5 that has been filed is to be taken to be acting for the party until — </w:t>
      </w:r>
    </w:p>
    <w:p>
      <w:pPr>
        <w:pStyle w:val="Indenta"/>
      </w:pPr>
      <w:r>
        <w:tab/>
        <w:t>(a)</w:t>
      </w:r>
      <w:r>
        <w:tab/>
        <w:t xml:space="preserve">another lawyer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lawyer to cease to act.</w:t>
      </w:r>
    </w:p>
    <w:p>
      <w:pPr>
        <w:pStyle w:val="Subsection"/>
      </w:pPr>
      <w:r>
        <w:tab/>
        <w:t>(2)</w:t>
      </w:r>
      <w:r>
        <w:tab/>
        <w:t>If the Court of Appeal gives leave for a lawyer to cease to act for a party, the lawyer is taken to be continuing to act for the party until the lawyer has complied with subrule (3).</w:t>
      </w:r>
    </w:p>
    <w:p>
      <w:pPr>
        <w:pStyle w:val="Subsection"/>
      </w:pPr>
      <w:r>
        <w:tab/>
        <w:t>(3)</w:t>
      </w:r>
      <w:r>
        <w:tab/>
        <w:t>The lawyer must —</w:t>
      </w:r>
    </w:p>
    <w:p>
      <w:pPr>
        <w:pStyle w:val="Indenta"/>
      </w:pPr>
      <w:r>
        <w:tab/>
        <w:t>(a)</w:t>
      </w:r>
      <w:r>
        <w:tab/>
        <w:t>serve the order giving leave on the party; and</w:t>
      </w:r>
    </w:p>
    <w:p>
      <w:pPr>
        <w:pStyle w:val="Indenta"/>
      </w:pPr>
      <w:r>
        <w:tab/>
        <w:t>(b)</w:t>
      </w:r>
      <w:r>
        <w:tab/>
        <w:t>file a Form 5A (Service certificate by lawyer ceasing to act) that —</w:t>
      </w:r>
    </w:p>
    <w:p>
      <w:pPr>
        <w:pStyle w:val="Indenti"/>
      </w:pPr>
      <w:r>
        <w:tab/>
        <w:t>(i)</w:t>
      </w:r>
      <w:r>
        <w:tab/>
        <w:t>certifies the party has been served; and</w:t>
      </w:r>
    </w:p>
    <w:p>
      <w:pPr>
        <w:pStyle w:val="Indenti"/>
      </w:pPr>
      <w:r>
        <w:tab/>
        <w:t>(ii)</w:t>
      </w:r>
      <w:r>
        <w:tab/>
        <w:t>states the party’s last known geographical address in accordance with Order 71A rule 2 of the RSC; and</w:t>
      </w:r>
    </w:p>
    <w:p>
      <w:pPr>
        <w:pStyle w:val="Indenti"/>
      </w:pPr>
      <w:r>
        <w:tab/>
        <w:t>(iii)</w:t>
      </w:r>
      <w:r>
        <w:tab/>
        <w:t>states an email address used by the party (if known).</w:t>
      </w:r>
    </w:p>
    <w:p>
      <w:pPr>
        <w:pStyle w:val="Subsection"/>
        <w:keepNext/>
      </w:pPr>
      <w:r>
        <w:lastRenderedPageBreak/>
        <w:tab/>
        <w:t>(4)</w:t>
      </w:r>
      <w:r>
        <w:tab/>
        <w:t>The last known geographical address of the party stated in Form 5A is taken to be the party’s service details until —</w:t>
      </w:r>
    </w:p>
    <w:p>
      <w:pPr>
        <w:pStyle w:val="Indenta"/>
      </w:pPr>
      <w:r>
        <w:tab/>
        <w:t>(a)</w:t>
      </w:r>
      <w:r>
        <w:tab/>
        <w:t>another lawyer files a Form 5 under rule 23 giving notice that the lawyer is acting for the party; or</w:t>
      </w:r>
    </w:p>
    <w:p>
      <w:pPr>
        <w:pStyle w:val="Indenta"/>
      </w:pPr>
      <w:r>
        <w:tab/>
        <w:t>(b)</w:t>
      </w:r>
      <w:r>
        <w:tab/>
        <w:t>the party files a Form 6 notifying the Court of Appeal that the party is self</w:t>
      </w:r>
      <w:r>
        <w:noBreakHyphen/>
        <w:t>represented.</w:t>
      </w:r>
    </w:p>
    <w:p>
      <w:pPr>
        <w:pStyle w:val="Subsection"/>
      </w:pPr>
      <w:r>
        <w:tab/>
        <w:t>(5)</w:t>
      </w:r>
      <w:r>
        <w:tab/>
        <w:t>Within 7 days after the party is served under subrule (3)(a), the party must file a Form 6 notifying the Court of Appeal that the party is self</w:t>
      </w:r>
      <w:r>
        <w:noBreakHyphen/>
        <w:t>represented.</w:t>
      </w:r>
    </w:p>
    <w:p>
      <w:pPr>
        <w:pStyle w:val="Subsection"/>
        <w:rPr>
          <w:rStyle w:val="DraftersNotes"/>
          <w:b w:val="0"/>
          <w:i w:val="0"/>
          <w:sz w:val="24"/>
        </w:rPr>
      </w:pPr>
      <w:r>
        <w:tab/>
        <w:t>(6)</w:t>
      </w:r>
      <w:r>
        <w:tab/>
        <w:t>Subrule (5) does not apply if, within the period referred to in subrule (5), a lawyer files a Form 5 under rule 23 giving notice that the lawyer is acting for the party.</w:t>
      </w:r>
    </w:p>
    <w:p>
      <w:pPr>
        <w:pStyle w:val="Footnotesection"/>
      </w:pPr>
      <w:r>
        <w:tab/>
        <w:t>[Rule 24 amended: Gazette 22 Aug 2017 p. 4522</w:t>
      </w:r>
      <w:r>
        <w:noBreakHyphen/>
        <w:t>3; SL 2022/60 r. 15.]</w:t>
      </w:r>
    </w:p>
    <w:p>
      <w:pPr>
        <w:pStyle w:val="Heading2"/>
      </w:pPr>
      <w:bookmarkStart w:id="57" w:name="_Toc105594993"/>
      <w:bookmarkStart w:id="58" w:name="_Toc105595110"/>
      <w:bookmarkStart w:id="59" w:name="_Toc105658687"/>
      <w:r>
        <w:rPr>
          <w:rStyle w:val="CharPartNo"/>
        </w:rPr>
        <w:lastRenderedPageBreak/>
        <w:t>Part 5</w:t>
      </w:r>
      <w:r>
        <w:t> — </w:t>
      </w:r>
      <w:r>
        <w:rPr>
          <w:rStyle w:val="CharPartText"/>
        </w:rPr>
        <w:t>Procedure for appeals</w:t>
      </w:r>
      <w:bookmarkEnd w:id="57"/>
      <w:bookmarkEnd w:id="58"/>
      <w:bookmarkEnd w:id="59"/>
    </w:p>
    <w:p>
      <w:pPr>
        <w:pStyle w:val="Heading3"/>
      </w:pPr>
      <w:bookmarkStart w:id="60" w:name="_Toc105594994"/>
      <w:bookmarkStart w:id="61" w:name="_Toc105595111"/>
      <w:bookmarkStart w:id="62" w:name="_Toc105658688"/>
      <w:r>
        <w:rPr>
          <w:rStyle w:val="CharDivNo"/>
        </w:rPr>
        <w:t>Division 1</w:t>
      </w:r>
      <w:r>
        <w:t> — </w:t>
      </w:r>
      <w:r>
        <w:rPr>
          <w:rStyle w:val="CharDivText"/>
        </w:rPr>
        <w:t>General</w:t>
      </w:r>
      <w:bookmarkEnd w:id="60"/>
      <w:bookmarkEnd w:id="61"/>
      <w:bookmarkEnd w:id="62"/>
    </w:p>
    <w:p>
      <w:pPr>
        <w:pStyle w:val="Heading5"/>
      </w:pPr>
      <w:bookmarkStart w:id="63" w:name="_Toc105658689"/>
      <w:r>
        <w:rPr>
          <w:rStyle w:val="CharSectno"/>
        </w:rPr>
        <w:t>25</w:t>
      </w:r>
      <w:r>
        <w:t>.</w:t>
      </w:r>
      <w:r>
        <w:tab/>
        <w:t>Nature of appeals</w:t>
      </w:r>
      <w:bookmarkEnd w:id="63"/>
    </w:p>
    <w:p>
      <w:pPr>
        <w:pStyle w:val="Subsection"/>
      </w:pPr>
      <w:r>
        <w:tab/>
      </w:r>
      <w:r>
        <w:tab/>
        <w:t>An appeal to the Court of Appeal will be by way of a rehearing unless another written law provides otherwise.</w:t>
      </w:r>
    </w:p>
    <w:p>
      <w:pPr>
        <w:pStyle w:val="Heading5"/>
      </w:pPr>
      <w:bookmarkStart w:id="64" w:name="_Toc105658690"/>
      <w:r>
        <w:rPr>
          <w:rStyle w:val="CharSectno"/>
        </w:rPr>
        <w:t>26</w:t>
      </w:r>
      <w:r>
        <w:t>.</w:t>
      </w:r>
      <w:r>
        <w:tab/>
        <w:t>Time for appealing</w:t>
      </w:r>
      <w:bookmarkEnd w:id="64"/>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65" w:name="_Toc105658691"/>
      <w:r>
        <w:rPr>
          <w:rStyle w:val="CharSectno"/>
        </w:rPr>
        <w:t>26A</w:t>
      </w:r>
      <w:r>
        <w:t>.</w:t>
      </w:r>
      <w:r>
        <w:tab/>
        <w:t>Parties to appeals</w:t>
      </w:r>
      <w:bookmarkEnd w:id="65"/>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66" w:name="_Toc105594998"/>
      <w:bookmarkStart w:id="67" w:name="_Toc105595115"/>
      <w:bookmarkStart w:id="68" w:name="_Toc105658692"/>
      <w:r>
        <w:rPr>
          <w:rStyle w:val="CharDivNo"/>
        </w:rPr>
        <w:t>Division 2</w:t>
      </w:r>
      <w:r>
        <w:t> — </w:t>
      </w:r>
      <w:r>
        <w:rPr>
          <w:rStyle w:val="CharDivText"/>
        </w:rPr>
        <w:t>Commencing an appeal</w:t>
      </w:r>
      <w:bookmarkEnd w:id="66"/>
      <w:bookmarkEnd w:id="67"/>
      <w:bookmarkEnd w:id="68"/>
    </w:p>
    <w:p>
      <w:pPr>
        <w:pStyle w:val="Heading5"/>
      </w:pPr>
      <w:bookmarkStart w:id="69" w:name="_Toc105658693"/>
      <w:r>
        <w:rPr>
          <w:rStyle w:val="CharSectno"/>
        </w:rPr>
        <w:t>27</w:t>
      </w:r>
      <w:r>
        <w:t>.</w:t>
      </w:r>
      <w:r>
        <w:tab/>
        <w:t>When an appeal is taken to be commenced</w:t>
      </w:r>
      <w:bookmarkEnd w:id="69"/>
    </w:p>
    <w:p>
      <w:pPr>
        <w:pStyle w:val="Subsection"/>
      </w:pPr>
      <w:r>
        <w:tab/>
      </w:r>
      <w:r>
        <w:tab/>
        <w:t xml:space="preserve">An appeal is not commenced until an appeal notice (with any other document required by rule 28 or 29) has been both filed </w:t>
      </w:r>
      <w:r>
        <w:lastRenderedPageBreak/>
        <w:t>and served in accordance with rule 28 or 29, as the case requires.</w:t>
      </w:r>
    </w:p>
    <w:p>
      <w:pPr>
        <w:pStyle w:val="Heading5"/>
      </w:pPr>
      <w:bookmarkStart w:id="70" w:name="_Toc105658694"/>
      <w:r>
        <w:rPr>
          <w:rStyle w:val="CharSectno"/>
        </w:rPr>
        <w:t>28</w:t>
      </w:r>
      <w:r>
        <w:t>.</w:t>
      </w:r>
      <w:r>
        <w:tab/>
        <w:t>How to commence criminal appeal</w:t>
      </w:r>
      <w:bookmarkEnd w:id="70"/>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 fax or email.</w:t>
      </w:r>
    </w:p>
    <w:p>
      <w:pPr>
        <w:pStyle w:val="Subsection"/>
      </w:pPr>
      <w:r>
        <w:tab/>
        <w:t>(7)</w:t>
      </w:r>
      <w:r>
        <w:tab/>
        <w:t>As soon as practicable after serving the respondent the appellant must file a Form 3 (Service certificate).</w:t>
      </w:r>
    </w:p>
    <w:p>
      <w:pPr>
        <w:pStyle w:val="Subsection"/>
        <w:keepNext/>
      </w:pPr>
      <w:r>
        <w:lastRenderedPageBreak/>
        <w:tab/>
        <w:t>(8)</w:t>
      </w:r>
      <w:r>
        <w:tab/>
        <w:t xml:space="preserve">This rule does not affect the operation of the </w:t>
      </w:r>
      <w:r>
        <w:rPr>
          <w:i/>
        </w:rPr>
        <w:t>Criminal Appeals Act 2004</w:t>
      </w:r>
      <w:r>
        <w:t xml:space="preserve"> section 28.</w:t>
      </w:r>
    </w:p>
    <w:p>
      <w:pPr>
        <w:pStyle w:val="Footnotesection"/>
      </w:pPr>
      <w:r>
        <w:tab/>
        <w:t>[Rule 28 amended: SL 2022/60 r. 16.]</w:t>
      </w:r>
    </w:p>
    <w:p>
      <w:pPr>
        <w:pStyle w:val="Heading5"/>
      </w:pPr>
      <w:bookmarkStart w:id="71" w:name="_Toc105658695"/>
      <w:r>
        <w:rPr>
          <w:rStyle w:val="CharSectno"/>
        </w:rPr>
        <w:t>29</w:t>
      </w:r>
      <w:r>
        <w:t>.</w:t>
      </w:r>
      <w:r>
        <w:tab/>
        <w:t>Civil appeal, how to commence</w:t>
      </w:r>
      <w:bookmarkEnd w:id="71"/>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 (Service certificate).</w:t>
      </w:r>
    </w:p>
    <w:p>
      <w:pPr>
        <w:pStyle w:val="Footnotesection"/>
      </w:pPr>
      <w:r>
        <w:tab/>
        <w:t>[Rule 29 amended: Gazette 22 Aug 2017 p. 4523.]</w:t>
      </w:r>
    </w:p>
    <w:p>
      <w:pPr>
        <w:pStyle w:val="Heading5"/>
      </w:pPr>
      <w:bookmarkStart w:id="72" w:name="_Toc105658696"/>
      <w:r>
        <w:rPr>
          <w:rStyle w:val="CharSectno"/>
        </w:rPr>
        <w:lastRenderedPageBreak/>
        <w:t>30</w:t>
      </w:r>
      <w:r>
        <w:t>.</w:t>
      </w:r>
      <w:r>
        <w:tab/>
        <w:t>Primary court to be notified and to supply records</w:t>
      </w:r>
      <w:bookmarkEnd w:id="72"/>
    </w:p>
    <w:p>
      <w:pPr>
        <w:pStyle w:val="Ednotesubsection"/>
        <w:keepNext/>
      </w:pPr>
      <w:r>
        <w:tab/>
        <w:t>[(1)</w:t>
      </w:r>
      <w:r>
        <w:tab/>
        <w:t>deleted]</w:t>
      </w:r>
    </w:p>
    <w:p>
      <w:pPr>
        <w:pStyle w:val="Subsection"/>
        <w:keepNext/>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 SL 2022/60 r. 17.]</w:t>
      </w:r>
    </w:p>
    <w:p>
      <w:pPr>
        <w:pStyle w:val="Heading5"/>
      </w:pPr>
      <w:bookmarkStart w:id="73" w:name="_Toc105658697"/>
      <w:r>
        <w:rPr>
          <w:rStyle w:val="CharSectno"/>
        </w:rPr>
        <w:t>31</w:t>
      </w:r>
      <w:r>
        <w:t>.</w:t>
      </w:r>
      <w:r>
        <w:tab/>
        <w:t>Respondent’s options</w:t>
      </w:r>
      <w:bookmarkEnd w:id="73"/>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keepNext/>
      </w:pPr>
      <w:r>
        <w:lastRenderedPageBreak/>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74" w:name="_Toc105658698"/>
      <w:r>
        <w:rPr>
          <w:rStyle w:val="CharSectno"/>
        </w:rPr>
        <w:t>31A</w:t>
      </w:r>
      <w:r>
        <w:t>.</w:t>
      </w:r>
      <w:r>
        <w:tab/>
        <w:t>Cross appeals</w:t>
      </w:r>
      <w:bookmarkEnd w:id="74"/>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75" w:name="_Toc105658699"/>
      <w:r>
        <w:rPr>
          <w:rStyle w:val="CharSectno"/>
        </w:rPr>
        <w:lastRenderedPageBreak/>
        <w:t>32</w:t>
      </w:r>
      <w:r>
        <w:t>.</w:t>
      </w:r>
      <w:r>
        <w:tab/>
        <w:t>“Appellant’s case” to be filed</w:t>
      </w:r>
      <w:bookmarkEnd w:id="75"/>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14 days after the date on which the appeal notice is filed;</w:t>
      </w:r>
    </w:p>
    <w:p>
      <w:pPr>
        <w:pStyle w:val="Indenta"/>
      </w:pPr>
      <w:r>
        <w:tab/>
        <w:t>(b)</w:t>
      </w:r>
      <w:r>
        <w:tab/>
        <w:t>in any other appeal, within 35 days after the date on which the appeal notice is filed.</w:t>
      </w:r>
    </w:p>
    <w:p>
      <w:pPr>
        <w:pStyle w:val="Subsection"/>
        <w:keepNext/>
      </w:pPr>
      <w:r>
        <w:tab/>
        <w:t>(3)</w:t>
      </w:r>
      <w:r>
        <w:tab/>
        <w:t xml:space="preserve">The appellant’s case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lastRenderedPageBreak/>
        <w:tab/>
        <w:t>(b)</w:t>
      </w:r>
      <w:r>
        <w:tab/>
        <w:t xml:space="preserve">must state the grounds, and concise particulars of them, succinctly in numbered paragraphs and must not merely allege — </w:t>
      </w:r>
    </w:p>
    <w:p>
      <w:pPr>
        <w:pStyle w:val="Indenti"/>
      </w:pPr>
      <w:r>
        <w:tab/>
        <w:t>(i)</w:t>
      </w:r>
      <w:r>
        <w:tab/>
        <w:t>that the primary court erred in fact or in law; or</w:t>
      </w:r>
    </w:p>
    <w:p>
      <w:pPr>
        <w:pStyle w:val="Indenti"/>
      </w:pPr>
      <w:r>
        <w:tab/>
        <w:t>(ii)</w:t>
      </w:r>
      <w:r>
        <w:tab/>
        <w:t>that the primary court’s decision is against the evidence or the weight of evidence or is unreasonable and cannot be supported having regard to the evidence; or</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lastRenderedPageBreak/>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lastRenderedPageBreak/>
        <w:tab/>
        <w:t>(d)</w:t>
      </w:r>
      <w:r>
        <w:tab/>
        <w:t>for each judgment listed, include —</w:t>
      </w:r>
    </w:p>
    <w:p>
      <w:pPr>
        <w:pStyle w:val="Indenti"/>
      </w:pPr>
      <w:r>
        <w:tab/>
        <w:t>(i)</w:t>
      </w:r>
      <w:r>
        <w:tab/>
        <w:t>1</w:t>
      </w:r>
      <w:r>
        <w:rPr>
          <w:vertAlign w:val="superscript"/>
        </w:rPr>
        <w:t>st</w:t>
      </w:r>
      <w:r>
        <w:t>, its medium neutral citation (if any) and any numbered paragraph of it that is a relevant passage; and</w:t>
      </w:r>
    </w:p>
    <w:p>
      <w:pPr>
        <w:pStyle w:val="Indenti"/>
      </w:pPr>
      <w:r>
        <w:tab/>
        <w:t>(ii)</w:t>
      </w:r>
      <w:r>
        <w:tab/>
        <w:t>2</w:t>
      </w:r>
      <w:r>
        <w:rPr>
          <w:vertAlign w:val="superscript"/>
        </w:rPr>
        <w:t>nd</w:t>
      </w:r>
      <w:r>
        <w:t>, its citation in an authorised law report (if any) and any numbered paragraph of it that is a relevant passage or, if there are no numbered paragraphs, any page of it on which is a relevant passage;</w:t>
      </w:r>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WASCA 413 at [106]; (2000) 23 WAR 254 at [106].</w:t>
      </w:r>
      <w:r>
        <w:rPr>
          <w:rFonts w:ascii="Arial" w:hAnsi="Arial" w:cs="Arial"/>
          <w:sz w:val="18"/>
          <w:szCs w:val="18"/>
        </w:rPr>
        <w:br/>
        <w:t>4. Talbot v Lane (1994) 14 WAR 120 at 153.]</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 SL 2022/60 r. 18.]</w:t>
      </w:r>
    </w:p>
    <w:p>
      <w:pPr>
        <w:pStyle w:val="Heading5"/>
      </w:pPr>
      <w:bookmarkStart w:id="76" w:name="_Toc105658700"/>
      <w:r>
        <w:rPr>
          <w:rStyle w:val="CharSectno"/>
        </w:rPr>
        <w:lastRenderedPageBreak/>
        <w:t>33</w:t>
      </w:r>
      <w:r>
        <w:t>.</w:t>
      </w:r>
      <w:r>
        <w:tab/>
        <w:t>“Respondent’s answer” to be filed</w:t>
      </w:r>
      <w:bookmarkEnd w:id="76"/>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lastRenderedPageBreak/>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 xml:space="preserve">state succinctly in numbered paragraphs each ground, not relied on by the primary court, on which the </w:t>
      </w:r>
      <w:r>
        <w:lastRenderedPageBreak/>
        <w:t>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p>
    <w:p>
      <w:pPr>
        <w:pStyle w:val="Heading5"/>
      </w:pPr>
      <w:bookmarkStart w:id="77" w:name="_Toc105658701"/>
      <w:r>
        <w:rPr>
          <w:rStyle w:val="CharSectno"/>
        </w:rPr>
        <w:lastRenderedPageBreak/>
        <w:t>34</w:t>
      </w:r>
      <w:r>
        <w:t>.</w:t>
      </w:r>
      <w:r>
        <w:tab/>
        <w:t>Appellant’s reply to notice of contention, when required</w:t>
      </w:r>
      <w:bookmarkEnd w:id="77"/>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p>
    <w:p>
      <w:pPr>
        <w:pStyle w:val="Heading3"/>
      </w:pPr>
      <w:bookmarkStart w:id="78" w:name="_Toc105595008"/>
      <w:bookmarkStart w:id="79" w:name="_Toc105595125"/>
      <w:bookmarkStart w:id="80" w:name="_Toc105658702"/>
      <w:r>
        <w:rPr>
          <w:rStyle w:val="CharDivNo"/>
        </w:rPr>
        <w:t>Division 3</w:t>
      </w:r>
      <w:r>
        <w:t> — </w:t>
      </w:r>
      <w:r>
        <w:rPr>
          <w:rStyle w:val="CharDivText"/>
        </w:rPr>
        <w:t>Appeal books</w:t>
      </w:r>
      <w:bookmarkEnd w:id="78"/>
      <w:bookmarkEnd w:id="79"/>
      <w:bookmarkEnd w:id="80"/>
    </w:p>
    <w:p>
      <w:pPr>
        <w:pStyle w:val="Heading5"/>
      </w:pPr>
      <w:bookmarkStart w:id="81" w:name="_Toc105658703"/>
      <w:r>
        <w:rPr>
          <w:rStyle w:val="CharSectno"/>
        </w:rPr>
        <w:t>35</w:t>
      </w:r>
      <w:r>
        <w:t>.</w:t>
      </w:r>
      <w:r>
        <w:tab/>
        <w:t>Appeal book, when required</w:t>
      </w:r>
      <w:bookmarkEnd w:id="81"/>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lastRenderedPageBreak/>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82" w:name="_Toc105658704"/>
      <w:r>
        <w:rPr>
          <w:rStyle w:val="CharSectno"/>
        </w:rPr>
        <w:t>36</w:t>
      </w:r>
      <w:r>
        <w:t>.</w:t>
      </w:r>
      <w:r>
        <w:tab/>
        <w:t>Settling of indexes</w:t>
      </w:r>
      <w:bookmarkEnd w:id="82"/>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Ednotepara"/>
      </w:pPr>
      <w:r>
        <w:tab/>
        <w:t>[(a)</w:t>
      </w:r>
      <w:r>
        <w:tab/>
        <w:t>deleted]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lastRenderedPageBreak/>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to order a party or parties, or direct the Court of Appeal Office, to prepare the appeal book.</w:t>
      </w:r>
    </w:p>
    <w:p>
      <w:pPr>
        <w:pStyle w:val="Subsection"/>
      </w:pPr>
      <w:r>
        <w:tab/>
        <w:t>(4)</w:t>
      </w:r>
      <w:r>
        <w:tab/>
        <w:t>If a registrar settles the appeal book indexes in the absence of a party the registrar must give the party a copy of them.</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 SL 2021/34 r. 10; SL 2022/60 r. 19.]</w:t>
      </w:r>
    </w:p>
    <w:p>
      <w:pPr>
        <w:pStyle w:val="Heading5"/>
      </w:pPr>
      <w:bookmarkStart w:id="83" w:name="_Toc105658705"/>
      <w:r>
        <w:rPr>
          <w:rStyle w:val="CharSectno"/>
        </w:rPr>
        <w:t>37</w:t>
      </w:r>
      <w:r>
        <w:t>.</w:t>
      </w:r>
      <w:r>
        <w:tab/>
        <w:t>Appeal book, general provisions</w:t>
      </w:r>
      <w:bookmarkEnd w:id="83"/>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84" w:name="_Toc105658706"/>
      <w:r>
        <w:rPr>
          <w:rStyle w:val="CharSectno"/>
        </w:rPr>
        <w:t>38</w:t>
      </w:r>
      <w:r>
        <w:t>.</w:t>
      </w:r>
      <w:r>
        <w:tab/>
        <w:t>Appeal book, contents of</w:t>
      </w:r>
      <w:bookmarkEnd w:id="84"/>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lastRenderedPageBreak/>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lastRenderedPageBreak/>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(d)</w:t>
      </w:r>
      <w:r>
        <w:tab/>
        <w:t>a copy of those documentary exhibits in the primary court required by subrule (4A) arranged in accordance with subrule (5);</w:t>
      </w:r>
    </w:p>
    <w:p>
      <w:pPr>
        <w:pStyle w:val="Indenta"/>
      </w:pPr>
      <w:r>
        <w:lastRenderedPageBreak/>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a registrar orders to be included.</w:t>
      </w:r>
    </w:p>
    <w:p>
      <w:pPr>
        <w:pStyle w:val="Subsection"/>
      </w:pPr>
      <w:r>
        <w:tab/>
        <w:t>(4A)</w:t>
      </w:r>
      <w:r>
        <w:tab/>
        <w:t>In the Green Appeal Book, the documents referred to in subrule (4)(c)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p>
    <w:p>
      <w:pPr>
        <w:pStyle w:val="Heading5"/>
      </w:pPr>
      <w:bookmarkStart w:id="85" w:name="_Toc105658707"/>
      <w:r>
        <w:rPr>
          <w:rStyle w:val="CharSectno"/>
        </w:rPr>
        <w:t>39</w:t>
      </w:r>
      <w:r>
        <w:t>.</w:t>
      </w:r>
      <w:r>
        <w:tab/>
        <w:t>Technical requirements for appeal books</w:t>
      </w:r>
      <w:bookmarkEnd w:id="85"/>
    </w:p>
    <w:p>
      <w:pPr>
        <w:pStyle w:val="Subsection"/>
      </w:pPr>
      <w:r>
        <w:t>(1AA)</w:t>
      </w:r>
      <w:r>
        <w:tab/>
        <w:t>For the purposes of documents filed electronically, this rule applies with any necessary changes.</w:t>
      </w:r>
    </w:p>
    <w:p>
      <w:pPr>
        <w:pStyle w:val="Subsection"/>
      </w:pPr>
      <w:r>
        <w:lastRenderedPageBreak/>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Ednotepara"/>
      </w:pPr>
      <w:r>
        <w:tab/>
        <w:t>[(e)</w:t>
      </w:r>
      <w:r>
        <w:tab/>
        <w:t>deleted]</w:t>
      </w:r>
    </w:p>
    <w:p>
      <w:pPr>
        <w:pStyle w:val="Indenta"/>
      </w:pPr>
      <w:r>
        <w:tab/>
        <w:t>(f)</w:t>
      </w:r>
      <w:r>
        <w:tab/>
        <w:t>must be bound so that when it is opened at a page, both sides of the volume lie flat and open at the page.</w:t>
      </w:r>
    </w:p>
    <w:p>
      <w:pPr>
        <w:pStyle w:val="Subsection"/>
      </w:pPr>
      <w:r>
        <w:tab/>
        <w:t>(4A)</w:t>
      </w:r>
      <w:r>
        <w:tab/>
        <w:t xml:space="preserve">If an appeal book is filed under the RSC Order 67A using the ECMS, each volume of each part of the appeal book — </w:t>
      </w:r>
    </w:p>
    <w:p>
      <w:pPr>
        <w:pStyle w:val="Indenta"/>
      </w:pPr>
      <w:r>
        <w:tab/>
        <w:t>(a)</w:t>
      </w:r>
      <w:r>
        <w:tab/>
        <w:t>must not be greater than 200 megabytes; and</w:t>
      </w:r>
    </w:p>
    <w:p>
      <w:pPr>
        <w:pStyle w:val="Indenta"/>
      </w:pPr>
      <w:r>
        <w:tab/>
        <w:t>(b)</w:t>
      </w:r>
      <w:r>
        <w:tab/>
        <w:t>must contain a colour version of a document if the original is a colour document; and</w:t>
      </w:r>
    </w:p>
    <w:p>
      <w:pPr>
        <w:pStyle w:val="Indenta"/>
      </w:pPr>
      <w:r>
        <w:lastRenderedPageBreak/>
        <w:tab/>
        <w:t>(c)</w:t>
      </w:r>
      <w:r>
        <w:tab/>
        <w:t>must be in a form that allows the text to be electronically searchable.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 SL 2021/34 r. 11; SL 2022/60 r. 20.]</w:t>
      </w:r>
    </w:p>
    <w:p>
      <w:pPr>
        <w:pStyle w:val="Heading5"/>
      </w:pPr>
      <w:bookmarkStart w:id="86" w:name="_Toc105658708"/>
      <w:r>
        <w:rPr>
          <w:rStyle w:val="CharSectno"/>
        </w:rPr>
        <w:t>40</w:t>
      </w:r>
      <w:r>
        <w:t>.</w:t>
      </w:r>
      <w:r>
        <w:tab/>
        <w:t>Sentence appeal, appeal book for</w:t>
      </w:r>
      <w:bookmarkEnd w:id="86"/>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87" w:name="_Toc105658709"/>
      <w:r>
        <w:rPr>
          <w:rStyle w:val="CharSectno"/>
        </w:rPr>
        <w:lastRenderedPageBreak/>
        <w:t>41</w:t>
      </w:r>
      <w:r>
        <w:t>.</w:t>
      </w:r>
      <w:r>
        <w:tab/>
        <w:t>Appeal book to be prepared by appellant</w:t>
      </w:r>
      <w:bookmarkEnd w:id="87"/>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ensure that before the appeal book is filed each party to the appeal, or their lawyer,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w:t>
      </w:r>
    </w:p>
    <w:p>
      <w:pPr>
        <w:pStyle w:val="Heading3"/>
      </w:pPr>
      <w:bookmarkStart w:id="88" w:name="_Toc105595016"/>
      <w:bookmarkStart w:id="89" w:name="_Toc105595133"/>
      <w:bookmarkStart w:id="90" w:name="_Toc105658710"/>
      <w:r>
        <w:rPr>
          <w:rStyle w:val="CharDivNo"/>
        </w:rPr>
        <w:t>Division 4</w:t>
      </w:r>
      <w:r>
        <w:t> — </w:t>
      </w:r>
      <w:r>
        <w:rPr>
          <w:rStyle w:val="CharDivText"/>
        </w:rPr>
        <w:t>Matters prior to the hearing of any appeal</w:t>
      </w:r>
      <w:bookmarkEnd w:id="88"/>
      <w:bookmarkEnd w:id="89"/>
      <w:bookmarkEnd w:id="90"/>
    </w:p>
    <w:p>
      <w:pPr>
        <w:pStyle w:val="Heading5"/>
      </w:pPr>
      <w:bookmarkStart w:id="91" w:name="_Toc105658711"/>
      <w:r>
        <w:rPr>
          <w:rStyle w:val="CharSectno"/>
        </w:rPr>
        <w:t>42</w:t>
      </w:r>
      <w:r>
        <w:t>.</w:t>
      </w:r>
      <w:r>
        <w:tab/>
        <w:t>Application of Division</w:t>
      </w:r>
      <w:bookmarkEnd w:id="91"/>
    </w:p>
    <w:p>
      <w:pPr>
        <w:pStyle w:val="Subsection"/>
      </w:pPr>
      <w:r>
        <w:tab/>
      </w:r>
      <w:r>
        <w:tab/>
        <w:t>This Division applies to any appeal, civil or criminal, unless the contrary intention appears.</w:t>
      </w:r>
    </w:p>
    <w:p>
      <w:pPr>
        <w:pStyle w:val="Heading5"/>
      </w:pPr>
      <w:bookmarkStart w:id="92" w:name="_Toc105658712"/>
      <w:r>
        <w:rPr>
          <w:rStyle w:val="CharSectno"/>
        </w:rPr>
        <w:t>42A</w:t>
      </w:r>
      <w:r>
        <w:t>.</w:t>
      </w:r>
      <w:r>
        <w:tab/>
        <w:t>Matters requiring leave</w:t>
      </w:r>
      <w:bookmarkEnd w:id="92"/>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t>the issue of a subpoena that would require a person to give oral evidence or produce anything to the Court of Appeal.</w:t>
      </w:r>
    </w:p>
    <w:p>
      <w:pPr>
        <w:pStyle w:val="Footnotesection"/>
      </w:pPr>
      <w:r>
        <w:tab/>
        <w:t>[Rule 42A inserted: Gazette 22 Aug 2017 p. 4534.]</w:t>
      </w:r>
    </w:p>
    <w:p>
      <w:pPr>
        <w:pStyle w:val="Heading5"/>
      </w:pPr>
      <w:bookmarkStart w:id="93" w:name="_Toc105658713"/>
      <w:r>
        <w:rPr>
          <w:rStyle w:val="CharSectno"/>
        </w:rPr>
        <w:lastRenderedPageBreak/>
        <w:t>43</w:t>
      </w:r>
      <w:r>
        <w:t>.</w:t>
      </w:r>
      <w:r>
        <w:tab/>
        <w:t>Single judge’s jurisdiction</w:t>
      </w:r>
      <w:bookmarkEnd w:id="93"/>
    </w:p>
    <w:p>
      <w:pPr>
        <w:pStyle w:val="Ednotesubsection"/>
      </w:pPr>
      <w:r>
        <w:tab/>
        <w:t>[(1)</w:t>
      </w:r>
      <w:r>
        <w:tab/>
        <w:t>deleted]</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(ii)</w:t>
      </w:r>
      <w:r>
        <w:tab/>
        <w:t>a Form 3 (Service certificate) is not filed within 7 days after the last date on which the appeal could have been commenced;</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lastRenderedPageBreak/>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(kb)</w:t>
      </w:r>
      <w:r>
        <w:tab/>
        <w:t xml:space="preserve">to make any order that it is appropriate to make — </w:t>
      </w:r>
    </w:p>
    <w:p>
      <w:pPr>
        <w:pStyle w:val="Indenti"/>
      </w:pPr>
      <w:r>
        <w:tab/>
        <w:t>(i)</w:t>
      </w:r>
      <w:r>
        <w:tab/>
        <w:t>for the due and effective administration of justice; or</w:t>
      </w:r>
    </w:p>
    <w:p>
      <w:pPr>
        <w:pStyle w:val="Indenti"/>
      </w:pPr>
      <w:r>
        <w:tab/>
        <w:t>(ii)</w:t>
      </w:r>
      <w:r>
        <w:tab/>
        <w:t>because a person has not obeyed these rules or any order made under these rules by the Court of Appeal, a single judge or a registrar;</w:t>
      </w:r>
    </w:p>
    <w:p>
      <w:pPr>
        <w:pStyle w:val="Indenta"/>
      </w:pPr>
      <w:r>
        <w:tab/>
        <w:t>(l)</w:t>
      </w:r>
      <w:r>
        <w:tab/>
        <w:t>to make any order that it is necessary or convenient to make as a result of an order made under any of the above paragraphs.</w:t>
      </w:r>
    </w:p>
    <w:p>
      <w:pPr>
        <w:pStyle w:val="Subsection"/>
      </w:pPr>
      <w:r>
        <w:tab/>
        <w:t>(2A)</w:t>
      </w:r>
      <w:r>
        <w:tab/>
        <w:t>Subrule (2)(kb) is not limited by subrules (2)(a) to (ka).</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 SL 2022/60 r. 21.]</w:t>
      </w:r>
    </w:p>
    <w:p>
      <w:pPr>
        <w:pStyle w:val="Heading5"/>
      </w:pPr>
      <w:bookmarkStart w:id="94" w:name="_Toc105658714"/>
      <w:r>
        <w:rPr>
          <w:rStyle w:val="CharSectno"/>
        </w:rPr>
        <w:t>44</w:t>
      </w:r>
      <w:r>
        <w:t>.</w:t>
      </w:r>
      <w:r>
        <w:tab/>
        <w:t>Applying for interim order</w:t>
      </w:r>
      <w:bookmarkEnd w:id="94"/>
    </w:p>
    <w:p>
      <w:pPr>
        <w:pStyle w:val="Subsection"/>
      </w:pPr>
      <w:r>
        <w:tab/>
        <w:t>(1)</w:t>
      </w:r>
      <w:r>
        <w:tab/>
        <w:t>At any time after an appeal is commenced and before it is concluded a party may apply for an interim order.</w:t>
      </w:r>
    </w:p>
    <w:p>
      <w:pPr>
        <w:pStyle w:val="Subsection"/>
      </w:pPr>
      <w:r>
        <w:lastRenderedPageBreak/>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lawyer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tab/>
        <w:t>(e)</w:t>
      </w:r>
      <w:r>
        <w:tab/>
        <w:t>a single judge orders otherwise.</w:t>
      </w:r>
    </w:p>
    <w:p>
      <w:pPr>
        <w:pStyle w:val="Footnotesection"/>
      </w:pPr>
      <w:r>
        <w:tab/>
        <w:t>[Rule 44 amended: Gazette 22 Aug 2017 p. 4535</w:t>
      </w:r>
      <w:r>
        <w:noBreakHyphen/>
        <w:t>6; SL 2022/60 r. 22.]</w:t>
      </w:r>
    </w:p>
    <w:p>
      <w:pPr>
        <w:pStyle w:val="Heading5"/>
      </w:pPr>
      <w:bookmarkStart w:id="95" w:name="_Toc105658715"/>
      <w:r>
        <w:rPr>
          <w:rStyle w:val="CharSectno"/>
        </w:rPr>
        <w:t>45</w:t>
      </w:r>
      <w:r>
        <w:t>.</w:t>
      </w:r>
      <w:r>
        <w:tab/>
        <w:t>Consenting to orders</w:t>
      </w:r>
      <w:bookmarkEnd w:id="95"/>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96" w:name="_Toc105658716"/>
      <w:r>
        <w:rPr>
          <w:rStyle w:val="CharSectno"/>
        </w:rPr>
        <w:t>46</w:t>
      </w:r>
      <w:r>
        <w:t>.</w:t>
      </w:r>
      <w:r>
        <w:tab/>
        <w:t>Urgent appeal order, nature of</w:t>
      </w:r>
      <w:bookmarkEnd w:id="9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lastRenderedPageBreak/>
        <w:tab/>
        <w:t>(b)</w:t>
      </w:r>
      <w:r>
        <w:tab/>
        <w:t>any order that will or may facilitate the appeal being heard as quickly as practicable consistent with the proper administration of justice.</w:t>
      </w:r>
    </w:p>
    <w:p>
      <w:pPr>
        <w:pStyle w:val="Heading5"/>
      </w:pPr>
      <w:bookmarkStart w:id="97" w:name="_Toc105658717"/>
      <w:r>
        <w:rPr>
          <w:rStyle w:val="CharSectno"/>
        </w:rPr>
        <w:t>47</w:t>
      </w:r>
      <w:r>
        <w:t>.</w:t>
      </w:r>
      <w:r>
        <w:tab/>
        <w:t>Case management</w:t>
      </w:r>
      <w:bookmarkEnd w:id="97"/>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a registrar; or</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lastRenderedPageBreak/>
        <w:tab/>
        <w:t>(ga)</w:t>
      </w:r>
      <w:r>
        <w:tab/>
        <w:t>if a document, including an appeal book, has been filed electronically, to order the provision of a paper version of the document;</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 SL 2021/34 r. 12; SL 2022/60 r. 23.]</w:t>
      </w:r>
    </w:p>
    <w:p>
      <w:pPr>
        <w:pStyle w:val="Heading5"/>
      </w:pPr>
      <w:bookmarkStart w:id="98" w:name="_Toc105658718"/>
      <w:r>
        <w:rPr>
          <w:rStyle w:val="CharSectno"/>
        </w:rPr>
        <w:t>48</w:t>
      </w:r>
      <w:r>
        <w:t>.</w:t>
      </w:r>
      <w:r>
        <w:tab/>
        <w:t>Applications for adjournments to be made promptly</w:t>
      </w:r>
      <w:bookmarkEnd w:id="98"/>
    </w:p>
    <w:p>
      <w:pPr>
        <w:pStyle w:val="Subsection"/>
      </w:pPr>
      <w:r>
        <w:tab/>
      </w:r>
      <w:r>
        <w:tab/>
        <w:t>An application for an adjournment of the hearing of an appeal must be made immediately it is known that an adjournment is wanted.</w:t>
      </w:r>
    </w:p>
    <w:p>
      <w:pPr>
        <w:pStyle w:val="Heading5"/>
      </w:pPr>
      <w:bookmarkStart w:id="99" w:name="_Toc105658719"/>
      <w:r>
        <w:rPr>
          <w:rStyle w:val="CharSectno"/>
        </w:rPr>
        <w:t>49</w:t>
      </w:r>
      <w:r>
        <w:t>.</w:t>
      </w:r>
      <w:r>
        <w:tab/>
        <w:t>Offers of compromise</w:t>
      </w:r>
      <w:bookmarkEnd w:id="99"/>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lastRenderedPageBreak/>
        <w:tab/>
        <w:t>(f)</w:t>
      </w:r>
      <w:r>
        <w:tab/>
        <w:t>the reference in Order 24A rule 8(1)(a)(ii) to “the defence” were a reference to “the respondent’s answer”.</w:t>
      </w:r>
    </w:p>
    <w:p>
      <w:pPr>
        <w:pStyle w:val="Subsection"/>
        <w:keepNext/>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100" w:name="_Toc105658720"/>
      <w:r>
        <w:rPr>
          <w:rStyle w:val="CharSectno"/>
        </w:rPr>
        <w:t>50</w:t>
      </w:r>
      <w:r>
        <w:t>.</w:t>
      </w:r>
      <w:r>
        <w:tab/>
        <w:t>Court to be advised immediately of settlement etc.</w:t>
      </w:r>
      <w:bookmarkEnd w:id="100"/>
    </w:p>
    <w:p>
      <w:pPr>
        <w:pStyle w:val="Subsection"/>
      </w:pPr>
      <w:r>
        <w:tab/>
      </w:r>
      <w:r>
        <w:tab/>
        <w:t>If the parties to an appeal agree to settle the whole or any part of an appeal, they must notify the Court of Appeal Office immediately.</w:t>
      </w:r>
    </w:p>
    <w:p>
      <w:pPr>
        <w:pStyle w:val="Heading3"/>
      </w:pPr>
      <w:bookmarkStart w:id="101" w:name="_Toc105595027"/>
      <w:bookmarkStart w:id="102" w:name="_Toc105595144"/>
      <w:bookmarkStart w:id="103" w:name="_Toc105658721"/>
      <w:r>
        <w:rPr>
          <w:rStyle w:val="CharDivNo"/>
        </w:rPr>
        <w:t>Division 5</w:t>
      </w:r>
      <w:r>
        <w:t> — </w:t>
      </w:r>
      <w:r>
        <w:rPr>
          <w:rStyle w:val="CharDivText"/>
        </w:rPr>
        <w:t>Matters prior to the hearing of a criminal appeal</w:t>
      </w:r>
      <w:bookmarkEnd w:id="101"/>
      <w:bookmarkEnd w:id="102"/>
      <w:bookmarkEnd w:id="103"/>
    </w:p>
    <w:p>
      <w:pPr>
        <w:pStyle w:val="Heading5"/>
      </w:pPr>
      <w:bookmarkStart w:id="104" w:name="_Toc105658722"/>
      <w:r>
        <w:rPr>
          <w:rStyle w:val="CharSectno"/>
        </w:rPr>
        <w:t>51</w:t>
      </w:r>
      <w:r>
        <w:t>.</w:t>
      </w:r>
      <w:r>
        <w:tab/>
        <w:t>Application of Division</w:t>
      </w:r>
      <w:bookmarkEnd w:id="104"/>
    </w:p>
    <w:p>
      <w:pPr>
        <w:pStyle w:val="Subsection"/>
      </w:pPr>
      <w:r>
        <w:tab/>
      </w:r>
      <w:r>
        <w:tab/>
        <w:t>This Division applies to criminal appeals.</w:t>
      </w:r>
    </w:p>
    <w:p>
      <w:pPr>
        <w:pStyle w:val="Heading5"/>
      </w:pPr>
      <w:bookmarkStart w:id="105" w:name="_Toc105658723"/>
      <w:r>
        <w:rPr>
          <w:rStyle w:val="CharSectno"/>
        </w:rPr>
        <w:t>52</w:t>
      </w:r>
      <w:r>
        <w:t>.</w:t>
      </w:r>
      <w:r>
        <w:tab/>
        <w:t>Applications for certain orders under CAA s. 40(1)</w:t>
      </w:r>
      <w:bookmarkEnd w:id="105"/>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106" w:name="_Toc105658724"/>
      <w:r>
        <w:rPr>
          <w:rStyle w:val="CharSectno"/>
        </w:rPr>
        <w:t>53</w:t>
      </w:r>
      <w:r>
        <w:t>.</w:t>
      </w:r>
      <w:r>
        <w:tab/>
        <w:t>Single judge’s jurisdiction</w:t>
      </w:r>
      <w:bookmarkEnd w:id="106"/>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107" w:name="_Toc105658725"/>
      <w:r>
        <w:rPr>
          <w:rStyle w:val="CharSectno"/>
        </w:rPr>
        <w:t>54</w:t>
      </w:r>
      <w:r>
        <w:t>.</w:t>
      </w:r>
      <w:r>
        <w:tab/>
        <w:t>Witnesses required by the Court of Appeal</w:t>
      </w:r>
      <w:bookmarkEnd w:id="107"/>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lastRenderedPageBreak/>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108" w:name="_Toc105658726"/>
      <w:r>
        <w:rPr>
          <w:rStyle w:val="CharSectno"/>
        </w:rPr>
        <w:t>55</w:t>
      </w:r>
      <w:r>
        <w:t>.</w:t>
      </w:r>
      <w:r>
        <w:tab/>
        <w:t>Proceedings before an examiner</w:t>
      </w:r>
      <w:bookmarkEnd w:id="108"/>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lastRenderedPageBreak/>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109" w:name="_Toc105658727"/>
      <w:r>
        <w:rPr>
          <w:rStyle w:val="CharSectno"/>
        </w:rPr>
        <w:t>56</w:t>
      </w:r>
      <w:r>
        <w:t>.</w:t>
      </w:r>
      <w:r>
        <w:tab/>
        <w:t>Special commissioners and assessors (CAA s. 40(1))</w:t>
      </w:r>
      <w:bookmarkEnd w:id="109"/>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lastRenderedPageBreak/>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110" w:name="_Toc105595034"/>
      <w:bookmarkStart w:id="111" w:name="_Toc105595151"/>
      <w:bookmarkStart w:id="112" w:name="_Toc105658728"/>
      <w:r>
        <w:rPr>
          <w:rStyle w:val="CharDivNo"/>
        </w:rPr>
        <w:t>Division 6</w:t>
      </w:r>
      <w:r>
        <w:t> — </w:t>
      </w:r>
      <w:r>
        <w:rPr>
          <w:rStyle w:val="CharDivText"/>
        </w:rPr>
        <w:t>Hearing an appeal</w:t>
      </w:r>
      <w:bookmarkEnd w:id="110"/>
      <w:bookmarkEnd w:id="111"/>
      <w:bookmarkEnd w:id="112"/>
    </w:p>
    <w:p>
      <w:pPr>
        <w:pStyle w:val="Heading5"/>
      </w:pPr>
      <w:bookmarkStart w:id="113" w:name="_Toc105658729"/>
      <w:r>
        <w:rPr>
          <w:rStyle w:val="CharSectno"/>
        </w:rPr>
        <w:t>57</w:t>
      </w:r>
      <w:r>
        <w:t>.</w:t>
      </w:r>
      <w:r>
        <w:tab/>
        <w:t>Hearing date to be set</w:t>
      </w:r>
      <w:bookmarkEnd w:id="113"/>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Heading5"/>
      </w:pPr>
      <w:bookmarkStart w:id="114" w:name="_Toc105658730"/>
      <w:r>
        <w:rPr>
          <w:rStyle w:val="CharSectno"/>
        </w:rPr>
        <w:t>58</w:t>
      </w:r>
      <w:r>
        <w:t>.</w:t>
      </w:r>
      <w:r>
        <w:tab/>
        <w:t>Hearings by audio link or video link</w:t>
      </w:r>
      <w:bookmarkEnd w:id="114"/>
    </w:p>
    <w:p>
      <w:pPr>
        <w:pStyle w:val="Subsection"/>
      </w:pPr>
      <w:r>
        <w:tab/>
        <w:t>(1)</w:t>
      </w:r>
      <w:r>
        <w:tab/>
        <w:t>The Court of Appeal, a single judge or a registrar may conduct a hearing with 1 or more of the parties to a CA matter by audio link or video link.</w:t>
      </w:r>
    </w:p>
    <w:p>
      <w:pPr>
        <w:pStyle w:val="Subsection"/>
      </w:pPr>
      <w:r>
        <w:tab/>
        <w:t>(2)</w:t>
      </w:r>
      <w:r>
        <w:tab/>
        <w:t>The hearing is taken to be in the presence of the Court of Appeal, judge or registrar.</w:t>
      </w:r>
    </w:p>
    <w:p>
      <w:pPr>
        <w:pStyle w:val="Subsection"/>
      </w:pPr>
      <w:r>
        <w:tab/>
        <w:t>(3)</w:t>
      </w:r>
      <w:r>
        <w:tab/>
        <w:t>A registrar must confirm in writing any order made at the hearing.</w:t>
      </w:r>
    </w:p>
    <w:p>
      <w:pPr>
        <w:pStyle w:val="Footnotesection"/>
      </w:pPr>
      <w:r>
        <w:tab/>
        <w:t>[Rule 58 inserted: SL 2022/60 r. 24.]</w:t>
      </w:r>
    </w:p>
    <w:p>
      <w:pPr>
        <w:pStyle w:val="Heading3"/>
      </w:pPr>
      <w:bookmarkStart w:id="115" w:name="_Toc105595037"/>
      <w:bookmarkStart w:id="116" w:name="_Toc105595154"/>
      <w:bookmarkStart w:id="117" w:name="_Toc105658731"/>
      <w:r>
        <w:rPr>
          <w:rStyle w:val="CharDivNo"/>
        </w:rPr>
        <w:t>Division 7</w:t>
      </w:r>
      <w:r>
        <w:t> — </w:t>
      </w:r>
      <w:r>
        <w:rPr>
          <w:rStyle w:val="CharDivText"/>
        </w:rPr>
        <w:t>Concluding an appeal</w:t>
      </w:r>
      <w:bookmarkEnd w:id="115"/>
      <w:bookmarkEnd w:id="116"/>
      <w:bookmarkEnd w:id="117"/>
    </w:p>
    <w:p>
      <w:pPr>
        <w:pStyle w:val="Heading5"/>
      </w:pPr>
      <w:bookmarkStart w:id="118" w:name="_Toc105658732"/>
      <w:r>
        <w:rPr>
          <w:rStyle w:val="CharSectno"/>
        </w:rPr>
        <w:t>59</w:t>
      </w:r>
      <w:r>
        <w:t>.</w:t>
      </w:r>
      <w:r>
        <w:tab/>
        <w:t>Discontinuing an appeal</w:t>
      </w:r>
      <w:bookmarkEnd w:id="118"/>
    </w:p>
    <w:p>
      <w:pPr>
        <w:pStyle w:val="Subsection"/>
      </w:pPr>
      <w:r>
        <w:tab/>
        <w:t>(1)</w:t>
      </w:r>
      <w:r>
        <w:tab/>
        <w:t>The appellant may discontinue an appeal by filing and serving a Form 16.</w:t>
      </w:r>
    </w:p>
    <w:p>
      <w:pPr>
        <w:pStyle w:val="Subsection"/>
      </w:pPr>
      <w:r>
        <w:tab/>
        <w:t>(1A)</w:t>
      </w:r>
      <w:r>
        <w:tab/>
        <w:t>If the appeal is a criminal appeal, the Form 16 must be signed by both the appellant and a lawyer (if any) acting for the appellant.</w:t>
      </w:r>
    </w:p>
    <w:p>
      <w:pPr>
        <w:pStyle w:val="Subsection"/>
      </w:pPr>
      <w:r>
        <w:lastRenderedPageBreak/>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r>
        <w:tab/>
        <w:t>[Rule 59 amended: SL 2022/60 r. 25.]</w:t>
      </w:r>
    </w:p>
    <w:p>
      <w:pPr>
        <w:pStyle w:val="Heading5"/>
      </w:pPr>
      <w:bookmarkStart w:id="119" w:name="_Toc105658733"/>
      <w:r>
        <w:rPr>
          <w:rStyle w:val="CharSectno"/>
        </w:rPr>
        <w:t>60</w:t>
      </w:r>
      <w:r>
        <w:t>.</w:t>
      </w:r>
      <w:r>
        <w:tab/>
        <w:t>Settling an appeal</w:t>
      </w:r>
      <w:bookmarkEnd w:id="119"/>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lastRenderedPageBreak/>
        <w:tab/>
        <w:t>(4)</w:t>
      </w:r>
      <w:r>
        <w:tab/>
        <w:t>An application for the approval of a single judge must be filed with an affidavit and, unless a single judge orders otherwise, an opinion by an independent lawyer.</w:t>
      </w:r>
    </w:p>
    <w:p>
      <w:pPr>
        <w:pStyle w:val="Footnotesection"/>
      </w:pPr>
      <w:r>
        <w:tab/>
        <w:t>[Rule 60 amended: Gazette 22 Aug 2017 p. 4544.]</w:t>
      </w:r>
    </w:p>
    <w:p>
      <w:pPr>
        <w:pStyle w:val="Heading5"/>
      </w:pPr>
      <w:bookmarkStart w:id="120" w:name="_Toc105658734"/>
      <w:r>
        <w:rPr>
          <w:rStyle w:val="CharSectno"/>
        </w:rPr>
        <w:t>61</w:t>
      </w:r>
      <w:r>
        <w:t>.</w:t>
      </w:r>
      <w:r>
        <w:tab/>
        <w:t>Guideline judgments</w:t>
      </w:r>
      <w:bookmarkEnd w:id="120"/>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121" w:name="_Toc105658735"/>
      <w:r>
        <w:rPr>
          <w:rStyle w:val="CharSectno"/>
        </w:rPr>
        <w:t>62</w:t>
      </w:r>
      <w:r>
        <w:t>.</w:t>
      </w:r>
      <w:r>
        <w:tab/>
        <w:t>Criminal appeals, certificate of conclusion of</w:t>
      </w:r>
      <w:bookmarkEnd w:id="121"/>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lastRenderedPageBreak/>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122" w:name="_Toc105658736"/>
      <w:r>
        <w:rPr>
          <w:rStyle w:val="CharSectno"/>
        </w:rPr>
        <w:t>63</w:t>
      </w:r>
      <w:r>
        <w:t>.</w:t>
      </w:r>
      <w:r>
        <w:tab/>
        <w:t>Other appeals, final orders on</w:t>
      </w:r>
      <w:bookmarkEnd w:id="122"/>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prepare, sign and seal the judgment or order of the Court of Appeal or a single judge, as the case requires.</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 SL 2021/34 r. 13.]</w:t>
      </w:r>
    </w:p>
    <w:p>
      <w:pPr>
        <w:pStyle w:val="Heading5"/>
      </w:pPr>
      <w:bookmarkStart w:id="123" w:name="_Toc105658737"/>
      <w:r>
        <w:rPr>
          <w:rStyle w:val="CharSectno"/>
        </w:rPr>
        <w:t>64</w:t>
      </w:r>
      <w:r>
        <w:t>.</w:t>
      </w:r>
      <w:r>
        <w:tab/>
        <w:t>Return of records and things</w:t>
      </w:r>
      <w:bookmarkEnd w:id="123"/>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lastRenderedPageBreak/>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124" w:name="_Toc105658738"/>
      <w:r>
        <w:rPr>
          <w:rStyle w:val="CharSectno"/>
        </w:rPr>
        <w:t>65</w:t>
      </w:r>
      <w:r>
        <w:t>.</w:t>
      </w:r>
      <w:r>
        <w:tab/>
        <w:t>Enforcing judgments and orders</w:t>
      </w:r>
      <w:bookmarkEnd w:id="124"/>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lastRenderedPageBreak/>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125" w:name="_Toc105658739"/>
      <w:r>
        <w:rPr>
          <w:rStyle w:val="CharSectno"/>
        </w:rPr>
        <w:t>66</w:t>
      </w:r>
      <w:r>
        <w:t>.</w:t>
      </w:r>
      <w:r>
        <w:tab/>
        <w:t>Costs</w:t>
      </w:r>
      <w:bookmarkEnd w:id="125"/>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lastRenderedPageBreak/>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126" w:name="_Toc105595046"/>
      <w:bookmarkStart w:id="127" w:name="_Toc105595163"/>
      <w:bookmarkStart w:id="128" w:name="_Toc105658740"/>
      <w:r>
        <w:rPr>
          <w:rStyle w:val="CharPartNo"/>
        </w:rPr>
        <w:lastRenderedPageBreak/>
        <w:t>Part 6</w:t>
      </w:r>
      <w:r>
        <w:rPr>
          <w:rStyle w:val="CharDivNo"/>
        </w:rPr>
        <w:t> </w:t>
      </w:r>
      <w:r>
        <w:t>—</w:t>
      </w:r>
      <w:r>
        <w:rPr>
          <w:rStyle w:val="CharDivText"/>
        </w:rPr>
        <w:t> </w:t>
      </w:r>
      <w:r>
        <w:rPr>
          <w:rStyle w:val="CharPartText"/>
        </w:rPr>
        <w:t>Referred and other CA matters</w:t>
      </w:r>
      <w:bookmarkEnd w:id="126"/>
      <w:bookmarkEnd w:id="127"/>
      <w:bookmarkEnd w:id="128"/>
    </w:p>
    <w:p>
      <w:pPr>
        <w:pStyle w:val="Heading5"/>
      </w:pPr>
      <w:bookmarkStart w:id="129" w:name="_Toc105658741"/>
      <w:r>
        <w:rPr>
          <w:rStyle w:val="CharSectno"/>
        </w:rPr>
        <w:t>67</w:t>
      </w:r>
      <w:r>
        <w:t>.</w:t>
      </w:r>
      <w:r>
        <w:tab/>
        <w:t>Referring a legal issue to the Court of Appeal</w:t>
      </w:r>
      <w:bookmarkEnd w:id="129"/>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130" w:name="_Toc105658742"/>
      <w:r>
        <w:rPr>
          <w:rStyle w:val="CharSectno"/>
        </w:rPr>
        <w:lastRenderedPageBreak/>
        <w:t>68</w:t>
      </w:r>
      <w:r>
        <w:t>.</w:t>
      </w:r>
      <w:r>
        <w:tab/>
        <w:t>Dealing with referred and other CA matters</w:t>
      </w:r>
      <w:bookmarkEnd w:id="130"/>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lastRenderedPageBreak/>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131" w:name="_Toc105595049"/>
      <w:bookmarkStart w:id="132" w:name="_Toc105595166"/>
      <w:bookmarkStart w:id="133" w:name="_Toc105658743"/>
      <w:r>
        <w:rPr>
          <w:rStyle w:val="CharPartNo"/>
        </w:rPr>
        <w:lastRenderedPageBreak/>
        <w:t>Part 7</w:t>
      </w:r>
      <w:r>
        <w:rPr>
          <w:rStyle w:val="CharDivNo"/>
        </w:rPr>
        <w:t> </w:t>
      </w:r>
      <w:r>
        <w:t>—</w:t>
      </w:r>
      <w:r>
        <w:rPr>
          <w:rStyle w:val="CharDivText"/>
        </w:rPr>
        <w:t> </w:t>
      </w:r>
      <w:r>
        <w:rPr>
          <w:rStyle w:val="CharPartText"/>
        </w:rPr>
        <w:t>Miscellaneous</w:t>
      </w:r>
      <w:bookmarkEnd w:id="131"/>
      <w:bookmarkEnd w:id="132"/>
      <w:bookmarkEnd w:id="133"/>
    </w:p>
    <w:p>
      <w:pPr>
        <w:pStyle w:val="Heading5"/>
      </w:pPr>
      <w:bookmarkStart w:id="134" w:name="_Toc105658744"/>
      <w:r>
        <w:rPr>
          <w:rStyle w:val="CharSectno"/>
        </w:rPr>
        <w:t>69</w:t>
      </w:r>
      <w:r>
        <w:t>.</w:t>
      </w:r>
      <w:r>
        <w:tab/>
        <w:t>Removal of District Court appeal into Court of Appeal</w:t>
      </w:r>
      <w:bookmarkEnd w:id="134"/>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135" w:name="_Toc105595051"/>
      <w:bookmarkStart w:id="136" w:name="_Toc105595168"/>
      <w:bookmarkStart w:id="137" w:name="_Toc105658745"/>
      <w:r>
        <w:rPr>
          <w:rStyle w:val="CharSchNo"/>
        </w:rPr>
        <w:lastRenderedPageBreak/>
        <w:t>Schedule 1</w:t>
      </w:r>
      <w:r>
        <w:rPr>
          <w:rStyle w:val="CharSDivNo"/>
        </w:rPr>
        <w:t> </w:t>
      </w:r>
      <w:r>
        <w:t>—</w:t>
      </w:r>
      <w:r>
        <w:rPr>
          <w:rStyle w:val="CharSDivText"/>
        </w:rPr>
        <w:t> </w:t>
      </w:r>
      <w:r>
        <w:rPr>
          <w:rStyle w:val="CharSchText"/>
        </w:rPr>
        <w:t>Forms</w:t>
      </w:r>
      <w:bookmarkEnd w:id="135"/>
      <w:bookmarkEnd w:id="136"/>
      <w:bookmarkEnd w:id="137"/>
    </w:p>
    <w:p>
      <w:pPr>
        <w:pStyle w:val="yShoulderClause"/>
      </w:pPr>
      <w:r>
        <w:t>[r. 3]</w:t>
      </w:r>
    </w:p>
    <w:p>
      <w:pPr>
        <w:pStyle w:val="yHeading5"/>
        <w:spacing w:after="240"/>
      </w:pPr>
      <w:bookmarkStart w:id="138" w:name="_Toc105658746"/>
      <w:r>
        <w:rPr>
          <w:rStyle w:val="CharSClsNo"/>
        </w:rPr>
        <w:t>1</w:t>
      </w:r>
      <w:r>
        <w:t>.</w:t>
      </w:r>
      <w:r>
        <w:tab/>
        <w:t>Appeal notice (criminal) (r. 28)</w:t>
      </w:r>
      <w:bookmarkEnd w:id="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lastRenderedPageBreak/>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1 —</w:t>
      </w:r>
    </w:p>
    <w:p>
      <w:pPr>
        <w:pStyle w:val="yMiscellaneousBody"/>
        <w:spacing w:before="0"/>
        <w:ind w:left="567" w:hanging="567"/>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Body"/>
        <w:spacing w:before="0"/>
        <w:ind w:left="567" w:hanging="567"/>
      </w:pPr>
      <w:r>
        <w:t>2.</w:t>
      </w:r>
      <w:r>
        <w:tab/>
        <w:t>Describe the offence. E.g. Dangerous driving causing death. If there is more than one conviction, put the details of the other convictions, sentences and orders on an attachment.</w:t>
      </w:r>
    </w:p>
    <w:p>
      <w:pPr>
        <w:pStyle w:val="yMiscellaneousBody"/>
        <w:spacing w:before="0"/>
        <w:ind w:left="567" w:hanging="567"/>
      </w:pPr>
      <w:r>
        <w:t>3.</w:t>
      </w:r>
      <w:r>
        <w:tab/>
        <w:t>State the sentence. E.g. Imprisonment for 18 months with a parol eligibility order cumulative on the sentence for robbery.</w:t>
      </w:r>
    </w:p>
    <w:p>
      <w:pPr>
        <w:pStyle w:val="yMiscellaneousBody"/>
        <w:spacing w:before="0"/>
        <w:ind w:left="567" w:hanging="567"/>
      </w:pPr>
      <w:r>
        <w:t>4.</w:t>
      </w:r>
      <w:r>
        <w:tab/>
        <w:t>State any other order made. E.g. Disqualified from holding or obtaining a driver’s licence for 4 years.</w:t>
      </w:r>
    </w:p>
    <w:p>
      <w:pPr>
        <w:pStyle w:val="yMiscellaneousBody"/>
        <w:spacing w:before="0"/>
        <w:ind w:left="567" w:hanging="567"/>
      </w:pPr>
      <w:r>
        <w:t>5.</w:t>
      </w:r>
      <w:r>
        <w:tab/>
        <w:t>Tick this box if the appeal is against a decision other than a conviction or sentence or other order made as a result of a conviction. See note 1.</w:t>
      </w:r>
    </w:p>
    <w:p>
      <w:pPr>
        <w:pStyle w:val="yMiscellaneousBody"/>
        <w:spacing w:before="0"/>
        <w:ind w:left="567" w:hanging="567"/>
      </w:pPr>
      <w:r>
        <w:t>6.</w:t>
      </w:r>
      <w:r>
        <w:tab/>
        <w:t>Set out the draft grounds in numbered paragraphs.</w:t>
      </w:r>
    </w:p>
    <w:p>
      <w:pPr>
        <w:pStyle w:val="yMiscellaneousBody"/>
        <w:spacing w:before="0"/>
        <w:ind w:left="567" w:hanging="567"/>
      </w:pPr>
      <w:r>
        <w:t>7.</w:t>
      </w:r>
      <w:r>
        <w:tab/>
        <w:t>If the appellant is represented by a lawyer, the appellant’s details below must be the lawyer’s. If the appellant is self-represented, the details must be the appellant’s personal details.</w:t>
      </w:r>
    </w:p>
    <w:p>
      <w:pPr>
        <w:pStyle w:val="yMiscellaneousBody"/>
        <w:spacing w:before="0"/>
        <w:ind w:left="567" w:hanging="567"/>
        <w:rPr>
          <w:i/>
        </w:rPr>
      </w:pPr>
      <w:r>
        <w:rPr>
          <w:i/>
        </w:rPr>
        <w:t>[8.</w:t>
      </w:r>
      <w:r>
        <w:rPr>
          <w:i/>
        </w:rPr>
        <w:tab/>
        <w:t>deleted]</w:t>
      </w:r>
    </w:p>
    <w:p>
      <w:pPr>
        <w:pStyle w:val="yFootnotesection"/>
      </w:pPr>
      <w:r>
        <w:tab/>
        <w:t>[Form 1 amended: Gazette 22 Aug 2017 p. 4538.]</w:t>
      </w:r>
    </w:p>
    <w:p>
      <w:pPr>
        <w:pStyle w:val="yHeading5"/>
        <w:pageBreakBefore/>
        <w:spacing w:after="240"/>
      </w:pPr>
      <w:bookmarkStart w:id="139" w:name="_Toc105658747"/>
      <w:r>
        <w:rPr>
          <w:rStyle w:val="CharSClsNo"/>
        </w:rPr>
        <w:lastRenderedPageBreak/>
        <w:t>2</w:t>
      </w:r>
      <w:r>
        <w:t>.</w:t>
      </w:r>
      <w:r>
        <w:tab/>
        <w:t>Appeal notice (civil) (r. 29)</w:t>
      </w:r>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2 —</w:t>
      </w:r>
    </w:p>
    <w:p>
      <w:pPr>
        <w:pStyle w:val="yMiscellaneousBody"/>
        <w:spacing w:before="0"/>
        <w:ind w:left="567" w:hanging="567"/>
      </w:pPr>
      <w:r>
        <w:t>1.</w:t>
      </w:r>
      <w:r>
        <w:tab/>
        <w:t>Examples:</w:t>
      </w:r>
    </w:p>
    <w:p>
      <w:pPr>
        <w:pStyle w:val="yMiscellaneousBody"/>
        <w:numPr>
          <w:ilvl w:val="0"/>
          <w:numId w:val="1"/>
        </w:numPr>
        <w:tabs>
          <w:tab w:val="clear" w:pos="1644"/>
        </w:tabs>
        <w:spacing w:before="0"/>
        <w:ind w:left="828" w:hanging="261"/>
      </w:pPr>
      <w:r>
        <w:t>Judgment against the defendant for $70 000.</w:t>
      </w:r>
    </w:p>
    <w:p>
      <w:pPr>
        <w:pStyle w:val="yMiscellaneousBody"/>
        <w:numPr>
          <w:ilvl w:val="0"/>
          <w:numId w:val="1"/>
        </w:numPr>
        <w:tabs>
          <w:tab w:val="clear" w:pos="1644"/>
        </w:tabs>
        <w:spacing w:before="0"/>
        <w:ind w:left="828" w:hanging="261"/>
      </w:pPr>
      <w:r>
        <w:t>Dismissal of negligence action.</w:t>
      </w:r>
    </w:p>
    <w:p>
      <w:pPr>
        <w:pStyle w:val="yMiscellaneousBody"/>
        <w:spacing w:before="0"/>
        <w:ind w:left="567" w:hanging="567"/>
      </w:pPr>
      <w:r>
        <w:t>2.</w:t>
      </w:r>
      <w:r>
        <w:tab/>
        <w:t>State the short title of the Act under which the appeal is being made.</w:t>
      </w:r>
    </w:p>
    <w:p>
      <w:pPr>
        <w:pStyle w:val="yMiscellaneousBody"/>
        <w:spacing w:before="0"/>
        <w:ind w:left="567" w:hanging="567"/>
      </w:pPr>
      <w:r>
        <w:lastRenderedPageBreak/>
        <w:t>3.</w:t>
      </w:r>
      <w:r>
        <w:tab/>
        <w:t>If the appellant is represented by a lawyer, the appellant’s details below must be the lawyer’s. If the appellant is self-represented, the details must be the appellant’s personal details.</w:t>
      </w:r>
    </w:p>
    <w:p>
      <w:pPr>
        <w:pStyle w:val="yMiscellaneousBody"/>
        <w:spacing w:before="0"/>
        <w:ind w:left="567" w:hanging="567"/>
        <w:rPr>
          <w:i/>
        </w:rPr>
      </w:pPr>
      <w:r>
        <w:rPr>
          <w:i/>
        </w:rPr>
        <w:t>[4.</w:t>
      </w:r>
      <w:r>
        <w:rPr>
          <w:i/>
        </w:rPr>
        <w:tab/>
        <w:t>deleted]</w:t>
      </w:r>
    </w:p>
    <w:p>
      <w:pPr>
        <w:pStyle w:val="yFootnotesection"/>
      </w:pPr>
      <w:r>
        <w:tab/>
        <w:t>[Form 2 amended: Gazette 22 Aug 2017 p. 4538</w:t>
      </w:r>
      <w:r>
        <w:noBreakHyphen/>
        <w:t>9.]</w:t>
      </w:r>
    </w:p>
    <w:p>
      <w:pPr>
        <w:pStyle w:val="yHeading5"/>
        <w:spacing w:after="240"/>
      </w:pPr>
      <w:bookmarkStart w:id="140" w:name="_Toc105658748"/>
      <w:r>
        <w:rPr>
          <w:rStyle w:val="CharSClsNo"/>
        </w:rPr>
        <w:t>3</w:t>
      </w:r>
      <w:r>
        <w:t>.</w:t>
      </w:r>
      <w:r>
        <w:tab/>
        <w:t>Service certificate (r. 28(7) &amp; 29(5))</w:t>
      </w:r>
      <w:bookmarkEnd w:id="14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 xml:space="preserve">Note to Form 3 — </w:t>
      </w:r>
    </w:p>
    <w:p>
      <w:pPr>
        <w:pStyle w:val="yMiscellaneousBody"/>
        <w:spacing w:before="0"/>
        <w:ind w:left="567" w:hanging="567"/>
      </w:pPr>
      <w:r>
        <w:t>1.</w:t>
      </w:r>
      <w:r>
        <w:tab/>
        <w:t xml:space="preserve">Delete if no documents are required under the </w:t>
      </w:r>
      <w:r>
        <w:rPr>
          <w:i/>
        </w:rPr>
        <w:t>Supreme Court (Court of Appeal) Rules 2005</w:t>
      </w:r>
      <w:r>
        <w:t xml:space="preserve"> rule 28(1)(d) (for a criminal appeal) or 29(1)(d) (for a civil appeal).</w:t>
      </w:r>
    </w:p>
    <w:p>
      <w:pPr>
        <w:pStyle w:val="yFootnotesection"/>
      </w:pPr>
      <w:r>
        <w:tab/>
        <w:t>[Form 3 amended: Gazette 22 Aug 2017 p. 4539; SL 2022/60 r. 26(1).]</w:t>
      </w:r>
    </w:p>
    <w:p>
      <w:pPr>
        <w:pStyle w:val="yHeading5"/>
      </w:pPr>
      <w:bookmarkStart w:id="141" w:name="_Toc105658749"/>
      <w:r>
        <w:rPr>
          <w:rStyle w:val="CharSClsNo"/>
        </w:rPr>
        <w:t>4</w:t>
      </w:r>
      <w:r>
        <w:t>.</w:t>
      </w:r>
      <w:r>
        <w:tab/>
        <w:t>Notice of respondent’s intention (r. 31)</w:t>
      </w:r>
      <w:bookmarkEnd w:id="14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lastRenderedPageBreak/>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MiscellaneousBody"/>
        <w:keepNext/>
        <w:rPr>
          <w:szCs w:val="22"/>
        </w:rPr>
      </w:pPr>
      <w:r>
        <w:rPr>
          <w:szCs w:val="22"/>
        </w:rPr>
        <w:t>Note to Form 4 —</w:t>
      </w:r>
    </w:p>
    <w:p>
      <w:pPr>
        <w:pStyle w:val="yMiscellaneousBody"/>
        <w:spacing w:before="0"/>
        <w:ind w:left="567" w:hanging="567"/>
        <w:rPr>
          <w:szCs w:val="22"/>
        </w:rPr>
      </w:pPr>
      <w:r>
        <w:rPr>
          <w:szCs w:val="22"/>
        </w:rPr>
        <w:t>1.</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rPr>
          <w:sz w:val="20"/>
        </w:rPr>
      </w:pPr>
      <w:r>
        <w:tab/>
        <w:t>[Form 4 inserted: Gazette 22 Aug 2017 p. 4539.]</w:t>
      </w:r>
    </w:p>
    <w:p>
      <w:pPr>
        <w:pStyle w:val="yHeading5"/>
      </w:pPr>
      <w:bookmarkStart w:id="142" w:name="_Toc105658750"/>
      <w:r>
        <w:rPr>
          <w:rStyle w:val="CharSClsNo"/>
        </w:rPr>
        <w:t>4A</w:t>
      </w:r>
      <w:r>
        <w:t>.</w:t>
      </w:r>
      <w:r>
        <w:tab/>
        <w:t>Notice of respondent’s cross appeal (r. 31A)</w:t>
      </w:r>
      <w:bookmarkEnd w:id="1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w:t>
      </w:r>
    </w:p>
    <w:p>
      <w:pPr>
        <w:pStyle w:val="yHeading5"/>
        <w:keepNext w:val="0"/>
        <w:pageBreakBefore/>
        <w:spacing w:after="240"/>
      </w:pPr>
      <w:bookmarkStart w:id="143" w:name="_Toc105658751"/>
      <w:r>
        <w:rPr>
          <w:rStyle w:val="CharSClsNo"/>
        </w:rPr>
        <w:lastRenderedPageBreak/>
        <w:t>5</w:t>
      </w:r>
      <w:r>
        <w:t>.</w:t>
      </w:r>
      <w:r>
        <w:tab/>
        <w:t>Lawyer’s notice of acting (Part 4)</w:t>
      </w:r>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lawyer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w:t>
      </w:r>
    </w:p>
    <w:p>
      <w:pPr>
        <w:pStyle w:val="yHeading5"/>
      </w:pPr>
      <w:bookmarkStart w:id="144" w:name="_Toc105658752"/>
      <w:r>
        <w:rPr>
          <w:rStyle w:val="CharSClsNo"/>
        </w:rPr>
        <w:t>5A</w:t>
      </w:r>
      <w:r>
        <w:t>.</w:t>
      </w:r>
      <w:r>
        <w:tab/>
        <w:t>Service certificate by lawyer ceasing to act (r. 24(3))</w:t>
      </w:r>
      <w:bookmarkEnd w:id="14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lawyer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noWrap/>
          </w:tcPr>
          <w:p>
            <w:pPr>
              <w:pStyle w:val="yTableNAm"/>
              <w:spacing w:before="0"/>
              <w:rPr>
                <w:sz w:val="20"/>
              </w:rPr>
            </w:pPr>
            <w:r>
              <w:rPr>
                <w:sz w:val="20"/>
              </w:rPr>
              <w:t>Email address</w:t>
            </w:r>
          </w:p>
        </w:tc>
        <w:tc>
          <w:tcPr>
            <w:tcW w:w="5012" w:type="dxa"/>
            <w:gridSpan w:val="3"/>
            <w:noWrap/>
          </w:tcPr>
          <w:p>
            <w:pPr>
              <w:pStyle w:val="yTableNAm"/>
              <w:spacing w:before="0"/>
              <w:rPr>
                <w:sz w:val="20"/>
              </w:rPr>
            </w:pPr>
            <w:r>
              <w:rPr>
                <w:sz w:val="20"/>
              </w:rPr>
              <w:t>The following email address is used by the *appellant/ respondent </w:t>
            </w:r>
            <w:r>
              <w:rPr>
                <w:sz w:val="20"/>
                <w:vertAlign w:val="superscript"/>
              </w:rPr>
              <w:t>2</w:t>
            </w:r>
          </w:p>
        </w:tc>
      </w:tr>
      <w:tr>
        <w:trPr>
          <w:cantSplit/>
        </w:trPr>
        <w:tc>
          <w:tcPr>
            <w:tcW w:w="1985" w:type="dxa"/>
          </w:tcPr>
          <w:p>
            <w:pPr>
              <w:pStyle w:val="yTableNAm"/>
              <w:spacing w:before="0"/>
              <w:rPr>
                <w:sz w:val="20"/>
              </w:rPr>
            </w:pPr>
            <w:r>
              <w:rPr>
                <w:sz w:val="20"/>
              </w:rPr>
              <w:t>Signature of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lawyer</w:t>
            </w:r>
          </w:p>
        </w:tc>
        <w:tc>
          <w:tcPr>
            <w:tcW w:w="1185" w:type="dxa"/>
          </w:tcPr>
          <w:p>
            <w:pPr>
              <w:pStyle w:val="yTableNAm"/>
              <w:spacing w:before="0"/>
              <w:rPr>
                <w:sz w:val="20"/>
              </w:rPr>
            </w:pPr>
            <w:r>
              <w:rPr>
                <w:sz w:val="20"/>
              </w:rPr>
              <w:t>Date:</w:t>
            </w:r>
          </w:p>
        </w:tc>
      </w:tr>
    </w:tbl>
    <w:p>
      <w:pPr>
        <w:pStyle w:val="yMiscellaneousBody"/>
        <w:keepNext/>
      </w:pPr>
      <w:r>
        <w:lastRenderedPageBreak/>
        <w:t>Notes to Form 5A —</w:t>
      </w:r>
    </w:p>
    <w:p>
      <w:pPr>
        <w:pStyle w:val="yMiscellaneousBody"/>
        <w:spacing w:before="0"/>
        <w:ind w:left="567" w:hanging="567"/>
      </w:pPr>
      <w:r>
        <w:t>*</w:t>
      </w:r>
      <w:r>
        <w:tab/>
        <w:t>Delete the inapplicable.</w:t>
      </w:r>
    </w:p>
    <w:p>
      <w:pPr>
        <w:pStyle w:val="yMiscellaneousBody"/>
        <w:spacing w:before="0"/>
        <w:ind w:left="567" w:hanging="567"/>
      </w:pPr>
      <w:r>
        <w:t>1.</w:t>
      </w:r>
      <w:r>
        <w:tab/>
        <w:t>Geographical address: see RSC Order 71A rule 2.</w:t>
      </w:r>
    </w:p>
    <w:p>
      <w:pPr>
        <w:pStyle w:val="yMiscellaneousBody"/>
        <w:spacing w:before="0"/>
        <w:ind w:left="567" w:hanging="567"/>
      </w:pPr>
      <w:r>
        <w:t>2.</w:t>
      </w:r>
      <w:r>
        <w:tab/>
        <w:t>Leave blank if no email address is known.</w:t>
      </w:r>
    </w:p>
    <w:p>
      <w:pPr>
        <w:pStyle w:val="yFootnotesection"/>
      </w:pPr>
      <w:r>
        <w:tab/>
        <w:t>[Form 5A inserted: Gazette 22 Aug 2017 p. 4540</w:t>
      </w:r>
      <w:r>
        <w:noBreakHyphen/>
        <w:t>1; amended: SL 2022/60 r. 26(2).]</w:t>
      </w:r>
    </w:p>
    <w:p>
      <w:pPr>
        <w:pStyle w:val="yHeading5"/>
        <w:spacing w:after="240"/>
      </w:pPr>
      <w:bookmarkStart w:id="145" w:name="_Toc105658753"/>
      <w:r>
        <w:rPr>
          <w:rStyle w:val="CharSClsNo"/>
        </w:rPr>
        <w:t>6</w:t>
      </w:r>
      <w:r>
        <w:t>.</w:t>
      </w:r>
      <w:r>
        <w:tab/>
        <w:t>Notice of self-representation (r. 24)</w:t>
      </w:r>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46" w:name="_Toc105658754"/>
      <w:r>
        <w:rPr>
          <w:rStyle w:val="CharSClsNo"/>
        </w:rPr>
        <w:t>7</w:t>
      </w:r>
      <w:r>
        <w:t>.</w:t>
      </w:r>
      <w:r>
        <w:tab/>
        <w:t>Appellant’s case (r. 32)</w:t>
      </w:r>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lastRenderedPageBreak/>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keepNext/>
      </w:pPr>
      <w:r>
        <w:t>Notes to Form 7 —</w:t>
      </w:r>
    </w:p>
    <w:p>
      <w:pPr>
        <w:pStyle w:val="yMiscellaneousBody"/>
        <w:spacing w:before="0"/>
        <w:ind w:left="567" w:hanging="567"/>
      </w:pPr>
      <w:r>
        <w:t>1.</w:t>
      </w:r>
      <w:r>
        <w:tab/>
        <w:t>Delete this if the appeal is an interlocutory civil appeal or a sentence appeal.</w:t>
      </w:r>
    </w:p>
    <w:p>
      <w:pPr>
        <w:pStyle w:val="yFootnotesection"/>
      </w:pPr>
      <w:r>
        <w:tab/>
        <w:t>[Form 7 amended: Gazette 22 Aug 2017 p. 4541.]</w:t>
      </w:r>
    </w:p>
    <w:p>
      <w:pPr>
        <w:pStyle w:val="yHeading5"/>
        <w:spacing w:after="240"/>
      </w:pPr>
      <w:bookmarkStart w:id="147" w:name="_Toc105658755"/>
      <w:r>
        <w:rPr>
          <w:rStyle w:val="CharSClsNo"/>
        </w:rPr>
        <w:t>8</w:t>
      </w:r>
      <w:r>
        <w:t>.</w:t>
      </w:r>
      <w:r>
        <w:tab/>
        <w:t>Respondent’s answer (r. 33)</w:t>
      </w:r>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Notes to Form 8 —</w:t>
      </w:r>
    </w:p>
    <w:p>
      <w:pPr>
        <w:pStyle w:val="yMiscellaneousBody"/>
        <w:spacing w:before="0"/>
        <w:ind w:left="567" w:hanging="567"/>
      </w:pPr>
      <w:r>
        <w:t>1.</w:t>
      </w:r>
      <w:r>
        <w:tab/>
        <w:t>Delete this if the appeal is an interlocutory civil appeal or a sentence appeal.</w:t>
      </w:r>
    </w:p>
    <w:p>
      <w:pPr>
        <w:pStyle w:val="yFootnotesection"/>
      </w:pPr>
      <w:r>
        <w:tab/>
        <w:t>[Form 8 amended: Gazette 22 Aug 2017 p. 4541.]</w:t>
      </w:r>
    </w:p>
    <w:p>
      <w:pPr>
        <w:pStyle w:val="yHeading5"/>
        <w:pageBreakBefore/>
        <w:spacing w:after="240"/>
      </w:pPr>
      <w:bookmarkStart w:id="148" w:name="_Toc105658756"/>
      <w:r>
        <w:rPr>
          <w:rStyle w:val="CharSClsNo"/>
        </w:rPr>
        <w:lastRenderedPageBreak/>
        <w:t>9</w:t>
      </w:r>
      <w:r>
        <w:t>.</w:t>
      </w:r>
      <w:r>
        <w:tab/>
        <w:t>Application in an appeal (r. 44)</w:t>
      </w:r>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Body"/>
        <w:keepNext/>
      </w:pPr>
      <w:r>
        <w:t>Notes to Form 9 —</w:t>
      </w:r>
    </w:p>
    <w:p>
      <w:pPr>
        <w:pStyle w:val="yMiscellaneousBody"/>
        <w:spacing w:before="0"/>
        <w:ind w:left="567" w:hanging="567"/>
      </w:pPr>
      <w:r>
        <w:t>1.</w:t>
      </w:r>
      <w:r>
        <w:tab/>
        <w:t>State —</w:t>
      </w:r>
    </w:p>
    <w:p>
      <w:pPr>
        <w:pStyle w:val="yMiscellaneousBody"/>
        <w:numPr>
          <w:ilvl w:val="0"/>
          <w:numId w:val="1"/>
        </w:numPr>
        <w:tabs>
          <w:tab w:val="clear" w:pos="1644"/>
        </w:tabs>
        <w:spacing w:before="0"/>
        <w:ind w:left="828" w:hanging="261"/>
      </w:pPr>
      <w:r>
        <w:t>the order or orders sought; and</w:t>
      </w:r>
    </w:p>
    <w:p>
      <w:pPr>
        <w:pStyle w:val="yMiscellaneousBody"/>
        <w:numPr>
          <w:ilvl w:val="0"/>
          <w:numId w:val="1"/>
        </w:numPr>
        <w:tabs>
          <w:tab w:val="clear" w:pos="1644"/>
        </w:tabs>
        <w:spacing w:before="0"/>
        <w:ind w:left="828" w:hanging="261"/>
      </w:pPr>
      <w:r>
        <w:t>the written law and provision under which the application is made.</w:t>
      </w:r>
    </w:p>
    <w:p>
      <w:pPr>
        <w:pStyle w:val="yMiscellaneousBody"/>
        <w:spacing w:before="0"/>
        <w:ind w:left="567" w:hanging="567"/>
      </w:pPr>
      <w:r>
        <w:t>2.</w:t>
      </w:r>
      <w:r>
        <w:tab/>
        <w:t>List the unresolved issues in numbered paragraphs.</w:t>
      </w:r>
    </w:p>
    <w:p>
      <w:pPr>
        <w:pStyle w:val="yMiscellaneousBody"/>
        <w:spacing w:before="0"/>
        <w:ind w:left="567" w:hanging="567"/>
      </w:pPr>
      <w:r>
        <w:t>3.</w:t>
      </w:r>
      <w:r>
        <w:tab/>
        <w:t>State the reasons why the parties have not conferred.</w:t>
      </w:r>
    </w:p>
    <w:p>
      <w:pPr>
        <w:pStyle w:val="yFootnotesection"/>
      </w:pPr>
      <w:r>
        <w:tab/>
        <w:t>[Form 9 amended: Gazette 22 Aug 2017 p. 4541</w:t>
      </w:r>
      <w:r>
        <w:noBreakHyphen/>
        <w:t>2.]</w:t>
      </w:r>
    </w:p>
    <w:p>
      <w:pPr>
        <w:pStyle w:val="yHeading5"/>
        <w:pageBreakBefore/>
        <w:spacing w:after="240"/>
      </w:pPr>
      <w:bookmarkStart w:id="149" w:name="_Toc105658757"/>
      <w:r>
        <w:rPr>
          <w:rStyle w:val="CharSClsNo"/>
        </w:rPr>
        <w:lastRenderedPageBreak/>
        <w:t>10</w:t>
      </w:r>
      <w:r>
        <w:t>.</w:t>
      </w:r>
      <w:r>
        <w:tab/>
        <w:t>Consent notice (r. 45 &amp; 60)</w:t>
      </w:r>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50" w:name="_Toc105658758"/>
      <w:r>
        <w:rPr>
          <w:rStyle w:val="CharSClsNo"/>
        </w:rPr>
        <w:t>11</w:t>
      </w:r>
      <w:r>
        <w:t>.</w:t>
      </w:r>
      <w:r>
        <w:tab/>
        <w:t>Affidavit cover sheet (r. 21(3))</w:t>
      </w:r>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Body"/>
        <w:keepNext/>
      </w:pPr>
      <w:r>
        <w:t>Notes to Form 11 —</w:t>
      </w:r>
    </w:p>
    <w:p>
      <w:pPr>
        <w:pStyle w:val="yMiscellaneousBody"/>
        <w:spacing w:before="0"/>
        <w:ind w:left="567" w:hanging="567"/>
      </w:pPr>
      <w:r>
        <w:t>1.</w:t>
      </w:r>
      <w:r>
        <w:tab/>
        <w:t>The affidavit must comply with the RSC Order 37.</w:t>
      </w:r>
    </w:p>
    <w:p>
      <w:pPr>
        <w:pStyle w:val="yMiscellaneousBody"/>
        <w:spacing w:before="0"/>
        <w:ind w:left="567" w:hanging="567"/>
      </w:pPr>
      <w:r>
        <w:t>2.</w:t>
      </w:r>
      <w:r>
        <w:tab/>
        <w:t>The index must comply with the RSC Order 37 Rule 2(7). The above form contains in italics an example of an index.</w:t>
      </w:r>
    </w:p>
    <w:p>
      <w:pPr>
        <w:pStyle w:val="yHeading5"/>
        <w:spacing w:after="240"/>
      </w:pPr>
      <w:bookmarkStart w:id="151" w:name="_Toc105658759"/>
      <w:r>
        <w:rPr>
          <w:rStyle w:val="CharSClsNo"/>
        </w:rPr>
        <w:lastRenderedPageBreak/>
        <w:t>12</w:t>
      </w:r>
      <w:r>
        <w:t>.</w:t>
      </w:r>
      <w:r>
        <w:tab/>
        <w:t>Request for hearing (r. 19)</w:t>
      </w:r>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152" w:name="_Toc105658760"/>
      <w:r>
        <w:rPr>
          <w:rStyle w:val="CharSClsNo"/>
        </w:rPr>
        <w:t>13</w:t>
      </w:r>
      <w:r>
        <w:t>.</w:t>
      </w:r>
      <w:r>
        <w:tab/>
        <w:t>Application for review of single judge’s or registrar’s decision (r. 8 &amp; 15)</w:t>
      </w:r>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Body"/>
        <w:keepNext/>
      </w:pPr>
      <w:r>
        <w:t>Notes to Form 13 —</w:t>
      </w:r>
    </w:p>
    <w:p>
      <w:pPr>
        <w:pStyle w:val="yMiscellaneousBody"/>
        <w:spacing w:before="0"/>
        <w:ind w:left="567" w:hanging="567"/>
      </w:pPr>
      <w:r>
        <w:t>1.</w:t>
      </w:r>
      <w:r>
        <w:tab/>
        <w:t>Set out the grounds in numbered paragraphs.</w:t>
      </w:r>
    </w:p>
    <w:p>
      <w:pPr>
        <w:pStyle w:val="yHeading5"/>
        <w:spacing w:after="240"/>
      </w:pPr>
      <w:bookmarkStart w:id="153" w:name="_Toc105658761"/>
      <w:r>
        <w:rPr>
          <w:rStyle w:val="CharSClsNo"/>
        </w:rPr>
        <w:lastRenderedPageBreak/>
        <w:t>14</w:t>
      </w:r>
      <w:r>
        <w:t>.</w:t>
      </w:r>
      <w:r>
        <w:tab/>
        <w:t>Appeal book, cover page (r. 39(5))</w:t>
      </w:r>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Body"/>
        <w:keepNext/>
      </w:pPr>
      <w:r>
        <w:t>Notes to Form 14 —</w:t>
      </w:r>
    </w:p>
    <w:p>
      <w:pPr>
        <w:pStyle w:val="yMiscellaneousBody"/>
        <w:spacing w:before="0"/>
        <w:ind w:left="567" w:hanging="567"/>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Body"/>
        <w:spacing w:before="0"/>
        <w:ind w:left="567" w:hanging="567"/>
      </w:pPr>
      <w:r>
        <w:t>2.</w:t>
      </w:r>
      <w:r>
        <w:tab/>
        <w:t>If the party is represented by a lawyer, these details must be the lawyer’s. If the party is self-represented, these details must be the party’s personal details.</w:t>
      </w:r>
    </w:p>
    <w:p>
      <w:pPr>
        <w:pStyle w:val="yHeading5"/>
        <w:spacing w:after="240"/>
      </w:pPr>
      <w:bookmarkStart w:id="154" w:name="_Toc105658762"/>
      <w:r>
        <w:rPr>
          <w:rStyle w:val="CharSClsNo"/>
        </w:rPr>
        <w:t>14A</w:t>
      </w:r>
      <w:r>
        <w:t>.</w:t>
      </w:r>
      <w:r>
        <w:tab/>
        <w:t>Certificate of correctness of appeal book (r. 41(c))</w:t>
      </w:r>
      <w:bookmarkEnd w:id="1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lastRenderedPageBreak/>
              <w:t>Signature of appellant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pPr>
      <w:r>
        <w:tab/>
        <w:t>[Form 14A inserted: Gazette 22 Aug 2017 p. 4542.]</w:t>
      </w:r>
    </w:p>
    <w:p>
      <w:pPr>
        <w:pStyle w:val="yHeading5"/>
        <w:spacing w:after="240"/>
      </w:pPr>
      <w:bookmarkStart w:id="155" w:name="_Toc105658763"/>
      <w:r>
        <w:rPr>
          <w:rStyle w:val="CharSClsNo"/>
        </w:rPr>
        <w:t>15</w:t>
      </w:r>
      <w:r>
        <w:t>.</w:t>
      </w:r>
      <w:r>
        <w:tab/>
        <w:t>Notice of hearing date (r. 57)</w:t>
      </w:r>
      <w:bookmarkEnd w:id="15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156" w:name="_Toc105658764"/>
      <w:r>
        <w:t>16.</w:t>
      </w:r>
      <w:r>
        <w:tab/>
        <w:t>Discontinuance notice (r. 59)</w:t>
      </w:r>
      <w:bookmarkEnd w:id="156"/>
    </w:p>
    <w:tbl>
      <w:tblPr>
        <w:tblW w:w="7093" w:type="dxa"/>
        <w:tblInd w:w="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2"/>
        <w:gridCol w:w="2532"/>
        <w:gridCol w:w="1824"/>
        <w:gridCol w:w="1295"/>
      </w:tblGrid>
      <w:tr>
        <w:trPr>
          <w:cantSplit/>
          <w:trHeight w:val="329"/>
        </w:trPr>
        <w:tc>
          <w:tcPr>
            <w:tcW w:w="3974" w:type="dxa"/>
            <w:gridSpan w:val="2"/>
            <w:vMerge w:val="restart"/>
            <w:noWrap/>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119" w:type="dxa"/>
            <w:gridSpan w:val="2"/>
            <w:tcBorders>
              <w:bottom w:val="nil"/>
            </w:tcBorders>
            <w:noWrap/>
            <w:vAlign w:val="center"/>
          </w:tcPr>
          <w:p>
            <w:pPr>
              <w:pStyle w:val="yTableNAm"/>
              <w:spacing w:before="0"/>
              <w:rPr>
                <w:sz w:val="20"/>
              </w:rPr>
            </w:pPr>
            <w:r>
              <w:rPr>
                <w:sz w:val="20"/>
              </w:rPr>
              <w:t>No:</w:t>
            </w:r>
          </w:p>
        </w:tc>
      </w:tr>
      <w:tr>
        <w:trPr>
          <w:cantSplit/>
          <w:trHeight w:val="328"/>
        </w:trPr>
        <w:tc>
          <w:tcPr>
            <w:tcW w:w="3974" w:type="dxa"/>
            <w:gridSpan w:val="2"/>
            <w:vMerge/>
            <w:tcBorders>
              <w:bottom w:val="nil"/>
            </w:tcBorders>
            <w:noWrap/>
          </w:tcPr>
          <w:p>
            <w:pPr>
              <w:pStyle w:val="yTable"/>
              <w:spacing w:before="0"/>
              <w:rPr>
                <w:sz w:val="20"/>
              </w:rPr>
            </w:pPr>
          </w:p>
        </w:tc>
        <w:tc>
          <w:tcPr>
            <w:tcW w:w="3119" w:type="dxa"/>
            <w:gridSpan w:val="2"/>
            <w:tcBorders>
              <w:bottom w:val="nil"/>
            </w:tcBorders>
            <w:noWrap/>
          </w:tcPr>
          <w:p>
            <w:pPr>
              <w:pStyle w:val="yTableNAm"/>
              <w:spacing w:before="0"/>
              <w:rPr>
                <w:b/>
                <w:sz w:val="20"/>
              </w:rPr>
            </w:pPr>
            <w:r>
              <w:rPr>
                <w:b/>
              </w:rPr>
              <w:t>Discontinuance</w:t>
            </w:r>
            <w:r>
              <w:rPr>
                <w:b/>
                <w:sz w:val="20"/>
              </w:rPr>
              <w:t xml:space="preserve"> </w:t>
            </w:r>
            <w:r>
              <w:rPr>
                <w:b/>
              </w:rPr>
              <w:t>notice</w:t>
            </w:r>
          </w:p>
        </w:tc>
      </w:tr>
      <w:tr>
        <w:trPr>
          <w:cantSplit/>
        </w:trPr>
        <w:tc>
          <w:tcPr>
            <w:tcW w:w="1442" w:type="dxa"/>
            <w:tcBorders>
              <w:bottom w:val="nil"/>
            </w:tcBorders>
            <w:noWrap/>
          </w:tcPr>
          <w:p>
            <w:pPr>
              <w:pStyle w:val="yTableNAm"/>
              <w:spacing w:before="0"/>
              <w:rPr>
                <w:sz w:val="20"/>
              </w:rPr>
            </w:pPr>
            <w:r>
              <w:rPr>
                <w:sz w:val="20"/>
              </w:rPr>
              <w:t>Parties to the appeal</w:t>
            </w:r>
          </w:p>
        </w:tc>
        <w:tc>
          <w:tcPr>
            <w:tcW w:w="5651" w:type="dxa"/>
            <w:gridSpan w:val="3"/>
            <w:tcBorders>
              <w:bottom w:val="nil"/>
            </w:tcBorders>
            <w:noWrap/>
          </w:tcPr>
          <w:p>
            <w:pPr>
              <w:pStyle w:val="yTableNAm"/>
              <w:spacing w:before="0"/>
              <w:ind w:right="859"/>
              <w:jc w:val="right"/>
              <w:rPr>
                <w:sz w:val="20"/>
              </w:rPr>
            </w:pPr>
            <w:r>
              <w:rPr>
                <w:sz w:val="20"/>
              </w:rPr>
              <w:tab/>
              <w:t>Appellant</w:t>
            </w:r>
          </w:p>
          <w:p>
            <w:pPr>
              <w:pStyle w:val="yTableNAm"/>
              <w:spacing w:before="0"/>
              <w:ind w:right="717"/>
              <w:jc w:val="right"/>
              <w:rPr>
                <w:sz w:val="20"/>
              </w:rPr>
            </w:pPr>
            <w:r>
              <w:rPr>
                <w:sz w:val="20"/>
              </w:rPr>
              <w:tab/>
              <w:t>Respondent</w:t>
            </w:r>
          </w:p>
        </w:tc>
      </w:tr>
      <w:tr>
        <w:trPr>
          <w:cantSplit/>
        </w:trPr>
        <w:tc>
          <w:tcPr>
            <w:tcW w:w="1442" w:type="dxa"/>
            <w:tcBorders>
              <w:bottom w:val="nil"/>
            </w:tcBorders>
            <w:noWrap/>
          </w:tcPr>
          <w:p>
            <w:pPr>
              <w:pStyle w:val="yTableNAm"/>
              <w:spacing w:before="0"/>
              <w:rPr>
                <w:sz w:val="20"/>
              </w:rPr>
            </w:pPr>
            <w:r>
              <w:rPr>
                <w:sz w:val="20"/>
              </w:rPr>
              <w:t>Notice</w:t>
            </w:r>
          </w:p>
        </w:tc>
        <w:tc>
          <w:tcPr>
            <w:tcW w:w="5651" w:type="dxa"/>
            <w:gridSpan w:val="3"/>
            <w:tcBorders>
              <w:bottom w:val="nil"/>
            </w:tcBorders>
            <w:noWrap/>
          </w:tcPr>
          <w:p>
            <w:pPr>
              <w:pStyle w:val="yTableNAm"/>
              <w:spacing w:before="0"/>
              <w:rPr>
                <w:sz w:val="20"/>
              </w:rPr>
            </w:pPr>
            <w:r>
              <w:rPr>
                <w:sz w:val="20"/>
              </w:rPr>
              <w:t>The *appellant/respondent discontinues *this appeal/the cross appeal in this appeal.</w:t>
            </w:r>
          </w:p>
        </w:tc>
      </w:tr>
      <w:tr>
        <w:trPr>
          <w:cantSplit/>
        </w:trPr>
        <w:tc>
          <w:tcPr>
            <w:tcW w:w="1442" w:type="dxa"/>
            <w:noWrap/>
          </w:tcPr>
          <w:p>
            <w:pPr>
              <w:pStyle w:val="yTableNAm"/>
              <w:spacing w:before="0"/>
              <w:rPr>
                <w:sz w:val="20"/>
              </w:rPr>
            </w:pPr>
            <w:r>
              <w:rPr>
                <w:sz w:val="20"/>
              </w:rPr>
              <w:t>Acknowledgment of *appellant/</w:t>
            </w:r>
          </w:p>
          <w:p>
            <w:pPr>
              <w:pStyle w:val="yTableNAm"/>
              <w:spacing w:before="0"/>
              <w:rPr>
                <w:rStyle w:val="DraftersNotes"/>
                <w:b w:val="0"/>
                <w:i w:val="0"/>
                <w:u w:val="single"/>
              </w:rPr>
            </w:pPr>
            <w:r>
              <w:rPr>
                <w:sz w:val="20"/>
              </w:rPr>
              <w:t>respondent</w:t>
            </w:r>
          </w:p>
        </w:tc>
        <w:tc>
          <w:tcPr>
            <w:tcW w:w="5651" w:type="dxa"/>
            <w:gridSpan w:val="3"/>
            <w:noWrap/>
          </w:tcPr>
          <w:p>
            <w:pPr>
              <w:pStyle w:val="yTableNAm"/>
              <w:spacing w:before="0"/>
              <w:rPr>
                <w:sz w:val="20"/>
              </w:rPr>
            </w:pPr>
            <w:r>
              <w:rPr>
                <w:sz w:val="20"/>
              </w:rPr>
              <w:t xml:space="preserve">The *appellant/respondent acknowledges that by discontinuing *this appeal/the cross appeal in this appeal — </w:t>
            </w:r>
          </w:p>
          <w:p>
            <w:pPr>
              <w:pStyle w:val="yTableNAm"/>
              <w:tabs>
                <w:tab w:val="clear" w:pos="567"/>
              </w:tabs>
              <w:spacing w:before="0"/>
              <w:ind w:left="511" w:hanging="511"/>
              <w:rPr>
                <w:sz w:val="20"/>
              </w:rPr>
            </w:pPr>
            <w:r>
              <w:rPr>
                <w:sz w:val="20"/>
              </w:rPr>
              <w:t>(a)</w:t>
            </w:r>
            <w:r>
              <w:rPr>
                <w:sz w:val="20"/>
              </w:rPr>
              <w:tab/>
              <w:t>the *appeal/cross appeal is brought to an end; and</w:t>
            </w:r>
          </w:p>
          <w:p>
            <w:pPr>
              <w:pStyle w:val="yTableNAm"/>
              <w:tabs>
                <w:tab w:val="clear" w:pos="567"/>
              </w:tabs>
              <w:spacing w:before="0"/>
              <w:ind w:left="511" w:hanging="511"/>
              <w:rPr>
                <w:sz w:val="20"/>
              </w:rPr>
            </w:pPr>
            <w:r>
              <w:rPr>
                <w:sz w:val="20"/>
              </w:rPr>
              <w:t>(b)</w:t>
            </w:r>
            <w:r>
              <w:rPr>
                <w:sz w:val="20"/>
              </w:rPr>
              <w:tab/>
              <w:t>the *appeal/cross appeal cannot subsequently be continued or reinstated.</w:t>
            </w:r>
          </w:p>
        </w:tc>
      </w:tr>
      <w:tr>
        <w:trPr>
          <w:cantSplit/>
        </w:trPr>
        <w:tc>
          <w:tcPr>
            <w:tcW w:w="1442" w:type="dxa"/>
            <w:tcBorders>
              <w:bottom w:val="single" w:sz="4" w:space="0" w:color="auto"/>
            </w:tcBorders>
            <w:noWrap/>
          </w:tcPr>
          <w:p>
            <w:pPr>
              <w:pStyle w:val="yTableNAm"/>
              <w:spacing w:before="0"/>
              <w:rPr>
                <w:sz w:val="20"/>
              </w:rPr>
            </w:pPr>
            <w:r>
              <w:rPr>
                <w:sz w:val="20"/>
              </w:rPr>
              <w:lastRenderedPageBreak/>
              <w:t>Signature of *appellant/ respondent or lawyer</w:t>
            </w:r>
            <w:r>
              <w:rPr>
                <w:sz w:val="20"/>
                <w:vertAlign w:val="superscript"/>
              </w:rPr>
              <w:t> 1</w:t>
            </w:r>
          </w:p>
        </w:tc>
        <w:tc>
          <w:tcPr>
            <w:tcW w:w="4356" w:type="dxa"/>
            <w:gridSpan w:val="2"/>
            <w:tcBorders>
              <w:bottom w:val="single" w:sz="4" w:space="0" w:color="auto"/>
            </w:tcBorders>
            <w:noWrap/>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p>
            <w:pPr>
              <w:pStyle w:val="yTableNAm"/>
              <w:spacing w:before="0"/>
              <w:rPr>
                <w:sz w:val="20"/>
              </w:rPr>
            </w:pPr>
            <w:r>
              <w:rPr>
                <w:sz w:val="20"/>
              </w:rPr>
              <w:t>Respondent/Respondent’s lawyer</w:t>
            </w:r>
          </w:p>
        </w:tc>
        <w:tc>
          <w:tcPr>
            <w:tcW w:w="1295" w:type="dxa"/>
            <w:tcBorders>
              <w:bottom w:val="single" w:sz="4" w:space="0" w:color="auto"/>
            </w:tcBorders>
            <w:noWrap/>
          </w:tcPr>
          <w:p>
            <w:pPr>
              <w:pStyle w:val="yTableNAm"/>
              <w:spacing w:before="0"/>
              <w:rPr>
                <w:sz w:val="20"/>
              </w:rPr>
            </w:pPr>
            <w:r>
              <w:rPr>
                <w:sz w:val="20"/>
              </w:rPr>
              <w:t>Date:</w:t>
            </w:r>
          </w:p>
        </w:tc>
      </w:tr>
    </w:tbl>
    <w:p>
      <w:pPr>
        <w:pStyle w:val="yMiscellaneousBody"/>
      </w:pPr>
      <w:r>
        <w:t>Notes to Form 16 —</w:t>
      </w:r>
    </w:p>
    <w:p>
      <w:pPr>
        <w:pStyle w:val="yMiscellaneousBody"/>
        <w:spacing w:before="0"/>
        <w:ind w:left="567" w:hanging="567"/>
      </w:pPr>
      <w:r>
        <w:t>*</w:t>
      </w:r>
      <w:r>
        <w:tab/>
        <w:t>Delete the inapplicable.</w:t>
      </w:r>
    </w:p>
    <w:p>
      <w:pPr>
        <w:pStyle w:val="yMiscellaneousBody"/>
        <w:spacing w:before="0"/>
        <w:ind w:left="567" w:hanging="567"/>
      </w:pPr>
      <w:r>
        <w:t>1.</w:t>
      </w:r>
      <w:r>
        <w:tab/>
        <w:t xml:space="preserve">If the appeal is a criminal appeal, this form must be signed by both the appellant and a lawyer (if any) acting for the appellant: see the </w:t>
      </w:r>
      <w:r>
        <w:rPr>
          <w:i/>
        </w:rPr>
        <w:t>Supreme Court (Court of Appeal) Rules 2005</w:t>
      </w:r>
      <w:r>
        <w:t xml:space="preserve"> rule 59(1A).</w:t>
      </w:r>
    </w:p>
    <w:p>
      <w:pPr>
        <w:pStyle w:val="yFootnotesection"/>
      </w:pPr>
      <w:r>
        <w:tab/>
        <w:t>[Form 16 inserted: SL 2022/60 r. 26(3).]</w:t>
      </w:r>
    </w:p>
    <w:p>
      <w:pPr>
        <w:pStyle w:val="yHeading5"/>
        <w:spacing w:after="240"/>
      </w:pPr>
      <w:bookmarkStart w:id="157" w:name="_Toc105658765"/>
      <w:r>
        <w:rPr>
          <w:rStyle w:val="CharSClsNo"/>
        </w:rPr>
        <w:t>17</w:t>
      </w:r>
      <w:r>
        <w:t>.</w:t>
      </w:r>
      <w:r>
        <w:tab/>
        <w:t>Certificate of conclusion of criminal appeal (r. 62)</w:t>
      </w:r>
      <w:bookmarkEnd w:id="1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Body"/>
      </w:pPr>
      <w:r>
        <w:t>Notes to Form 17 —</w:t>
      </w:r>
    </w:p>
    <w:p>
      <w:pPr>
        <w:pStyle w:val="yMiscellaneousBody"/>
        <w:spacing w:before="0"/>
        <w:ind w:left="567" w:hanging="567"/>
      </w:pPr>
      <w:r>
        <w:t>1.</w:t>
      </w:r>
      <w:r>
        <w:tab/>
        <w:t>Do not complete if appeal is discontinued.</w:t>
      </w:r>
    </w:p>
    <w:p>
      <w:pPr>
        <w:pStyle w:val="yMiscellaneousBody"/>
        <w:spacing w:before="0"/>
        <w:ind w:left="567" w:hanging="567"/>
      </w:pPr>
      <w:r>
        <w:t>2.</w:t>
      </w:r>
      <w:r>
        <w:tab/>
        <w:t>Set out the Court of Appeal’s judgment and any consequential orders made or, if the appeal was discontinued, that it was discontinued.</w:t>
      </w:r>
    </w:p>
    <w:p>
      <w:pPr>
        <w:pStyle w:val="yHeading5"/>
        <w:pageBreakBefore/>
        <w:spacing w:after="240"/>
      </w:pPr>
      <w:bookmarkStart w:id="158" w:name="_Toc105658766"/>
      <w:r>
        <w:rPr>
          <w:rStyle w:val="CharSClsNo"/>
        </w:rPr>
        <w:lastRenderedPageBreak/>
        <w:t>18</w:t>
      </w:r>
      <w:r>
        <w:t>.</w:t>
      </w:r>
      <w:r>
        <w:tab/>
        <w:t>Referral of legal issue to Court of Appeal (r. 67)</w:t>
      </w:r>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Body"/>
      </w:pPr>
      <w:r>
        <w:t>Notes to Form 18 —</w:t>
      </w:r>
    </w:p>
    <w:p>
      <w:pPr>
        <w:pStyle w:val="yMiscellaneousBody"/>
        <w:spacing w:before="0"/>
        <w:ind w:left="567" w:hanging="567"/>
      </w:pPr>
      <w:r>
        <w:t>1.</w:t>
      </w:r>
      <w:r>
        <w:tab/>
        <w:t>Set out the nature of the primary court case. Examples:</w:t>
      </w:r>
    </w:p>
    <w:p>
      <w:pPr>
        <w:pStyle w:val="yMiscellaneousBody"/>
        <w:numPr>
          <w:ilvl w:val="0"/>
          <w:numId w:val="1"/>
        </w:numPr>
        <w:tabs>
          <w:tab w:val="clear" w:pos="1644"/>
        </w:tabs>
        <w:spacing w:before="0"/>
        <w:ind w:left="828" w:hanging="261"/>
      </w:pPr>
      <w:r>
        <w:t>… the accused was indicted on the attached indictment …</w:t>
      </w:r>
    </w:p>
    <w:p>
      <w:pPr>
        <w:pStyle w:val="yMiscellaneousBody"/>
        <w:numPr>
          <w:ilvl w:val="0"/>
          <w:numId w:val="1"/>
        </w:numPr>
        <w:tabs>
          <w:tab w:val="clear" w:pos="1644"/>
        </w:tabs>
        <w:spacing w:before="0"/>
        <w:ind w:left="828" w:hanging="261"/>
      </w:pPr>
      <w:r>
        <w:t>… the plaintiff sued the defendant in negligence …</w:t>
      </w:r>
    </w:p>
    <w:p>
      <w:pPr>
        <w:pStyle w:val="yMiscellaneousBody"/>
        <w:spacing w:before="0"/>
        <w:ind w:left="567" w:hanging="567"/>
      </w:pPr>
      <w:r>
        <w:t>2.</w:t>
      </w:r>
      <w:r>
        <w:tab/>
        <w:t>State the short title and section of the Act under which the referral is being made.</w:t>
      </w:r>
    </w:p>
    <w:p>
      <w:pPr>
        <w:pStyle w:val="yMiscellaneousBody"/>
        <w:spacing w:before="0"/>
        <w:ind w:left="567" w:hanging="567"/>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60" w:name="_Toc105595073"/>
      <w:bookmarkStart w:id="161" w:name="_Toc105595190"/>
      <w:bookmarkStart w:id="162" w:name="_Toc105658767"/>
      <w:r>
        <w:lastRenderedPageBreak/>
        <w:t>Notes</w:t>
      </w:r>
      <w:bookmarkEnd w:id="160"/>
      <w:bookmarkEnd w:id="161"/>
      <w:bookmarkEnd w:id="162"/>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63" w:name="_Toc105658768"/>
      <w:r>
        <w:t>Compilation table</w:t>
      </w:r>
      <w:bookmarkEnd w:id="16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r>
        <w:tc>
          <w:tcPr>
            <w:tcW w:w="3118" w:type="dxa"/>
            <w:tcBorders>
              <w:top w:val="nil"/>
              <w:bottom w:val="nil"/>
            </w:tcBorders>
          </w:tcPr>
          <w:p>
            <w:pPr>
              <w:pStyle w:val="nTable"/>
              <w:rPr>
                <w:i/>
              </w:rPr>
            </w:pPr>
            <w:r>
              <w:rPr>
                <w:i/>
              </w:rPr>
              <w:t>Supreme Court Rules Amendment (Court of Appeal) Rules 2021</w:t>
            </w:r>
            <w:r>
              <w:t xml:space="preserve"> Pt. 2</w:t>
            </w:r>
          </w:p>
        </w:tc>
        <w:tc>
          <w:tcPr>
            <w:tcW w:w="1276" w:type="dxa"/>
            <w:tcBorders>
              <w:top w:val="nil"/>
              <w:bottom w:val="nil"/>
            </w:tcBorders>
          </w:tcPr>
          <w:p>
            <w:pPr>
              <w:pStyle w:val="nTable"/>
            </w:pPr>
            <w:r>
              <w:t>SL 2021/34 30 Mar 2021</w:t>
            </w:r>
          </w:p>
        </w:tc>
        <w:tc>
          <w:tcPr>
            <w:tcW w:w="2693" w:type="dxa"/>
            <w:tcBorders>
              <w:top w:val="nil"/>
              <w:bottom w:val="nil"/>
            </w:tcBorders>
          </w:tcPr>
          <w:p>
            <w:pPr>
              <w:pStyle w:val="nTable"/>
            </w:pPr>
            <w:r>
              <w:t>3 May 2021 (see r. 2(b))</w:t>
            </w:r>
          </w:p>
        </w:tc>
      </w:tr>
      <w:tr>
        <w:tc>
          <w:tcPr>
            <w:tcW w:w="3118" w:type="dxa"/>
            <w:tcBorders>
              <w:top w:val="nil"/>
              <w:bottom w:val="single" w:sz="4" w:space="0" w:color="auto"/>
            </w:tcBorders>
          </w:tcPr>
          <w:p>
            <w:pPr>
              <w:pStyle w:val="nTable"/>
              <w:spacing w:after="40"/>
            </w:pPr>
            <w:r>
              <w:rPr>
                <w:i/>
              </w:rPr>
              <w:t>Supreme Court (Court of Appeal) Amendment Rules 2022</w:t>
            </w:r>
          </w:p>
        </w:tc>
        <w:tc>
          <w:tcPr>
            <w:tcW w:w="1276" w:type="dxa"/>
            <w:tcBorders>
              <w:top w:val="nil"/>
              <w:bottom w:val="single" w:sz="4" w:space="0" w:color="auto"/>
            </w:tcBorders>
          </w:tcPr>
          <w:p>
            <w:pPr>
              <w:pStyle w:val="nTable"/>
              <w:spacing w:after="40"/>
            </w:pPr>
            <w:r>
              <w:t>SL 2022/60</w:t>
            </w:r>
            <w:r>
              <w:br/>
              <w:t>20 May 2022</w:t>
            </w:r>
          </w:p>
        </w:tc>
        <w:tc>
          <w:tcPr>
            <w:tcW w:w="2693" w:type="dxa"/>
            <w:tcBorders>
              <w:top w:val="nil"/>
              <w:bottom w:val="single" w:sz="4" w:space="0" w:color="auto"/>
            </w:tcBorders>
          </w:tcPr>
          <w:p>
            <w:pPr>
              <w:pStyle w:val="nTable"/>
              <w:spacing w:after="40"/>
            </w:pPr>
            <w:r>
              <w:t>r. 1 and 2: 20 May 2022 (see r. 2(a));</w:t>
            </w:r>
            <w:r>
              <w:br/>
              <w:t>Rules other than r. 1 and 2: 3 Jun 2022 (see r. 2(b))</w:t>
            </w:r>
          </w:p>
        </w:tc>
      </w:tr>
    </w:tbl>
    <w:p>
      <w:pPr>
        <w:pStyle w:val="nHeading3"/>
      </w:pPr>
      <w:bookmarkStart w:id="164" w:name="_Toc105658769"/>
      <w:r>
        <w:t>Uncommenced provisions table</w:t>
      </w:r>
      <w:bookmarkEnd w:id="16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Supreme Court Rules Amendment (Legal Profession) Rules 2022</w:t>
            </w:r>
            <w:r>
              <w:t xml:space="preserve"> Pt. 5</w:t>
            </w:r>
          </w:p>
        </w:tc>
        <w:tc>
          <w:tcPr>
            <w:tcW w:w="1276" w:type="dxa"/>
          </w:tcPr>
          <w:p>
            <w:pPr>
              <w:pStyle w:val="nTable"/>
              <w:spacing w:after="40"/>
            </w:pPr>
            <w:r>
              <w:t>SL 2022/74 14 Jun 2022</w:t>
            </w:r>
          </w:p>
        </w:tc>
        <w:tc>
          <w:tcPr>
            <w:tcW w:w="2693" w:type="dxa"/>
          </w:tcPr>
          <w:p>
            <w:pPr>
              <w:pStyle w:val="nTable"/>
              <w:spacing w:after="40"/>
            </w:pPr>
            <w:r>
              <w:t xml:space="preserve">Operative on commencement of </w:t>
            </w:r>
            <w:r>
              <w:rPr>
                <w:i/>
              </w:rPr>
              <w:t>Legal Profession Uniform Law Application Act 2022</w:t>
            </w:r>
            <w:r>
              <w:t xml:space="preserve"> s. 6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66" w:name="_Toc105595075"/>
      <w:bookmarkStart w:id="167" w:name="_Toc105595193"/>
      <w:bookmarkStart w:id="168" w:name="_Toc105658770"/>
      <w:r>
        <w:rPr>
          <w:sz w:val="28"/>
        </w:rPr>
        <w:lastRenderedPageBreak/>
        <w:t>Defined terms</w:t>
      </w:r>
      <w:bookmarkEnd w:id="166"/>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appeal</w:t>
      </w:r>
      <w:r>
        <w:tab/>
        <w:t>3(1)</w:t>
      </w:r>
    </w:p>
    <w:p>
      <w:pPr>
        <w:pStyle w:val="DefinedTerms"/>
      </w:pPr>
      <w:r>
        <w:t>appeal notice</w:t>
      </w:r>
      <w:r>
        <w:tab/>
        <w:t>3(1)</w:t>
      </w:r>
    </w:p>
    <w:p>
      <w:pPr>
        <w:pStyle w:val="DefinedTerms"/>
      </w:pPr>
      <w:r>
        <w:t>appellant</w:t>
      </w:r>
      <w:r>
        <w:tab/>
        <w:t>3(1)</w:t>
      </w:r>
    </w:p>
    <w:p>
      <w:pPr>
        <w:pStyle w:val="DefinedTerms"/>
      </w:pPr>
      <w:r>
        <w:t>appellant’s grounds of appeal</w:t>
      </w:r>
      <w:r>
        <w:tab/>
        <w:t>33(1)</w:t>
      </w:r>
    </w:p>
    <w:p>
      <w:pPr>
        <w:pStyle w:val="DefinedTerms"/>
      </w:pPr>
      <w:r>
        <w:t>approved mediator</w:t>
      </w:r>
      <w:r>
        <w:tab/>
        <w:t>47(1)</w:t>
      </w:r>
    </w:p>
    <w:p>
      <w:pPr>
        <w:pStyle w:val="DefinedTerms"/>
      </w:pPr>
      <w:r>
        <w:t>audio link</w:t>
      </w:r>
      <w:r>
        <w:tab/>
        <w:t>3(1)</w:t>
      </w:r>
    </w:p>
    <w:p>
      <w:pPr>
        <w:pStyle w:val="DefinedTerms"/>
      </w:pPr>
      <w:r>
        <w:t>CA matter</w:t>
      </w:r>
      <w:r>
        <w:tab/>
        <w:t>3(1)</w:t>
      </w:r>
    </w:p>
    <w:p>
      <w:pPr>
        <w:pStyle w:val="DefinedTerms"/>
      </w:pPr>
      <w:r>
        <w:t>civil appeal</w:t>
      </w:r>
      <w:r>
        <w:tab/>
        <w:t>3(1)</w:t>
      </w:r>
    </w:p>
    <w:p>
      <w:pPr>
        <w:pStyle w:val="DefinedTerms"/>
      </w:pPr>
      <w:r>
        <w:t>concluded</w:t>
      </w:r>
      <w:r>
        <w:tab/>
        <w:t>3(1)</w:t>
      </w:r>
    </w:p>
    <w:p>
      <w:pPr>
        <w:pStyle w:val="DefinedTerms"/>
      </w:pPr>
      <w:r>
        <w:t>costs</w:t>
      </w:r>
      <w:r>
        <w:tab/>
        <w:t>66(1)</w:t>
      </w:r>
    </w:p>
    <w:p>
      <w:pPr>
        <w:pStyle w:val="DefinedTerms"/>
      </w:pPr>
      <w:r>
        <w:t>criminal appeal</w:t>
      </w:r>
      <w:r>
        <w:tab/>
        <w:t>3(1)</w:t>
      </w:r>
    </w:p>
    <w:p>
      <w:pPr>
        <w:pStyle w:val="DefinedTerms"/>
      </w:pPr>
      <w:r>
        <w:t>cross appeal</w:t>
      </w:r>
      <w:r>
        <w:tab/>
        <w:t>31A(1)</w:t>
      </w:r>
    </w:p>
    <w:p>
      <w:pPr>
        <w:pStyle w:val="DefinedTerms"/>
      </w:pPr>
      <w:r>
        <w:t>decision</w:t>
      </w:r>
      <w:r>
        <w:tab/>
        <w:t>3(1)</w:t>
      </w:r>
    </w:p>
    <w:p>
      <w:pPr>
        <w:pStyle w:val="DefinedTerms"/>
      </w:pPr>
      <w:r>
        <w:t>examiner</w:t>
      </w:r>
      <w:r>
        <w:tab/>
        <w:t>55(1)</w:t>
      </w:r>
    </w:p>
    <w:p>
      <w:pPr>
        <w:pStyle w:val="DefinedTerms"/>
      </w:pPr>
      <w:r>
        <w:t>file</w:t>
      </w:r>
      <w:r>
        <w:tab/>
        <w:t>3(1)</w:t>
      </w:r>
    </w:p>
    <w:p>
      <w:pPr>
        <w:pStyle w:val="DefinedTerms"/>
      </w:pPr>
      <w:r>
        <w:t>Form</w:t>
      </w:r>
      <w:r>
        <w:tab/>
        <w:t>3(1)</w:t>
      </w:r>
    </w:p>
    <w:p>
      <w:pPr>
        <w:pStyle w:val="DefinedTerms"/>
      </w:pPr>
      <w:r>
        <w:t>interim order</w:t>
      </w:r>
      <w:r>
        <w:tab/>
        <w:t>3(1)</w:t>
      </w:r>
    </w:p>
    <w:p>
      <w:pPr>
        <w:pStyle w:val="DefinedTerms"/>
      </w:pPr>
      <w:r>
        <w:t>interlocutory civil appeal</w:t>
      </w:r>
      <w:r>
        <w:tab/>
        <w:t>3(1)</w:t>
      </w:r>
    </w:p>
    <w:p>
      <w:pPr>
        <w:pStyle w:val="DefinedTerms"/>
      </w:pPr>
      <w:r>
        <w:t>lawyer</w:t>
      </w:r>
      <w:r>
        <w:tab/>
        <w:t>3(1)</w:t>
      </w:r>
    </w:p>
    <w:p>
      <w:pPr>
        <w:pStyle w:val="DefinedTerms"/>
      </w:pPr>
      <w:r>
        <w:t>legal issue</w:t>
      </w:r>
      <w:r>
        <w:tab/>
        <w:t>67(1)</w:t>
      </w:r>
    </w:p>
    <w:p>
      <w:pPr>
        <w:pStyle w:val="DefinedTerms"/>
      </w:pPr>
      <w:r>
        <w:t>party</w:t>
      </w:r>
      <w:r>
        <w:tab/>
        <w:t>3(1)</w:t>
      </w:r>
    </w:p>
    <w:p>
      <w:pPr>
        <w:pStyle w:val="DefinedTerms"/>
      </w:pPr>
      <w:r>
        <w:t>primary court</w:t>
      </w:r>
      <w:r>
        <w:tab/>
        <w:t>3(1)</w:t>
      </w:r>
    </w:p>
    <w:p>
      <w:pPr>
        <w:pStyle w:val="DefinedTerms"/>
      </w:pPr>
      <w:r>
        <w:t>primary court case</w:t>
      </w:r>
      <w:r>
        <w:tab/>
        <w:t>3(1)</w:t>
      </w:r>
    </w:p>
    <w:p>
      <w:pPr>
        <w:pStyle w:val="DefinedTerms"/>
      </w:pPr>
      <w:r>
        <w:t>primary court’s decision</w:t>
      </w:r>
      <w:r>
        <w:tab/>
        <w:t>3(1)</w:t>
      </w:r>
    </w:p>
    <w:p>
      <w:pPr>
        <w:pStyle w:val="DefinedTerms"/>
      </w:pPr>
      <w:r>
        <w:t>primary court’s transcript</w:t>
      </w:r>
      <w:r>
        <w:tab/>
        <w:t>3(1)</w:t>
      </w:r>
    </w:p>
    <w:p>
      <w:pPr>
        <w:pStyle w:val="DefinedTerms"/>
      </w:pPr>
      <w:r>
        <w:t>provisional decision</w:t>
      </w:r>
      <w:r>
        <w:tab/>
        <w:t>19(2)</w:t>
      </w:r>
    </w:p>
    <w:p>
      <w:pPr>
        <w:pStyle w:val="DefinedTerms"/>
      </w:pPr>
      <w:r>
        <w:t>record</w:t>
      </w:r>
      <w:r>
        <w:tab/>
        <w:t>3(1)</w:t>
      </w:r>
    </w:p>
    <w:p>
      <w:pPr>
        <w:pStyle w:val="DefinedTerms"/>
      </w:pPr>
      <w:r>
        <w:t>refer to</w:t>
      </w:r>
      <w:r>
        <w:tab/>
        <w:t>67(1)</w:t>
      </w:r>
    </w:p>
    <w:p>
      <w:pPr>
        <w:pStyle w:val="DefinedTerms"/>
      </w:pPr>
      <w:r>
        <w:t>registrar</w:t>
      </w:r>
      <w:r>
        <w:tab/>
        <w:t>3(1)</w:t>
      </w:r>
    </w:p>
    <w:p>
      <w:pPr>
        <w:pStyle w:val="DefinedTerms"/>
      </w:pPr>
      <w:r>
        <w:t>reviewable decision</w:t>
      </w:r>
      <w:r>
        <w:tab/>
        <w:t>15(1A)</w:t>
      </w:r>
    </w:p>
    <w:p>
      <w:pPr>
        <w:pStyle w:val="DefinedTerms"/>
      </w:pPr>
      <w:r>
        <w:t>RSC</w:t>
      </w:r>
      <w:r>
        <w:tab/>
        <w:t>3(1)</w:t>
      </w:r>
    </w:p>
    <w:p>
      <w:pPr>
        <w:pStyle w:val="DefinedTerms"/>
      </w:pPr>
      <w:r>
        <w:t>sentence appeal</w:t>
      </w:r>
      <w:r>
        <w:tab/>
        <w:t>3(1)</w:t>
      </w:r>
    </w:p>
    <w:p>
      <w:pPr>
        <w:pStyle w:val="DefinedTerms"/>
      </w:pPr>
      <w:r>
        <w:t>single judge</w:t>
      </w:r>
      <w:r>
        <w:tab/>
        <w:t>3(1)</w:t>
      </w:r>
    </w:p>
    <w:p>
      <w:pPr>
        <w:pStyle w:val="DefinedTerms"/>
      </w:pPr>
      <w:r>
        <w:t>urgent appeal order</w:t>
      </w:r>
      <w:r>
        <w:tab/>
        <w:t>3(1)</w:t>
      </w:r>
    </w:p>
    <w:p>
      <w:pPr>
        <w:pStyle w:val="DefinedTerms"/>
      </w:pPr>
      <w:r>
        <w:t>video link</w:t>
      </w:r>
      <w:r>
        <w:tab/>
        <w:t>3(1)</w:t>
      </w:r>
    </w:p>
    <w:p>
      <w:pPr>
        <w:pStyle w:val="DefinedTerms"/>
      </w:pPr>
      <w:r>
        <w:t>working day</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9" w:name="Schedule"/>
    <w:bookmarkEnd w:id="1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9" w:name="DefinedTerms"/>
    <w:bookmarkEnd w:id="16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BC1C3456"/>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8145132"/>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 w:name="WAFER_20220519131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1737_GUID" w:val="e9c4d58b-8ed2-4db5-84c0-7cd80b733667"/>
    <w:docVar w:name="WAFER_202205300941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0094117_GUID" w:val="30f30fe1-3491-4d5e-a953-bd5d158295c0"/>
    <w:docVar w:name="WAFER_20220603083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3083855_GUID" w:val="654b0866-6ed9-4f68-a391-4b4453b4a073"/>
    <w:docVar w:name="WAFER_2022060814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132_GUID" w:val="b8384e5f-06b0-4496-937d-2f94ac980e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0DD6-7D30-4F46-90A9-DC2C9AD1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18471</Words>
  <Characters>86079</Characters>
  <Application>Microsoft Office Word</Application>
  <DocSecurity>0</DocSecurity>
  <Lines>2776</Lines>
  <Paragraphs>2010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2005 - 00-j0-00</dc:title>
  <dc:subject/>
  <dc:creator/>
  <cp:keywords/>
  <dc:description/>
  <cp:lastModifiedBy>Master Repository Process</cp:lastModifiedBy>
  <cp:revision>4</cp:revision>
  <cp:lastPrinted>2017-09-04T04:07:00Z</cp:lastPrinted>
  <dcterms:created xsi:type="dcterms:W3CDTF">2022-06-13T06:16:00Z</dcterms:created>
  <dcterms:modified xsi:type="dcterms:W3CDTF">2022-06-13T06:16:00Z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AsAtDate">
    <vt:lpwstr>14 Jun 2022</vt:lpwstr>
  </property>
  <property fmtid="{D5CDD505-2E9C-101B-9397-08002B2CF9AE}" pid="6" name="Suffix">
    <vt:lpwstr>00-j0-00</vt:lpwstr>
  </property>
  <property fmtid="{D5CDD505-2E9C-101B-9397-08002B2CF9AE}" pid="7" name="CommencementDate">
    <vt:lpwstr>20220614</vt:lpwstr>
  </property>
</Properties>
</file>