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Control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Tobacco Control (Smokeless Tobacco) Regulations 1991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Tobacco Products Control Act 2006 </w:t>
      </w:r>
      <w:r>
        <w:rPr>
          <w:iCs/>
          <w:color w:val="000000"/>
          <w:sz w:val="22"/>
          <w:szCs w:val="22"/>
        </w:rPr>
        <w:t>s. </w:t>
      </w:r>
      <w:r>
        <w:rPr>
          <w:color w:val="000000"/>
          <w:sz w:val="22"/>
          <w:szCs w:val="22"/>
        </w:rPr>
        <w:t xml:space="preserve">126 (No. 5 of 2006) as at 31 Jul 2006 (see s. 2 and </w:t>
      </w:r>
      <w:r>
        <w:rPr>
          <w:i/>
          <w:color w:val="000000"/>
          <w:sz w:val="22"/>
          <w:szCs w:val="22"/>
        </w:rPr>
        <w:t>Gazette</w:t>
      </w:r>
      <w:r>
        <w:rPr>
          <w:color w:val="000000"/>
          <w:sz w:val="22"/>
          <w:szCs w:val="22"/>
        </w:rPr>
        <w:t xml:space="preserve"> 25 Jul 2006 p. 2701).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Control (Smokeless Tobacco)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_Toc426544405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_Toc426544406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Tobacco product in relation to which section 13(1) of Act does not apply</w:t>
      </w:r>
      <w:r>
        <w:tab/>
      </w:r>
      <w:r>
        <w:fldChar w:fldCharType="begin"/>
      </w:r>
      <w:r>
        <w:instrText xml:space="preserve"> PAGEREF _Toc426544407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_Toc426544409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_Toc426544410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Tobacco Control Act 1990</w:t>
      </w:r>
    </w:p>
    <w:p>
      <w:pPr>
        <w:pStyle w:val="NameofActReg"/>
      </w:pPr>
      <w:r>
        <w:t>Tobacco Control (Smokeless Tobacco) Regulations 1991</w:t>
      </w:r>
    </w:p>
    <w:p>
      <w:pPr>
        <w:pStyle w:val="Heading5"/>
        <w:rPr>
          <w:snapToGrid w:val="0"/>
        </w:rPr>
      </w:pPr>
      <w:bookmarkStart w:id="4" w:name="_Toc379276700"/>
      <w:bookmarkStart w:id="5" w:name="_Toc426544405"/>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Control (Smokeless Tobacco) Regulations 1991</w:t>
      </w:r>
      <w:r>
        <w:rPr>
          <w:snapToGrid w:val="0"/>
          <w:vertAlign w:val="superscript"/>
        </w:rPr>
        <w:t> 1</w:t>
      </w:r>
      <w:r>
        <w:rPr>
          <w:snapToGrid w:val="0"/>
        </w:rPr>
        <w:t>.</w:t>
      </w:r>
    </w:p>
    <w:p>
      <w:pPr>
        <w:pStyle w:val="Heading5"/>
        <w:rPr>
          <w:snapToGrid w:val="0"/>
        </w:rPr>
      </w:pPr>
      <w:bookmarkStart w:id="6" w:name="_Toc379276701"/>
      <w:bookmarkStart w:id="7" w:name="_Toc426544406"/>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the day fixed under section 2(1) of the Act</w:t>
      </w:r>
      <w:r>
        <w:rPr>
          <w:snapToGrid w:val="0"/>
          <w:vertAlign w:val="superscript"/>
        </w:rPr>
        <w:t> 1</w:t>
      </w:r>
      <w:r>
        <w:rPr>
          <w:snapToGrid w:val="0"/>
        </w:rPr>
        <w:t>.</w:t>
      </w:r>
    </w:p>
    <w:p>
      <w:pPr>
        <w:pStyle w:val="Heading5"/>
        <w:rPr>
          <w:snapToGrid w:val="0"/>
        </w:rPr>
      </w:pPr>
      <w:bookmarkStart w:id="8" w:name="_Toc379276702"/>
      <w:bookmarkStart w:id="9" w:name="_Toc426544407"/>
      <w:r>
        <w:rPr>
          <w:rStyle w:val="CharSectno"/>
        </w:rPr>
        <w:t>3</w:t>
      </w:r>
      <w:r>
        <w:rPr>
          <w:snapToGrid w:val="0"/>
        </w:rPr>
        <w:t>.</w:t>
      </w:r>
      <w:r>
        <w:rPr>
          <w:snapToGrid w:val="0"/>
        </w:rPr>
        <w:tab/>
        <w:t>Tobacco product in relation to which section 13(1) of Act does not apply</w:t>
      </w:r>
      <w:bookmarkEnd w:id="8"/>
      <w:bookmarkEnd w:id="9"/>
      <w:r>
        <w:rPr>
          <w:snapToGrid w:val="0"/>
        </w:rPr>
        <w:t xml:space="preserve"> </w:t>
      </w:r>
    </w:p>
    <w:p>
      <w:pPr>
        <w:pStyle w:val="Subsection"/>
        <w:rPr>
          <w:snapToGrid w:val="0"/>
        </w:rPr>
      </w:pPr>
      <w:r>
        <w:rPr>
          <w:snapToGrid w:val="0"/>
        </w:rPr>
        <w:tab/>
      </w:r>
      <w:r>
        <w:rPr>
          <w:snapToGrid w:val="0"/>
        </w:rPr>
        <w:tab/>
        <w:t>Section 13(1) of the Act does not apply in relation to the manufacture or sale of a tobacco product prepared, packed and labelled solely for nasal use as snuff.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379276703"/>
      <w:bookmarkStart w:id="11" w:name="_Toc426544408"/>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Tobacco Control (Smokeless Tobacco) Regulations 1991</w:t>
      </w:r>
      <w:r>
        <w:rPr>
          <w:snapToGrid w:val="0"/>
        </w:rPr>
        <w:t xml:space="preserve">.  The following table contains information about these regulations and any reprint </w:t>
      </w:r>
      <w:r>
        <w:rPr>
          <w:snapToGrid w:val="0"/>
          <w:vertAlign w:val="superscript"/>
        </w:rPr>
        <w:t>1a</w:t>
      </w:r>
      <w:r>
        <w:rPr>
          <w:snapToGrid w:val="0"/>
        </w:rPr>
        <w:t xml:space="preserve">. </w:t>
      </w:r>
    </w:p>
    <w:p>
      <w:pPr>
        <w:pStyle w:val="nHeading3"/>
        <w:rPr>
          <w:snapToGrid w:val="0"/>
        </w:rPr>
      </w:pPr>
      <w:bookmarkStart w:id="12" w:name="_Toc379276704"/>
      <w:bookmarkStart w:id="13" w:name="_Toc426544409"/>
      <w:r>
        <w:rPr>
          <w:snapToGrid w:val="0"/>
        </w:rPr>
        <w:t>Compilation table</w:t>
      </w:r>
      <w:bookmarkEnd w:id="12"/>
      <w:bookmarkEnd w:id="1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Tobacco Control (Smokeless Tobacco) Regulations 1991</w:t>
            </w:r>
          </w:p>
        </w:tc>
        <w:tc>
          <w:tcPr>
            <w:tcW w:w="1276" w:type="dxa"/>
            <w:tcBorders>
              <w:top w:val="nil"/>
              <w:bottom w:val="nil"/>
            </w:tcBorders>
          </w:tcPr>
          <w:p>
            <w:pPr>
              <w:pStyle w:val="nTable"/>
              <w:spacing w:after="40"/>
            </w:pPr>
            <w:r>
              <w:t>8 Feb 1991 p. 589</w:t>
            </w:r>
          </w:p>
        </w:tc>
        <w:tc>
          <w:tcPr>
            <w:tcW w:w="2693" w:type="dxa"/>
            <w:tcBorders>
              <w:top w:val="nil"/>
              <w:bottom w:val="nil"/>
            </w:tcBorders>
          </w:tcPr>
          <w:p>
            <w:pPr>
              <w:pStyle w:val="nTable"/>
              <w:spacing w:after="40"/>
            </w:pPr>
            <w:r>
              <w:t xml:space="preserve">8 Feb 1991 (see r. 2 and </w:t>
            </w:r>
            <w:r>
              <w:rPr>
                <w:i/>
              </w:rPr>
              <w:t>Gazette</w:t>
            </w:r>
            <w:r>
              <w:t xml:space="preserve"> 8 Feb 1991 p. 575)</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Tobacco Control (Smokeless Tobacco) Regulations 1991</w:t>
            </w:r>
            <w:r>
              <w:rPr>
                <w:b/>
              </w:rPr>
              <w:t xml:space="preserve"> as at 14 Nov 2003</w:t>
            </w:r>
          </w:p>
        </w:tc>
      </w:tr>
      <w:tr>
        <w:trPr>
          <w:cantSplit/>
        </w:trPr>
        <w:tc>
          <w:tcPr>
            <w:tcW w:w="7087" w:type="dxa"/>
            <w:gridSpan w:val="3"/>
            <w:tcBorders>
              <w:top w:val="nil"/>
            </w:tcBorders>
          </w:tcPr>
          <w:p>
            <w:pPr>
              <w:pStyle w:val="nTable"/>
              <w:spacing w:after="40"/>
              <w:rPr>
                <w:b/>
                <w:color w:val="FF0000"/>
              </w:rPr>
            </w:pPr>
            <w:r>
              <w:rPr>
                <w:b/>
                <w:color w:val="FF0000"/>
              </w:rPr>
              <w:t xml:space="preserve">These regulations were repealed by the </w:t>
            </w:r>
            <w:r>
              <w:rPr>
                <w:b/>
                <w:i/>
                <w:iCs/>
                <w:color w:val="FF0000"/>
              </w:rPr>
              <w:t>Tobacco Products Control Act 2006</w:t>
            </w:r>
            <w:r>
              <w:rPr>
                <w:b/>
                <w:color w:val="FF0000"/>
              </w:rPr>
              <w:t xml:space="preserve"> s. 126 (No. 5 of 2006) as at 31 Jul 2006 (see s. 2 and </w:t>
            </w:r>
            <w:r>
              <w:rPr>
                <w:b/>
                <w:i/>
                <w:iCs/>
                <w:color w:val="FF0000"/>
              </w:rPr>
              <w:t>Gazette</w:t>
            </w:r>
            <w:r>
              <w:rPr>
                <w:b/>
                <w:color w:val="FF0000"/>
              </w:rPr>
              <w:t xml:space="preserve"> 25 Jul 2006 p. 2701)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 w:name="_Toc379276705"/>
      <w:bookmarkStart w:id="15" w:name="_Toc426544410"/>
      <w:r>
        <w:rPr>
          <w:snapToGrid w:val="0"/>
        </w:rPr>
        <w:t>Provisions that have not come into operation</w:t>
      </w:r>
      <w:bookmarkEnd w:id="14"/>
      <w:bookmarkEnd w:id="15"/>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tc>
          <w:tcPr>
            <w:tcW w:w="2268" w:type="dxa"/>
            <w:tcBorders>
              <w:top w:val="single" w:sz="4" w:space="0" w:color="auto"/>
              <w:bottom w:val="single" w:sz="4" w:space="0" w:color="auto"/>
            </w:tcBorders>
          </w:tcPr>
          <w:p>
            <w:pPr>
              <w:pStyle w:val="nTable"/>
              <w:spacing w:before="100"/>
              <w:rPr>
                <w:b/>
                <w:bCs/>
                <w:iCs/>
              </w:rPr>
            </w:pPr>
            <w:r>
              <w:rPr>
                <w:b/>
                <w:bCs/>
                <w:iCs/>
              </w:rPr>
              <w:t>Short title</w:t>
            </w:r>
          </w:p>
        </w:tc>
        <w:tc>
          <w:tcPr>
            <w:tcW w:w="1092" w:type="dxa"/>
            <w:tcBorders>
              <w:top w:val="single" w:sz="4" w:space="0" w:color="auto"/>
              <w:bottom w:val="single" w:sz="4" w:space="0" w:color="auto"/>
            </w:tcBorders>
          </w:tcPr>
          <w:p>
            <w:pPr>
              <w:pStyle w:val="nTable"/>
              <w:spacing w:before="100"/>
              <w:rPr>
                <w:b/>
                <w:bCs/>
                <w:iCs/>
              </w:rPr>
            </w:pPr>
            <w:r>
              <w:rPr>
                <w:b/>
                <w:bCs/>
                <w:iCs/>
              </w:rPr>
              <w:t>Number and Year</w:t>
            </w:r>
          </w:p>
        </w:tc>
        <w:tc>
          <w:tcPr>
            <w:tcW w:w="1200" w:type="dxa"/>
            <w:tcBorders>
              <w:top w:val="single" w:sz="4" w:space="0" w:color="auto"/>
              <w:bottom w:val="single" w:sz="4" w:space="0" w:color="auto"/>
            </w:tcBorders>
          </w:tcPr>
          <w:p>
            <w:pPr>
              <w:pStyle w:val="nTable"/>
              <w:spacing w:before="100"/>
              <w:rPr>
                <w:b/>
                <w:bCs/>
                <w:iCs/>
              </w:rPr>
            </w:pPr>
            <w:r>
              <w:rPr>
                <w:b/>
                <w:bCs/>
                <w:iCs/>
              </w:rPr>
              <w:t>Assent</w:t>
            </w:r>
          </w:p>
        </w:tc>
        <w:tc>
          <w:tcPr>
            <w:tcW w:w="2556" w:type="dxa"/>
            <w:tcBorders>
              <w:top w:val="single" w:sz="4" w:space="0" w:color="auto"/>
              <w:bottom w:val="single" w:sz="4" w:space="0" w:color="auto"/>
            </w:tcBorders>
          </w:tcPr>
          <w:p>
            <w:pPr>
              <w:pStyle w:val="nTable"/>
              <w:spacing w:before="100"/>
              <w:rPr>
                <w:b/>
                <w:bCs/>
                <w:iCs/>
              </w:rPr>
            </w:pPr>
            <w:r>
              <w:rPr>
                <w:b/>
                <w:bCs/>
                <w:iCs/>
              </w:rPr>
              <w:t>Commencement</w:t>
            </w:r>
          </w:p>
        </w:tc>
      </w:tr>
      <w:tr>
        <w:tc>
          <w:tcPr>
            <w:tcW w:w="2268" w:type="dxa"/>
            <w:tcBorders>
              <w:top w:val="single" w:sz="4" w:space="0" w:color="auto"/>
            </w:tcBorders>
          </w:tcPr>
          <w:p>
            <w:pPr>
              <w:pStyle w:val="nTable"/>
              <w:spacing w:before="100"/>
              <w:rPr>
                <w:iCs/>
              </w:rPr>
            </w:pPr>
            <w:r>
              <w:rPr>
                <w:i/>
              </w:rPr>
              <w:t>Tobacco Products Control Act 2006</w:t>
            </w:r>
            <w:r>
              <w:rPr>
                <w:iCs/>
              </w:rPr>
              <w:t xml:space="preserve"> s. 126 </w:t>
            </w:r>
            <w:r>
              <w:rPr>
                <w:iCs/>
                <w:vertAlign w:val="superscript"/>
              </w:rPr>
              <w:t>2</w:t>
            </w:r>
          </w:p>
        </w:tc>
        <w:tc>
          <w:tcPr>
            <w:tcW w:w="1092" w:type="dxa"/>
            <w:tcBorders>
              <w:top w:val="single" w:sz="4" w:space="0" w:color="auto"/>
            </w:tcBorders>
          </w:tcPr>
          <w:p>
            <w:pPr>
              <w:pStyle w:val="nTable"/>
              <w:spacing w:before="100"/>
            </w:pPr>
            <w:r>
              <w:t>5 of 2006</w:t>
            </w:r>
          </w:p>
        </w:tc>
        <w:tc>
          <w:tcPr>
            <w:tcW w:w="1200" w:type="dxa"/>
            <w:tcBorders>
              <w:top w:val="single" w:sz="4" w:space="0" w:color="auto"/>
            </w:tcBorders>
          </w:tcPr>
          <w:p>
            <w:pPr>
              <w:pStyle w:val="nTable"/>
              <w:spacing w:before="100"/>
            </w:pPr>
            <w:r>
              <w:t>12 Apr 2006</w:t>
            </w:r>
          </w:p>
        </w:tc>
        <w:tc>
          <w:tcPr>
            <w:tcW w:w="2556" w:type="dxa"/>
            <w:tcBorders>
              <w:top w:val="single" w:sz="4" w:space="0" w:color="auto"/>
            </w:tcBorders>
          </w:tcPr>
          <w:p>
            <w:pPr>
              <w:pStyle w:val="nTable"/>
              <w:spacing w:before="100"/>
            </w:pPr>
            <w: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126</w:t>
      </w:r>
      <w:r>
        <w:t>.</w:t>
      </w:r>
      <w:r>
        <w:tab/>
        <w:t>Repeals, transitional provisions, consequential amendments to other Acts</w:t>
      </w:r>
    </w:p>
    <w:p>
      <w:pPr>
        <w:pStyle w:val="nzSubsection"/>
      </w:pPr>
      <w:r>
        <w:tab/>
      </w:r>
      <w:r>
        <w:tab/>
        <w:t>Schedule 2 has effect.</w:t>
      </w:r>
    </w:p>
    <w:p>
      <w:pPr>
        <w:pStyle w:val="MiscClose"/>
      </w:pPr>
      <w:r>
        <w:t>”.</w:t>
      </w:r>
    </w:p>
    <w:p>
      <w:pPr>
        <w:pStyle w:val="nSubsection"/>
      </w:pPr>
      <w:r>
        <w:tab/>
        <w:t>Schedule 2 Division 1 cl. 2(3) reads as follows:</w:t>
      </w:r>
    </w:p>
    <w:p>
      <w:pPr>
        <w:pStyle w:val="MiscOpen"/>
      </w:pPr>
      <w:r>
        <w:t>“</w:t>
      </w:r>
    </w:p>
    <w:p>
      <w:pPr>
        <w:pStyle w:val="nzHeading2"/>
      </w:pPr>
      <w:r>
        <w:rPr>
          <w:rStyle w:val="CharSchNo"/>
        </w:rPr>
        <w:t>Schedule 2</w:t>
      </w:r>
      <w:r>
        <w:t> — </w:t>
      </w:r>
      <w:r>
        <w:rPr>
          <w:rStyle w:val="CharSchText"/>
        </w:rPr>
        <w:t>Repeals, transitional provisions, consequential amendments to other Acts</w:t>
      </w:r>
    </w:p>
    <w:p>
      <w:pPr>
        <w:pStyle w:val="nzMiscellaneousBody"/>
        <w:jc w:val="right"/>
      </w:pPr>
      <w:r>
        <w:t>[s. 126]</w:t>
      </w:r>
    </w:p>
    <w:p>
      <w:pPr>
        <w:pStyle w:val="nzHeading3"/>
      </w:pPr>
      <w:r>
        <w:rPr>
          <w:rStyle w:val="CharSDivNo"/>
        </w:rPr>
        <w:t>Division 1</w:t>
      </w:r>
      <w:r>
        <w:t> — </w:t>
      </w:r>
      <w:r>
        <w:rPr>
          <w:rStyle w:val="CharSDivText"/>
        </w:rPr>
        <w:t>Repeals</w:t>
      </w:r>
    </w:p>
    <w:p>
      <w:pPr>
        <w:pStyle w:val="nzHeading5"/>
      </w:pPr>
      <w:r>
        <w:rPr>
          <w:rStyle w:val="CharSClsNo"/>
          <w:sz w:val="20"/>
        </w:rPr>
        <w:t>2</w:t>
      </w:r>
      <w:r>
        <w:t>.</w:t>
      </w:r>
      <w:r>
        <w:tab/>
        <w:t xml:space="preserve">Regulations under the </w:t>
      </w:r>
      <w:r>
        <w:rPr>
          <w:i/>
          <w:iCs/>
        </w:rPr>
        <w:t>Tobacco Control Act 1990</w:t>
      </w:r>
      <w:r>
        <w:t xml:space="preserve"> repealed</w:t>
      </w:r>
    </w:p>
    <w:p>
      <w:pPr>
        <w:pStyle w:val="nzSubsection"/>
      </w:pPr>
      <w:r>
        <w:tab/>
      </w:r>
      <w:r>
        <w:tab/>
        <w:t>……….</w:t>
      </w:r>
    </w:p>
    <w:p>
      <w:pPr>
        <w:pStyle w:val="nzSubsection"/>
      </w:pPr>
      <w:r>
        <w:tab/>
        <w:t>(3)</w:t>
      </w:r>
      <w:r>
        <w:tab/>
        <w:t xml:space="preserve">The </w:t>
      </w:r>
      <w:r>
        <w:rPr>
          <w:i/>
          <w:iCs/>
        </w:rPr>
        <w:t>Tobacco Control (Smokeless Tobacco) Regulations 1991</w:t>
      </w:r>
      <w:r>
        <w:t xml:space="preserve"> are repealed.</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Control (Smokeless Tobacco)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(Smokeless Tobacco)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Control (Smokeless Tobacco)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Control (Smokeless Tobacco)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Tobacco Control (Smokeless Tobacco)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(Smokeless Tobacco)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9E82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1057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BE5D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9E6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3AE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620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4823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28C4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407A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7041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ACB0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244"/>
    <w:docVar w:name="WAFER_20140204111122" w:val="RemoveTocBookmarks,RemoveUnusedBookmarks,RemoveLanguageTags,UsedStyles,ResetPageSize,UpdateArrangement"/>
    <w:docVar w:name="WAFER_20140204111122_GUID" w:val="c0b73e9e-d06b-4278-96ad-0bd57fcb4e80"/>
    <w:docVar w:name="WAFER_20140204112401" w:val="RemoveTocBookmarks,RunningHeaders"/>
    <w:docVar w:name="WAFER_20140204112401_GUID" w:val="dbaade5a-61aa-450d-98c9-d7ad5fe45e1c"/>
    <w:docVar w:name="WAFER_20150805130218" w:val="ResetPageSize,UpdateArrangement,UpdateNTable"/>
    <w:docVar w:name="WAFER_20150805130218_GUID" w:val="2ec9d2e8-f9fb-4270-9dea-968e699a1e2a"/>
    <w:docVar w:name="WAFER_20151117145244" w:val="UpdateStyles,UsedStyles"/>
    <w:docVar w:name="WAFER_20151117145244_GUID" w:val="f9934ba1-82d6-40c3-976f-4b8017dfe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822">
      <w:bodyDiv w:val="1"/>
      <w:marLeft w:val="0"/>
      <w:marRight w:val="0"/>
      <w:marTop w:val="0"/>
      <w:marBottom w:val="0"/>
      <w:divBdr>
        <w:top w:val="none" w:sz="0" w:space="0" w:color="auto"/>
        <w:left w:val="none" w:sz="0" w:space="0" w:color="auto"/>
        <w:bottom w:val="none" w:sz="0" w:space="0" w:color="auto"/>
        <w:right w:val="none" w:sz="0" w:space="0" w:color="auto"/>
      </w:divBdr>
    </w:div>
    <w:div w:id="19944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552</Words>
  <Characters>2751</Characters>
  <Application>Microsoft Office Word</Application>
  <DocSecurity>0</DocSecurity>
  <Lines>114</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(Smokeless Tobacco) Regulations 1991 - 01-c0-05</dc:title>
  <dc:subject/>
  <dc:creator/>
  <cp:keywords/>
  <dc:description/>
  <cp:lastModifiedBy>svcMRProcess</cp:lastModifiedBy>
  <cp:revision>4</cp:revision>
  <cp:lastPrinted>2003-11-05T06:47:00Z</cp:lastPrinted>
  <dcterms:created xsi:type="dcterms:W3CDTF">2015-11-17T07:46:00Z</dcterms:created>
  <dcterms:modified xsi:type="dcterms:W3CDTF">2015-11-17T07:46:00Z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1991 p.589</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4813</vt:i4>
  </property>
  <property fmtid="{D5CDD505-2E9C-101B-9397-08002B2CF9AE}" pid="6" name="AsAtDate">
    <vt:lpwstr>31 Jul 2006</vt:lpwstr>
  </property>
  <property fmtid="{D5CDD505-2E9C-101B-9397-08002B2CF9AE}" pid="7" name="Suffix">
    <vt:lpwstr>01-c0-05</vt:lpwstr>
  </property>
  <property fmtid="{D5CDD505-2E9C-101B-9397-08002B2CF9AE}" pid="8" name="Status">
    <vt:lpwstr>NIF</vt:lpwstr>
  </property>
</Properties>
</file>