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_Toc106186236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_Toc106186237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_Toc106186238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_Toc106186241 \h </w:instrText>
      </w:r>
      <w:r>
        <w:fldChar w:fldCharType="separate"/>
      </w:r>
      <w:r>
        <w:t>2</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_Toc106186242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_Toc106186243 \h </w:instrText>
      </w:r>
      <w:r>
        <w:fldChar w:fldCharType="separate"/>
      </w:r>
      <w:r>
        <w:t>3</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_Toc106186244 \h </w:instrText>
      </w:r>
      <w:r>
        <w:fldChar w:fldCharType="separate"/>
      </w:r>
      <w:r>
        <w:t>4</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_Toc106186245 \h </w:instrText>
      </w:r>
      <w:r>
        <w:fldChar w:fldCharType="separate"/>
      </w:r>
      <w:r>
        <w:t>5</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_Toc106186246 \h </w:instrText>
      </w:r>
      <w:r>
        <w:fldChar w:fldCharType="separate"/>
      </w:r>
      <w:r>
        <w:t>5</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_Toc106186247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_Toc106186249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_Toc106186250 \h </w:instrText>
      </w:r>
      <w:r>
        <w:fldChar w:fldCharType="separate"/>
      </w:r>
      <w:r>
        <w:t>7</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_Toc106186251 \h </w:instrText>
      </w:r>
      <w:r>
        <w:fldChar w:fldCharType="separate"/>
      </w:r>
      <w:r>
        <w:t>8</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_Toc106186252 \h </w:instrText>
      </w:r>
      <w:r>
        <w:fldChar w:fldCharType="separate"/>
      </w:r>
      <w:r>
        <w:t>8</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_Toc106186253 \h </w:instrText>
      </w:r>
      <w:r>
        <w:fldChar w:fldCharType="separate"/>
      </w:r>
      <w:r>
        <w:t>9</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_Toc106186254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_Toc106186256 \h </w:instrText>
      </w:r>
      <w:r>
        <w:fldChar w:fldCharType="separate"/>
      </w:r>
      <w:r>
        <w:t>9</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_Toc106186257 \h </w:instrText>
      </w:r>
      <w:r>
        <w:fldChar w:fldCharType="separate"/>
      </w:r>
      <w:r>
        <w:t>10</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_Toc106186258 \h </w:instrText>
      </w:r>
      <w:r>
        <w:fldChar w:fldCharType="separate"/>
      </w:r>
      <w:r>
        <w:t>10</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_Toc106186259 \h </w:instrText>
      </w:r>
      <w:r>
        <w:fldChar w:fldCharType="separate"/>
      </w:r>
      <w:r>
        <w:t>10</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_Toc106186260 \h </w:instrText>
      </w:r>
      <w:r>
        <w:fldChar w:fldCharType="separate"/>
      </w:r>
      <w:r>
        <w:t>11</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_Toc106186261 \h </w:instrText>
      </w:r>
      <w:r>
        <w:fldChar w:fldCharType="separate"/>
      </w:r>
      <w:r>
        <w:t>11</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_Toc106186262 \h </w:instrText>
      </w:r>
      <w:r>
        <w:fldChar w:fldCharType="separate"/>
      </w:r>
      <w:r>
        <w:t>11</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_Toc106186263 \h </w:instrText>
      </w:r>
      <w:r>
        <w:fldChar w:fldCharType="separate"/>
      </w:r>
      <w:r>
        <w:t>11</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_Toc106186264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_Toc106186266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bookmarkStart w:id="3" w:name="_Hlk106185453"/>
      <w:r>
        <w:lastRenderedPageBreak/>
        <w:t>Aboriginal Cultural Heritage Act 2021</w:t>
      </w:r>
      <w:bookmarkEnd w:id="3"/>
    </w:p>
    <w:p>
      <w:pPr>
        <w:pStyle w:val="NameofActReg"/>
      </w:pPr>
      <w:r>
        <w:t>Aboriginal Cultural Heritage Regulations 2022</w:t>
      </w:r>
    </w:p>
    <w:p>
      <w:pPr>
        <w:pStyle w:val="Heading2"/>
        <w:pageBreakBefore w:val="0"/>
        <w:spacing w:before="360"/>
      </w:pPr>
      <w:bookmarkStart w:id="4" w:name="_Toc103676209"/>
      <w:bookmarkStart w:id="5" w:name="_Toc103676472"/>
      <w:bookmarkStart w:id="6" w:name="_Toc103676519"/>
      <w:bookmarkStart w:id="7" w:name="_Toc103676821"/>
      <w:bookmarkStart w:id="8" w:name="_Toc103676911"/>
      <w:bookmarkStart w:id="9" w:name="_Toc103682136"/>
      <w:bookmarkStart w:id="10" w:name="_Toc103682234"/>
      <w:bookmarkStart w:id="11" w:name="_Toc103682340"/>
      <w:bookmarkStart w:id="12" w:name="_Toc103774984"/>
      <w:bookmarkStart w:id="13" w:name="_Toc103775508"/>
      <w:bookmarkStart w:id="14" w:name="_Toc103849312"/>
      <w:bookmarkStart w:id="15" w:name="_Toc106097240"/>
      <w:bookmarkStart w:id="16" w:name="_Toc106185329"/>
      <w:bookmarkStart w:id="17" w:name="_Toc106185792"/>
      <w:bookmarkStart w:id="18" w:name="_Toc10618623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03849313"/>
      <w:bookmarkStart w:id="20" w:name="_Toc106097241"/>
      <w:bookmarkStart w:id="21" w:name="_Toc106186236"/>
      <w:r>
        <w:rPr>
          <w:rStyle w:val="CharSectno"/>
        </w:rPr>
        <w:t>1</w:t>
      </w:r>
      <w:r>
        <w:t>.</w:t>
      </w:r>
      <w:r>
        <w:tab/>
        <w:t>Citation</w:t>
      </w:r>
      <w:bookmarkEnd w:id="19"/>
      <w:bookmarkEnd w:id="20"/>
      <w:bookmarkEnd w:id="21"/>
    </w:p>
    <w:p>
      <w:pPr>
        <w:pStyle w:val="Subsection"/>
      </w:pPr>
      <w:r>
        <w:tab/>
      </w:r>
      <w:r>
        <w:tab/>
      </w:r>
      <w:bookmarkStart w:id="22" w:name="Start_Cursor"/>
      <w:bookmarkEnd w:id="22"/>
      <w:r>
        <w:t xml:space="preserve">These </w:t>
      </w:r>
      <w:r>
        <w:rPr>
          <w:spacing w:val="-2"/>
        </w:rPr>
        <w:t>regulations</w:t>
      </w:r>
      <w:r>
        <w:t xml:space="preserve"> are the </w:t>
      </w:r>
      <w:r>
        <w:rPr>
          <w:i/>
        </w:rPr>
        <w:t>Aboriginal Cultural Heritage Regulations 2022</w:t>
      </w:r>
      <w:r>
        <w:t>.</w:t>
      </w:r>
    </w:p>
    <w:p>
      <w:pPr>
        <w:pStyle w:val="Heading5"/>
        <w:rPr>
          <w:spacing w:val="-2"/>
        </w:rPr>
      </w:pPr>
      <w:bookmarkStart w:id="23" w:name="_Toc103849314"/>
      <w:bookmarkStart w:id="24" w:name="_Toc106097242"/>
      <w:bookmarkStart w:id="25" w:name="_Toc106186237"/>
      <w:r>
        <w:rPr>
          <w:rStyle w:val="CharSectno"/>
        </w:rPr>
        <w:t>2</w:t>
      </w:r>
      <w:r>
        <w:rPr>
          <w:spacing w:val="-2"/>
        </w:rPr>
        <w:t>.</w:t>
      </w:r>
      <w:r>
        <w:rPr>
          <w:spacing w:val="-2"/>
        </w:rPr>
        <w:tab/>
        <w:t>Commencement</w:t>
      </w:r>
      <w:bookmarkEnd w:id="23"/>
      <w:bookmarkEnd w:id="24"/>
      <w:bookmarkEnd w:id="25"/>
    </w:p>
    <w:p>
      <w:pPr>
        <w:pStyle w:val="Subsection"/>
      </w:pPr>
      <w:r>
        <w:tab/>
      </w:r>
      <w:r>
        <w:tab/>
        <w:t xml:space="preserve">These </w:t>
      </w:r>
      <w:r>
        <w:rPr>
          <w:spacing w:val="-2"/>
        </w:rPr>
        <w:t>regulations come</w:t>
      </w:r>
      <w:r>
        <w:t xml:space="preserve"> into operation on 18 June 2022.</w:t>
      </w:r>
    </w:p>
    <w:p>
      <w:pPr>
        <w:pStyle w:val="Heading5"/>
      </w:pPr>
      <w:bookmarkStart w:id="26" w:name="_Toc103849315"/>
      <w:bookmarkStart w:id="27" w:name="_Toc106097243"/>
      <w:bookmarkStart w:id="28" w:name="_Toc106186238"/>
      <w:r>
        <w:rPr>
          <w:rStyle w:val="CharSectno"/>
        </w:rPr>
        <w:t>3</w:t>
      </w:r>
      <w:r>
        <w:t>.</w:t>
      </w:r>
      <w:r>
        <w:tab/>
        <w:t>Terms used</w:t>
      </w:r>
      <w:bookmarkEnd w:id="26"/>
      <w:bookmarkEnd w:id="27"/>
      <w:bookmarkEnd w:id="28"/>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29" w:name="_Toc103676213"/>
      <w:bookmarkStart w:id="30" w:name="_Toc103676476"/>
      <w:bookmarkStart w:id="31" w:name="_Toc103676523"/>
      <w:bookmarkStart w:id="32" w:name="_Toc103676825"/>
      <w:bookmarkStart w:id="33" w:name="_Toc103676915"/>
      <w:bookmarkStart w:id="34" w:name="_Toc103682140"/>
      <w:bookmarkStart w:id="35" w:name="_Toc103682238"/>
      <w:bookmarkStart w:id="36" w:name="_Toc103682344"/>
      <w:bookmarkStart w:id="37" w:name="_Toc103774988"/>
      <w:bookmarkStart w:id="38" w:name="_Toc103775512"/>
      <w:bookmarkStart w:id="39" w:name="_Toc103849316"/>
      <w:bookmarkStart w:id="40" w:name="_Toc106097244"/>
      <w:bookmarkStart w:id="41" w:name="_Toc106185333"/>
      <w:bookmarkStart w:id="42" w:name="_Toc106185796"/>
      <w:bookmarkStart w:id="43" w:name="_Toc106186239"/>
      <w:r>
        <w:rPr>
          <w:rStyle w:val="CharPartNo"/>
        </w:rPr>
        <w:lastRenderedPageBreak/>
        <w:t>Part 2</w:t>
      </w:r>
      <w:r>
        <w:t> — </w:t>
      </w:r>
      <w:r>
        <w:rPr>
          <w:rStyle w:val="CharPartText"/>
        </w:rPr>
        <w:t>Aboriginal Cultural Heritage Council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103676214"/>
      <w:bookmarkStart w:id="45" w:name="_Toc103676477"/>
      <w:bookmarkStart w:id="46" w:name="_Toc103676524"/>
      <w:bookmarkStart w:id="47" w:name="_Toc103676826"/>
      <w:bookmarkStart w:id="48" w:name="_Toc103676916"/>
      <w:bookmarkStart w:id="49" w:name="_Toc103682141"/>
      <w:bookmarkStart w:id="50" w:name="_Toc103682239"/>
      <w:bookmarkStart w:id="51" w:name="_Toc103682345"/>
      <w:bookmarkStart w:id="52" w:name="_Toc103774989"/>
      <w:bookmarkStart w:id="53" w:name="_Toc103775513"/>
      <w:bookmarkStart w:id="54" w:name="_Toc103849317"/>
      <w:bookmarkStart w:id="55" w:name="_Toc106097245"/>
      <w:bookmarkStart w:id="56" w:name="_Toc106185334"/>
      <w:bookmarkStart w:id="57" w:name="_Toc106185797"/>
      <w:bookmarkStart w:id="58" w:name="_Toc106186240"/>
      <w:r>
        <w:rPr>
          <w:rStyle w:val="CharDivNo"/>
        </w:rPr>
        <w:t>Division 1</w:t>
      </w:r>
      <w:r>
        <w:t> — </w:t>
      </w:r>
      <w:r>
        <w:rPr>
          <w:rStyle w:val="CharDivText"/>
        </w:rPr>
        <w:t>Constitution of ACH Council</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03849318"/>
      <w:bookmarkStart w:id="60" w:name="_Toc106097246"/>
      <w:bookmarkStart w:id="61" w:name="_Toc106186241"/>
      <w:r>
        <w:rPr>
          <w:rStyle w:val="CharSectno"/>
        </w:rPr>
        <w:t>4</w:t>
      </w:r>
      <w:r>
        <w:rPr>
          <w:snapToGrid w:val="0"/>
        </w:rPr>
        <w:t>.</w:t>
      </w:r>
      <w:r>
        <w:rPr>
          <w:snapToGrid w:val="0"/>
        </w:rPr>
        <w:tab/>
        <w:t xml:space="preserve">Nominations of persons for appointment as </w:t>
      </w:r>
      <w:r>
        <w:t>ACH Council members</w:t>
      </w:r>
      <w:bookmarkEnd w:id="59"/>
      <w:bookmarkEnd w:id="60"/>
      <w:bookmarkEnd w:id="61"/>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62" w:name="_Toc103849319"/>
      <w:bookmarkStart w:id="63" w:name="_Toc106097247"/>
      <w:bookmarkStart w:id="64" w:name="_Toc106186242"/>
      <w:r>
        <w:rPr>
          <w:rStyle w:val="CharSectno"/>
        </w:rPr>
        <w:t>5</w:t>
      </w:r>
      <w:r>
        <w:t>.</w:t>
      </w:r>
      <w:r>
        <w:tab/>
        <w:t>Appointment as ACH Council member</w:t>
      </w:r>
      <w:bookmarkEnd w:id="62"/>
      <w:bookmarkEnd w:id="63"/>
      <w:bookmarkEnd w:id="64"/>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w:t>
      </w:r>
      <w:r>
        <w:lastRenderedPageBreak/>
        <w:t xml:space="preserve">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65" w:name="_Toc103849320"/>
      <w:bookmarkStart w:id="66" w:name="_Toc106097248"/>
      <w:bookmarkStart w:id="67" w:name="_Toc106186243"/>
      <w:r>
        <w:rPr>
          <w:rStyle w:val="CharSectno"/>
        </w:rPr>
        <w:t>6</w:t>
      </w:r>
      <w:r>
        <w:t>.</w:t>
      </w:r>
      <w:r>
        <w:tab/>
        <w:t>Term of office</w:t>
      </w:r>
      <w:bookmarkEnd w:id="65"/>
      <w:bookmarkEnd w:id="66"/>
      <w:bookmarkEnd w:id="67"/>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68" w:name="_Toc103849321"/>
      <w:bookmarkStart w:id="69" w:name="_Toc106097249"/>
      <w:bookmarkStart w:id="70" w:name="_Toc106186244"/>
      <w:r>
        <w:rPr>
          <w:rStyle w:val="CharSectno"/>
        </w:rPr>
        <w:lastRenderedPageBreak/>
        <w:t>7</w:t>
      </w:r>
      <w:r>
        <w:t>.</w:t>
      </w:r>
      <w:r>
        <w:tab/>
        <w:t>Casual vacancies</w:t>
      </w:r>
      <w:bookmarkEnd w:id="68"/>
      <w:bookmarkEnd w:id="69"/>
      <w:bookmarkEnd w:id="70"/>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71" w:name="_Toc103849322"/>
      <w:bookmarkStart w:id="72" w:name="_Toc106097250"/>
      <w:bookmarkStart w:id="73" w:name="_Toc106186245"/>
      <w:r>
        <w:rPr>
          <w:rStyle w:val="CharSectno"/>
        </w:rPr>
        <w:t>8</w:t>
      </w:r>
      <w:r>
        <w:t>.</w:t>
      </w:r>
      <w:r>
        <w:tab/>
        <w:t>Leave of absence</w:t>
      </w:r>
      <w:bookmarkEnd w:id="71"/>
      <w:bookmarkEnd w:id="72"/>
      <w:bookmarkEnd w:id="73"/>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74" w:name="_Toc103849323"/>
      <w:bookmarkStart w:id="75" w:name="_Toc106097251"/>
      <w:bookmarkStart w:id="76" w:name="_Toc106186246"/>
      <w:r>
        <w:rPr>
          <w:rStyle w:val="CharSectno"/>
        </w:rPr>
        <w:t>9</w:t>
      </w:r>
      <w:r>
        <w:t>.</w:t>
      </w:r>
      <w:r>
        <w:tab/>
        <w:t>Alternate members</w:t>
      </w:r>
      <w:bookmarkEnd w:id="74"/>
      <w:bookmarkEnd w:id="75"/>
      <w:bookmarkEnd w:id="76"/>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77" w:name="_Toc103849324"/>
      <w:bookmarkStart w:id="78" w:name="_Toc106097252"/>
      <w:bookmarkStart w:id="79" w:name="_Toc106186247"/>
      <w:r>
        <w:rPr>
          <w:rStyle w:val="CharSectno"/>
        </w:rPr>
        <w:lastRenderedPageBreak/>
        <w:t>10</w:t>
      </w:r>
      <w:r>
        <w:t>.</w:t>
      </w:r>
      <w:r>
        <w:tab/>
        <w:t>Acting chairperson or chairpersons</w:t>
      </w:r>
      <w:bookmarkEnd w:id="77"/>
      <w:bookmarkEnd w:id="78"/>
      <w:bookmarkEnd w:id="79"/>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80" w:name="_Toc103676222"/>
      <w:bookmarkStart w:id="81" w:name="_Toc103676485"/>
      <w:bookmarkStart w:id="82" w:name="_Toc103676532"/>
      <w:bookmarkStart w:id="83" w:name="_Toc103676834"/>
      <w:bookmarkStart w:id="84" w:name="_Toc103676924"/>
      <w:bookmarkStart w:id="85" w:name="_Toc103682149"/>
      <w:bookmarkStart w:id="86" w:name="_Toc103682247"/>
      <w:bookmarkStart w:id="87" w:name="_Toc103682353"/>
      <w:bookmarkStart w:id="88" w:name="_Toc103774997"/>
      <w:bookmarkStart w:id="89" w:name="_Toc103775521"/>
      <w:bookmarkStart w:id="90" w:name="_Toc103849325"/>
      <w:bookmarkStart w:id="91" w:name="_Toc106097253"/>
      <w:bookmarkStart w:id="92" w:name="_Toc106185342"/>
      <w:bookmarkStart w:id="93" w:name="_Toc106185805"/>
      <w:bookmarkStart w:id="94" w:name="_Toc106186248"/>
      <w:r>
        <w:rPr>
          <w:rStyle w:val="CharDivNo"/>
        </w:rPr>
        <w:t>Division 2</w:t>
      </w:r>
      <w:r>
        <w:t> — </w:t>
      </w:r>
      <w:r>
        <w:rPr>
          <w:rStyle w:val="CharDivText"/>
        </w:rPr>
        <w:t>Conflicts of interest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03849326"/>
      <w:bookmarkStart w:id="96" w:name="_Toc106097254"/>
      <w:bookmarkStart w:id="97" w:name="_Toc106186249"/>
      <w:r>
        <w:rPr>
          <w:rStyle w:val="CharSectno"/>
        </w:rPr>
        <w:t>11</w:t>
      </w:r>
      <w:r>
        <w:t>.</w:t>
      </w:r>
      <w:r>
        <w:tab/>
        <w:t>Term used: relevant member</w:t>
      </w:r>
      <w:bookmarkEnd w:id="95"/>
      <w:bookmarkEnd w:id="96"/>
      <w:bookmarkEnd w:id="97"/>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98" w:name="_Toc103849327"/>
      <w:bookmarkStart w:id="99" w:name="_Toc106097255"/>
      <w:bookmarkStart w:id="100" w:name="_Toc106186250"/>
      <w:r>
        <w:rPr>
          <w:rStyle w:val="CharSectno"/>
        </w:rPr>
        <w:t>12</w:t>
      </w:r>
      <w:r>
        <w:t>.</w:t>
      </w:r>
      <w:r>
        <w:tab/>
        <w:t>Disclosure of interest</w:t>
      </w:r>
      <w:bookmarkEnd w:id="98"/>
      <w:bookmarkEnd w:id="99"/>
      <w:bookmarkEnd w:id="100"/>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101" w:name="_Toc103849328"/>
      <w:bookmarkStart w:id="102" w:name="_Toc106097256"/>
      <w:bookmarkStart w:id="103" w:name="_Toc106186251"/>
      <w:r>
        <w:rPr>
          <w:rStyle w:val="CharSectno"/>
        </w:rPr>
        <w:t>13</w:t>
      </w:r>
      <w:r>
        <w:t>.</w:t>
      </w:r>
      <w:r>
        <w:tab/>
        <w:t>Voting by interested member</w:t>
      </w:r>
      <w:bookmarkEnd w:id="101"/>
      <w:bookmarkEnd w:id="102"/>
      <w:bookmarkEnd w:id="103"/>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104" w:name="_Toc103849329"/>
      <w:bookmarkStart w:id="105" w:name="_Toc106097257"/>
      <w:bookmarkStart w:id="106" w:name="_Toc106186252"/>
      <w:r>
        <w:rPr>
          <w:rStyle w:val="CharSectno"/>
        </w:rPr>
        <w:t>14</w:t>
      </w:r>
      <w:r>
        <w:t>.</w:t>
      </w:r>
      <w:r>
        <w:tab/>
        <w:t>Regulation 13 may be declared inapplicable</w:t>
      </w:r>
      <w:bookmarkEnd w:id="104"/>
      <w:bookmarkEnd w:id="105"/>
      <w:bookmarkEnd w:id="106"/>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pPr>
      <w:r>
        <w:tab/>
        <w:t>(ii)</w:t>
      </w:r>
      <w:r>
        <w:tab/>
        <w:t xml:space="preserve">states that the members voting for the resolution are satisfied that the interest is so trivial or </w:t>
      </w:r>
      <w:r>
        <w:lastRenderedPageBreak/>
        <w:t>insignificant as to be unlikely to influence the disclosing member’s conduct and should not disqualify the member from considering or voting on the matter.</w:t>
      </w:r>
    </w:p>
    <w:p>
      <w:pPr>
        <w:pStyle w:val="Heading5"/>
      </w:pPr>
      <w:bookmarkStart w:id="107" w:name="_Toc103849330"/>
      <w:bookmarkStart w:id="108" w:name="_Toc106097258"/>
      <w:bookmarkStart w:id="109" w:name="_Toc106186253"/>
      <w:r>
        <w:rPr>
          <w:rStyle w:val="CharSectno"/>
        </w:rPr>
        <w:t>15</w:t>
      </w:r>
      <w:r>
        <w:t>.</w:t>
      </w:r>
      <w:r>
        <w:tab/>
        <w:t>Minister may deal with matter if no quorum due to application of regulation 13</w:t>
      </w:r>
      <w:bookmarkEnd w:id="107"/>
      <w:bookmarkEnd w:id="108"/>
      <w:bookmarkEnd w:id="109"/>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110" w:name="_Toc103849331"/>
      <w:bookmarkStart w:id="111" w:name="_Toc106097259"/>
      <w:bookmarkStart w:id="112" w:name="_Toc106186254"/>
      <w:r>
        <w:rPr>
          <w:rStyle w:val="CharSectno"/>
        </w:rPr>
        <w:t>16</w:t>
      </w:r>
      <w:r>
        <w:t>.</w:t>
      </w:r>
      <w:r>
        <w:tab/>
        <w:t>Minister may declare regulations 13 and 15 inapplicable</w:t>
      </w:r>
      <w:bookmarkEnd w:id="110"/>
      <w:bookmarkEnd w:id="111"/>
      <w:bookmarkEnd w:id="112"/>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113" w:name="_Toc103676229"/>
      <w:bookmarkStart w:id="114" w:name="_Toc103676492"/>
      <w:bookmarkStart w:id="115" w:name="_Toc103676539"/>
      <w:bookmarkStart w:id="116" w:name="_Toc103676841"/>
      <w:bookmarkStart w:id="117" w:name="_Toc103676931"/>
      <w:bookmarkStart w:id="118" w:name="_Toc103682156"/>
      <w:bookmarkStart w:id="119" w:name="_Toc103682254"/>
      <w:bookmarkStart w:id="120" w:name="_Toc103682360"/>
      <w:bookmarkStart w:id="121" w:name="_Toc103775004"/>
      <w:bookmarkStart w:id="122" w:name="_Toc103775528"/>
      <w:bookmarkStart w:id="123" w:name="_Toc103849332"/>
      <w:bookmarkStart w:id="124" w:name="_Toc106097260"/>
      <w:bookmarkStart w:id="125" w:name="_Toc106185349"/>
      <w:bookmarkStart w:id="126" w:name="_Toc106185812"/>
      <w:bookmarkStart w:id="127" w:name="_Toc106186255"/>
      <w:r>
        <w:rPr>
          <w:rStyle w:val="CharDivNo"/>
        </w:rPr>
        <w:t>Division 3</w:t>
      </w:r>
      <w:r>
        <w:t> — </w:t>
      </w:r>
      <w:r>
        <w:rPr>
          <w:rStyle w:val="CharDivText"/>
        </w:rPr>
        <w:t>ACH Council meetings and proceedings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03849333"/>
      <w:bookmarkStart w:id="129" w:name="_Toc106097261"/>
      <w:bookmarkStart w:id="130" w:name="_Toc106186256"/>
      <w:r>
        <w:rPr>
          <w:rStyle w:val="CharSectno"/>
        </w:rPr>
        <w:t>17</w:t>
      </w:r>
      <w:r>
        <w:t>.</w:t>
      </w:r>
      <w:r>
        <w:tab/>
        <w:t>Holding meetings</w:t>
      </w:r>
      <w:bookmarkEnd w:id="128"/>
      <w:bookmarkEnd w:id="129"/>
      <w:bookmarkEnd w:id="130"/>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lastRenderedPageBreak/>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131" w:name="_Toc103849334"/>
      <w:bookmarkStart w:id="132" w:name="_Toc106097262"/>
      <w:bookmarkStart w:id="133" w:name="_Toc106186257"/>
      <w:r>
        <w:rPr>
          <w:rStyle w:val="CharSectno"/>
        </w:rPr>
        <w:t>18</w:t>
      </w:r>
      <w:r>
        <w:t>.</w:t>
      </w:r>
      <w:r>
        <w:tab/>
        <w:t>CEO may attend meetings</w:t>
      </w:r>
      <w:bookmarkEnd w:id="131"/>
      <w:bookmarkEnd w:id="132"/>
      <w:bookmarkEnd w:id="133"/>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134" w:name="_Toc103849335"/>
      <w:bookmarkStart w:id="135" w:name="_Toc106097263"/>
      <w:bookmarkStart w:id="136" w:name="_Toc106186258"/>
      <w:r>
        <w:rPr>
          <w:rStyle w:val="CharSectno"/>
        </w:rPr>
        <w:t>19</w:t>
      </w:r>
      <w:r>
        <w:t>.</w:t>
      </w:r>
      <w:r>
        <w:tab/>
        <w:t>Quorum</w:t>
      </w:r>
      <w:bookmarkEnd w:id="134"/>
      <w:bookmarkEnd w:id="135"/>
      <w:bookmarkEnd w:id="136"/>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137" w:name="_Toc103849336"/>
      <w:bookmarkStart w:id="138" w:name="_Toc106097264"/>
      <w:bookmarkStart w:id="139" w:name="_Toc106186259"/>
      <w:r>
        <w:rPr>
          <w:rStyle w:val="CharSectno"/>
        </w:rPr>
        <w:t>20</w:t>
      </w:r>
      <w:r>
        <w:t>.</w:t>
      </w:r>
      <w:r>
        <w:tab/>
        <w:t>Presiding members</w:t>
      </w:r>
      <w:bookmarkEnd w:id="137"/>
      <w:bookmarkEnd w:id="138"/>
      <w:bookmarkEnd w:id="139"/>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140" w:name="_Toc103849337"/>
      <w:bookmarkStart w:id="141" w:name="_Toc106097265"/>
      <w:bookmarkStart w:id="142" w:name="_Toc106186260"/>
      <w:r>
        <w:rPr>
          <w:rStyle w:val="CharSectno"/>
        </w:rPr>
        <w:lastRenderedPageBreak/>
        <w:t>21</w:t>
      </w:r>
      <w:r>
        <w:t>.</w:t>
      </w:r>
      <w:r>
        <w:tab/>
        <w:t>Voting</w:t>
      </w:r>
      <w:bookmarkEnd w:id="140"/>
      <w:bookmarkEnd w:id="141"/>
      <w:bookmarkEnd w:id="142"/>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143" w:name="_Toc103849338"/>
      <w:bookmarkStart w:id="144" w:name="_Toc106097266"/>
      <w:bookmarkStart w:id="145" w:name="_Toc106186261"/>
      <w:r>
        <w:rPr>
          <w:rStyle w:val="CharSectno"/>
        </w:rPr>
        <w:t>22</w:t>
      </w:r>
      <w:r>
        <w:t>.</w:t>
      </w:r>
      <w:r>
        <w:tab/>
        <w:t>Holding meetings remotely</w:t>
      </w:r>
      <w:bookmarkEnd w:id="143"/>
      <w:bookmarkEnd w:id="144"/>
      <w:bookmarkEnd w:id="145"/>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146" w:name="_Toc103849339"/>
      <w:bookmarkStart w:id="147" w:name="_Toc106097267"/>
      <w:bookmarkStart w:id="148" w:name="_Toc106186262"/>
      <w:r>
        <w:rPr>
          <w:rStyle w:val="CharSectno"/>
        </w:rPr>
        <w:t>23</w:t>
      </w:r>
      <w:r>
        <w:t>.</w:t>
      </w:r>
      <w:r>
        <w:tab/>
        <w:t>Resolution without meeting</w:t>
      </w:r>
      <w:bookmarkEnd w:id="146"/>
      <w:bookmarkEnd w:id="147"/>
      <w:bookmarkEnd w:id="148"/>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149" w:name="_Toc103849340"/>
      <w:bookmarkStart w:id="150" w:name="_Toc106097268"/>
      <w:bookmarkStart w:id="151" w:name="_Toc106186263"/>
      <w:r>
        <w:rPr>
          <w:rStyle w:val="CharSectno"/>
        </w:rPr>
        <w:t>24</w:t>
      </w:r>
      <w:r>
        <w:t>.</w:t>
      </w:r>
      <w:r>
        <w:tab/>
        <w:t>Minutes</w:t>
      </w:r>
      <w:bookmarkEnd w:id="149"/>
      <w:bookmarkEnd w:id="150"/>
      <w:bookmarkEnd w:id="151"/>
    </w:p>
    <w:p>
      <w:pPr>
        <w:pStyle w:val="Subsection"/>
      </w:pPr>
      <w:r>
        <w:tab/>
        <w:t>(1)</w:t>
      </w:r>
      <w:r>
        <w:tab/>
        <w:t>The ACH Council must cause accurate minutes to be kept of the proceedings at each of its meetings and each meeting of a committee.</w:t>
      </w:r>
    </w:p>
    <w:p>
      <w:pPr>
        <w:pStyle w:val="Subsection"/>
        <w:keepNext/>
      </w:pPr>
      <w:r>
        <w:lastRenderedPageBreak/>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152" w:name="_Toc103849341"/>
      <w:bookmarkStart w:id="153" w:name="_Toc106097269"/>
      <w:bookmarkStart w:id="154" w:name="_Toc106186264"/>
      <w:r>
        <w:rPr>
          <w:rStyle w:val="CharSectno"/>
        </w:rPr>
        <w:t>25</w:t>
      </w:r>
      <w:r>
        <w:t>.</w:t>
      </w:r>
      <w:r>
        <w:tab/>
        <w:t>Execution of documents</w:t>
      </w:r>
      <w:bookmarkEnd w:id="152"/>
      <w:bookmarkEnd w:id="153"/>
      <w:bookmarkEnd w:id="154"/>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55" w:name="_Toc106185822"/>
      <w:bookmarkStart w:id="156" w:name="_Toc106186265"/>
      <w:r>
        <w:lastRenderedPageBreak/>
        <w:t>Notes</w:t>
      </w:r>
      <w:bookmarkEnd w:id="155"/>
      <w:bookmarkEnd w:id="156"/>
    </w:p>
    <w:p>
      <w:pPr>
        <w:pStyle w:val="nStatement"/>
      </w:pPr>
      <w:r>
        <w:t xml:space="preserve">This is a compilation of the </w:t>
      </w:r>
      <w:r>
        <w:rPr>
          <w:i/>
          <w:noProof/>
        </w:rPr>
        <w:t>Aboriginal Cultural Heritage Regulations 2022</w:t>
      </w:r>
      <w:r>
        <w:t>. For provisions that have come into operation see the compilation table.</w:t>
      </w:r>
    </w:p>
    <w:p>
      <w:pPr>
        <w:pStyle w:val="nHeading3"/>
      </w:pPr>
      <w:bookmarkStart w:id="157" w:name="_Toc106186266"/>
      <w:r>
        <w:t>Compilation table</w:t>
      </w:r>
      <w:bookmarkEnd w:id="1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Aboriginal Cultural Heritage Regulations 2022</w:t>
            </w:r>
          </w:p>
        </w:tc>
        <w:tc>
          <w:tcPr>
            <w:tcW w:w="1276" w:type="dxa"/>
          </w:tcPr>
          <w:p>
            <w:pPr>
              <w:pStyle w:val="nTable"/>
              <w:spacing w:after="40"/>
            </w:pPr>
            <w:r>
              <w:t>SL 2022/83 17 Jun 2022</w:t>
            </w:r>
          </w:p>
        </w:tc>
        <w:tc>
          <w:tcPr>
            <w:tcW w:w="2693" w:type="dxa"/>
          </w:tcPr>
          <w:p>
            <w:pPr>
              <w:pStyle w:val="nTable"/>
              <w:spacing w:after="40"/>
            </w:pPr>
            <w:r>
              <w:t>18 Jun 2022 (see r.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9" w:name="_Toc106185824"/>
      <w:bookmarkStart w:id="160" w:name="_Toc106186267"/>
      <w:r>
        <w:rPr>
          <w:sz w:val="28"/>
        </w:rPr>
        <w:lastRenderedPageBreak/>
        <w:t>Defined terms</w:t>
      </w:r>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ACH Council member</w:t>
      </w:r>
      <w:r>
        <w:tab/>
        <w:t>3</w:t>
      </w:r>
    </w:p>
    <w:p>
      <w:pPr>
        <w:pStyle w:val="DefinedTerms"/>
      </w:pPr>
      <w:r>
        <w:t>ACH Council’s website</w:t>
      </w:r>
      <w:r>
        <w:tab/>
        <w:t>3</w:t>
      </w:r>
    </w:p>
    <w:p>
      <w:pPr>
        <w:pStyle w:val="DefinedTerms"/>
      </w:pPr>
      <w:r>
        <w:t>chairperson</w:t>
      </w:r>
      <w:r>
        <w:tab/>
        <w:t>3</w:t>
      </w:r>
    </w:p>
    <w:p>
      <w:pPr>
        <w:pStyle w:val="DefinedTerms"/>
      </w:pPr>
      <w:r>
        <w:t>committee</w:t>
      </w:r>
      <w:r>
        <w:tab/>
        <w:t>3</w:t>
      </w:r>
    </w:p>
    <w:p>
      <w:pPr>
        <w:pStyle w:val="DefinedTerms"/>
      </w:pPr>
      <w:r>
        <w:t>misconduct</w:t>
      </w:r>
      <w:r>
        <w:tab/>
        <w:t>7(1)</w:t>
      </w:r>
    </w:p>
    <w:p>
      <w:pPr>
        <w:pStyle w:val="DefinedTerms"/>
      </w:pPr>
      <w:r>
        <w:t>relevant member</w:t>
      </w:r>
      <w:r>
        <w:tab/>
        <w:t>11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71034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8442-B744-42EA-90B2-2DE3F94C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15237</Characters>
  <Application>Microsoft Office Word</Application>
  <DocSecurity>0</DocSecurity>
  <Lines>448</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2022 - 00-a0-00</dc:title>
  <dc:subject/>
  <dc:creator/>
  <cp:keywords/>
  <dc:description/>
  <cp:lastModifiedBy>Master Repository Process</cp:lastModifiedBy>
  <cp:revision>4</cp:revision>
  <cp:lastPrinted>2022-06-14T03:07:00Z</cp:lastPrinted>
  <dcterms:created xsi:type="dcterms:W3CDTF">2022-06-17T01:57:00Z</dcterms:created>
  <dcterms:modified xsi:type="dcterms:W3CDTF">2022-06-17T01:57:00Z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18 Jun 2022</vt:lpwstr>
  </property>
  <property fmtid="{D5CDD505-2E9C-101B-9397-08002B2CF9AE}" pid="5" name="Suffix">
    <vt:lpwstr>00-a0-00</vt:lpwstr>
  </property>
  <property fmtid="{D5CDD505-2E9C-101B-9397-08002B2CF9AE}" pid="6" name="CommencementDate">
    <vt:lpwstr>20220618</vt:lpwstr>
  </property>
</Properties>
</file>