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Long Service Leave Act 1958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Long Service Leave Regulations 1997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Long Service Leave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_Toc106183120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_Toc106183121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rate for cash value of board and lodging (Act s. 7C(2)(b))</w:t>
      </w:r>
      <w:r>
        <w:tab/>
      </w:r>
      <w:r>
        <w:fldChar w:fldCharType="begin"/>
      </w:r>
      <w:r>
        <w:instrText xml:space="preserve"> PAGEREF _Toc106183122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_Toc106183124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Long Service Leave Act 1958</w:t>
      </w:r>
    </w:p>
    <w:p>
      <w:pPr>
        <w:pStyle w:val="NameofActReg"/>
      </w:pPr>
      <w:r>
        <w:t>Long Service Leave Regulations 1997</w:t>
      </w:r>
    </w:p>
    <w:p>
      <w:pPr>
        <w:pStyle w:val="Heading5"/>
        <w:rPr>
          <w:snapToGrid w:val="0"/>
        </w:rPr>
      </w:pPr>
      <w:bookmarkStart w:id="3" w:name="_Toc106183120"/>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Long Service Leave Regulations 1997</w:t>
      </w:r>
      <w:r>
        <w:rPr>
          <w:snapToGrid w:val="0"/>
        </w:rPr>
        <w:t>.</w:t>
      </w:r>
    </w:p>
    <w:p>
      <w:pPr>
        <w:pStyle w:val="Heading5"/>
        <w:rPr>
          <w:snapToGrid w:val="0"/>
        </w:rPr>
      </w:pPr>
      <w:bookmarkStart w:id="4" w:name="_Toc106183121"/>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21st day after the day on which they are published in the </w:t>
      </w:r>
      <w:r>
        <w:rPr>
          <w:i/>
          <w:snapToGrid w:val="0"/>
        </w:rPr>
        <w:t>Gazette</w:t>
      </w:r>
      <w:r>
        <w:rPr>
          <w:snapToGrid w:val="0"/>
        </w:rPr>
        <w:t>.</w:t>
      </w:r>
    </w:p>
    <w:p>
      <w:pPr>
        <w:pStyle w:val="Heading5"/>
        <w:rPr>
          <w:snapToGrid w:val="0"/>
        </w:rPr>
      </w:pPr>
      <w:bookmarkStart w:id="5" w:name="_Toc106183122"/>
      <w:r>
        <w:rPr>
          <w:rStyle w:val="CharSectno"/>
        </w:rPr>
        <w:t>3</w:t>
      </w:r>
      <w:r>
        <w:rPr>
          <w:snapToGrid w:val="0"/>
        </w:rPr>
        <w:t>.</w:t>
      </w:r>
      <w:r>
        <w:rPr>
          <w:snapToGrid w:val="0"/>
        </w:rPr>
        <w:tab/>
        <w:t>Prescribed rate for cash value of board and lodging (Act s. 7C(2)(b))</w:t>
      </w:r>
      <w:bookmarkEnd w:id="5"/>
    </w:p>
    <w:p>
      <w:pPr>
        <w:pStyle w:val="Subsection"/>
        <w:rPr>
          <w:snapToGrid w:val="0"/>
        </w:rPr>
      </w:pPr>
      <w:r>
        <w:rPr>
          <w:snapToGrid w:val="0"/>
        </w:rPr>
        <w:tab/>
        <w:t>(1)</w:t>
      </w:r>
      <w:r>
        <w:rPr>
          <w:snapToGrid w:val="0"/>
        </w:rPr>
        <w:tab/>
        <w:t xml:space="preserve">For the </w:t>
      </w:r>
      <w:r>
        <w:t xml:space="preserve">purposes of section 7C(2)(b) </w:t>
      </w:r>
      <w:r>
        <w:rPr>
          <w:snapToGrid w:val="0"/>
        </w:rPr>
        <w:t>of the Act, the prescribed rate for the cash value of board provided for an employee is $77.21 per week or, if full board is not provided, an amount calculated on a pro rata basis.</w:t>
      </w:r>
    </w:p>
    <w:p>
      <w:pPr>
        <w:pStyle w:val="Subsection"/>
        <w:rPr>
          <w:snapToGrid w:val="0"/>
        </w:rPr>
      </w:pPr>
      <w:r>
        <w:rPr>
          <w:snapToGrid w:val="0"/>
        </w:rPr>
        <w:tab/>
        <w:t>(2)</w:t>
      </w:r>
      <w:r>
        <w:rPr>
          <w:snapToGrid w:val="0"/>
        </w:rPr>
        <w:tab/>
        <w:t xml:space="preserve">For the </w:t>
      </w:r>
      <w:r>
        <w:t xml:space="preserve">purposes of section 7C(2)(b) </w:t>
      </w:r>
      <w:r>
        <w:rPr>
          <w:snapToGrid w:val="0"/>
        </w:rPr>
        <w:t>of the Act, the prescribed rate for the cash value of lodging provided for an employee is $19.30 per week or, if full lodging is not provided, an amount calculated on a pro rata basis.</w:t>
      </w:r>
    </w:p>
    <w:p>
      <w:pPr>
        <w:pStyle w:val="Subsection"/>
        <w:rPr>
          <w:snapToGrid w:val="0"/>
        </w:rPr>
      </w:pPr>
      <w:r>
        <w:rPr>
          <w:snapToGrid w:val="0"/>
        </w:rPr>
        <w:tab/>
        <w:t>(3)</w:t>
      </w:r>
      <w:r>
        <w:rPr>
          <w:snapToGrid w:val="0"/>
        </w:rPr>
        <w:tab/>
        <w:t xml:space="preserve">For the </w:t>
      </w:r>
      <w:r>
        <w:t xml:space="preserve">purposes of section 7C(2)(b) </w:t>
      </w:r>
      <w:r>
        <w:rPr>
          <w:snapToGrid w:val="0"/>
        </w:rPr>
        <w:t>of the Act, where both board and lodging are provided for an employee the prescribed rate for the cash value of the board and lodging is the sum of the amounts provided in or calculated under subregulations (1) and (2).</w:t>
      </w:r>
    </w:p>
    <w:p>
      <w:pPr>
        <w:pStyle w:val="Footnotesection"/>
        <w:keepNext/>
      </w:pPr>
      <w:r>
        <w:lastRenderedPageBreak/>
        <w:tab/>
        <w:t>[Regulation 3 amended: SL 2022/100 r. 57.]</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 w:name="_Toc106180767"/>
      <w:bookmarkStart w:id="7" w:name="_Toc106183123"/>
      <w:r>
        <w:lastRenderedPageBreak/>
        <w:t>Notes</w:t>
      </w:r>
      <w:bookmarkEnd w:id="6"/>
      <w:bookmarkEnd w:id="7"/>
    </w:p>
    <w:p>
      <w:pPr>
        <w:pStyle w:val="nStatement"/>
      </w:pPr>
      <w:r>
        <w:t xml:space="preserve">This is a compilation of the </w:t>
      </w:r>
      <w:r>
        <w:rPr>
          <w:i/>
          <w:noProof/>
        </w:rPr>
        <w:t>Long Service Leave Regulations 1997</w:t>
      </w:r>
      <w:r>
        <w:t xml:space="preserve"> and includes amendments made by other written laws. For provisions that have come into operation, and for information about any reprints, see the compilation table.</w:t>
      </w:r>
    </w:p>
    <w:p>
      <w:pPr>
        <w:pStyle w:val="nHeading3"/>
      </w:pPr>
      <w:bookmarkStart w:id="8" w:name="_Toc106183124"/>
      <w:r>
        <w:t>Compilation table</w:t>
      </w:r>
      <w:bookmarkEnd w:id="8"/>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Long Service Leave Regulations 1997</w:t>
            </w:r>
          </w:p>
        </w:tc>
        <w:tc>
          <w:tcPr>
            <w:tcW w:w="1276" w:type="dxa"/>
            <w:tcBorders>
              <w:top w:val="single" w:sz="8" w:space="0" w:color="auto"/>
            </w:tcBorders>
          </w:tcPr>
          <w:p>
            <w:pPr>
              <w:pStyle w:val="nTable"/>
              <w:spacing w:after="40"/>
            </w:pPr>
            <w:r>
              <w:t>9 Jan 1998 p. 211</w:t>
            </w:r>
            <w:r>
              <w:noBreakHyphen/>
              <w:t>12</w:t>
            </w:r>
          </w:p>
        </w:tc>
        <w:tc>
          <w:tcPr>
            <w:tcW w:w="2693" w:type="dxa"/>
            <w:tcBorders>
              <w:top w:val="single" w:sz="8" w:space="0" w:color="auto"/>
            </w:tcBorders>
          </w:tcPr>
          <w:p>
            <w:pPr>
              <w:pStyle w:val="nTable"/>
              <w:spacing w:after="40"/>
            </w:pPr>
            <w:r>
              <w:t>30 Jan 1998 (see r. 2)</w:t>
            </w:r>
          </w:p>
        </w:tc>
      </w:tr>
      <w:tr>
        <w:trPr>
          <w:cantSplit/>
        </w:trPr>
        <w:tc>
          <w:tcPr>
            <w:tcW w:w="7088" w:type="dxa"/>
            <w:gridSpan w:val="3"/>
            <w:tcBorders>
              <w:top w:val="nil"/>
              <w:bottom w:val="nil"/>
            </w:tcBorders>
          </w:tcPr>
          <w:p>
            <w:pPr>
              <w:pStyle w:val="nTable"/>
              <w:spacing w:after="40"/>
            </w:pPr>
            <w:r>
              <w:rPr>
                <w:b/>
              </w:rPr>
              <w:t xml:space="preserve">Reprint 1: The </w:t>
            </w:r>
            <w:r>
              <w:rPr>
                <w:b/>
                <w:i/>
              </w:rPr>
              <w:t>Long Service Leave Regulations 1997</w:t>
            </w:r>
            <w:r>
              <w:rPr>
                <w:b/>
              </w:rPr>
              <w:t xml:space="preserve"> as at 7 May 2004</w:t>
            </w:r>
            <w:r>
              <w:t xml:space="preserve"> (includes amendments listed above)</w:t>
            </w:r>
          </w:p>
        </w:tc>
      </w:tr>
      <w:tr>
        <w:trPr>
          <w:cantSplit/>
        </w:trPr>
        <w:tc>
          <w:tcPr>
            <w:tcW w:w="3119" w:type="dxa"/>
            <w:tcBorders>
              <w:top w:val="nil"/>
              <w:bottom w:val="single" w:sz="4" w:space="0" w:color="auto"/>
            </w:tcBorders>
          </w:tcPr>
          <w:p>
            <w:pPr>
              <w:pStyle w:val="nTable"/>
              <w:spacing w:after="40"/>
            </w:pPr>
            <w:r>
              <w:rPr>
                <w:i/>
              </w:rPr>
              <w:t>Industrial Relations Regulations (Consequential Amendments) Regulations 2022</w:t>
            </w:r>
            <w:r>
              <w:t xml:space="preserve"> Pt. 4</w:t>
            </w:r>
          </w:p>
        </w:tc>
        <w:tc>
          <w:tcPr>
            <w:tcW w:w="1276" w:type="dxa"/>
            <w:tcBorders>
              <w:top w:val="nil"/>
              <w:bottom w:val="single" w:sz="4" w:space="0" w:color="auto"/>
            </w:tcBorders>
          </w:tcPr>
          <w:p>
            <w:pPr>
              <w:pStyle w:val="nTable"/>
              <w:spacing w:after="40"/>
            </w:pPr>
            <w:r>
              <w:t>SL 2022/100 17 Jun 2022</w:t>
            </w:r>
          </w:p>
        </w:tc>
        <w:tc>
          <w:tcPr>
            <w:tcW w:w="2693" w:type="dxa"/>
            <w:tcBorders>
              <w:top w:val="nil"/>
              <w:bottom w:val="single" w:sz="4" w:space="0" w:color="auto"/>
            </w:tcBorders>
          </w:tcPr>
          <w:p>
            <w:pPr>
              <w:pStyle w:val="nTable"/>
              <w:spacing w:after="40"/>
            </w:pPr>
            <w:r>
              <w:t>20 Jun 2022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 w:name="Compilation"/>
    <w:bookmarkEnd w:id="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 w:name="Coversheet"/>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Regulations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Regulations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Regulations 1997</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E217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1C0A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6E31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54BF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18E2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683C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061C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FAED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3450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A80C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F64404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64845"/>
    <w:docVar w:name="WAFER_20140203160836" w:val="RemoveTocBookmarks,RemoveUnusedBookmarks,RemoveLanguageTags,UsedStyles,ResetPageSize,UpdateArrangement"/>
    <w:docVar w:name="WAFER_20140203160836_GUID" w:val="02efbc06-c345-4b7e-9402-f7604f38ec23"/>
    <w:docVar w:name="WAFER_20140203161454" w:val="RemoveTocBookmarks,RunningHeaders"/>
    <w:docVar w:name="WAFER_20140203161454_GUID" w:val="50863b3b-85c3-4664-8270-8ef19faeb64e"/>
    <w:docVar w:name="WAFER_20150602111729" w:val="ResetPageSize,UpdateArrangement,UpdateNTable"/>
    <w:docVar w:name="WAFER_20150602111729_GUID" w:val="d39594a9-219b-4a74-9283-80dff629610d"/>
    <w:docVar w:name="WAFER_20151106100836" w:val="UpdateStyles,UsedStyles"/>
    <w:docVar w:name="WAFER_20151106100836_GUID" w:val="d4c45966-a065-4393-80c1-ade308708862"/>
    <w:docVar w:name="WAFER_20220614164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64845_GUID" w:val="1108fc73-50d2-4483-8bf0-7247f18545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CD0340-628D-41EF-9F58-3A154DB3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2131</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2510</CharactersWithSpaces>
  <SharedDoc>false</SharedDoc>
  <HLinks>
    <vt:vector size="12" baseType="variant">
      <vt:variant>
        <vt:i4>65542</vt:i4>
      </vt:variant>
      <vt:variant>
        <vt:i4>1702</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Regulations 1997 - 01-b0-00</dc:title>
  <dc:subject/>
  <dc:creator/>
  <cp:keywords/>
  <dc:description/>
  <cp:lastModifiedBy>Master Repository Process</cp:lastModifiedBy>
  <cp:revision>4</cp:revision>
  <cp:lastPrinted>2004-04-13T07:23:00Z</cp:lastPrinted>
  <dcterms:created xsi:type="dcterms:W3CDTF">2022-06-17T03:09:00Z</dcterms:created>
  <dcterms:modified xsi:type="dcterms:W3CDTF">2022-06-17T03:09:00Z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January 1998 pp.211-12</vt:lpwstr>
  </property>
  <property fmtid="{D5CDD505-2E9C-101B-9397-08002B2CF9AE}" pid="3" name="DocumentType">
    <vt:lpwstr>Reg</vt:lpwstr>
  </property>
  <property fmtid="{D5CDD505-2E9C-101B-9397-08002B2CF9AE}" pid="4" name="OwlsUID">
    <vt:i4>142</vt:i4>
  </property>
  <property fmtid="{D5CDD505-2E9C-101B-9397-08002B2CF9AE}" pid="5" name="AsAtDate">
    <vt:lpwstr>20 Jun 2022</vt:lpwstr>
  </property>
  <property fmtid="{D5CDD505-2E9C-101B-9397-08002B2CF9AE}" pid="6" name="Suffix">
    <vt:lpwstr>01-b0-00</vt:lpwstr>
  </property>
  <property fmtid="{D5CDD505-2E9C-101B-9397-08002B2CF9AE}" pid="7" name="CommencementDate">
    <vt:lpwstr>20220620</vt:lpwstr>
  </property>
</Properties>
</file>