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_Toc106179859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_Toc106179860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_Toc106179861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_Toc106179863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_Toc106179864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Charges for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_Toc106179866 \h </w:instrText>
      </w:r>
      <w:r>
        <w:fldChar w:fldCharType="separate"/>
      </w:r>
      <w:r>
        <w:t>4</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_Toc106179867 \h </w:instrText>
      </w:r>
      <w:r>
        <w:fldChar w:fldCharType="separate"/>
      </w:r>
      <w:r>
        <w:t>5</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_Toc106179868 \h </w:instrText>
      </w:r>
      <w:r>
        <w:fldChar w:fldCharType="separate"/>
      </w:r>
      <w:r>
        <w:t>5</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_Toc106179869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Charges for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_Toc106179871 \h </w:instrText>
      </w:r>
      <w:r>
        <w:fldChar w:fldCharType="separate"/>
      </w:r>
      <w:r>
        <w:t>7</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_Toc106179872 \h </w:instrText>
      </w:r>
      <w:r>
        <w:fldChar w:fldCharType="separate"/>
      </w:r>
      <w:r>
        <w:t>8</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_Toc106179873 \h </w:instrText>
      </w:r>
      <w:r>
        <w:fldChar w:fldCharType="separate"/>
      </w:r>
      <w:r>
        <w:t>8</w:t>
      </w:r>
      <w:r>
        <w:fldChar w:fldCharType="end"/>
      </w:r>
    </w:p>
    <w:p>
      <w:pPr>
        <w:pStyle w:val="TOC8"/>
        <w:rPr>
          <w:rFonts w:asciiTheme="minorHAnsi" w:eastAsiaTheme="minorEastAsia" w:hAnsiTheme="minorHAnsi" w:cstheme="minorBidi"/>
          <w:szCs w:val="22"/>
        </w:rPr>
      </w:pPr>
      <w:r>
        <w:t>15A.</w:t>
      </w:r>
      <w:r>
        <w:tab/>
        <w:t>Permitted surcharge for using credit card or debit card</w:t>
      </w:r>
      <w:r>
        <w:tab/>
      </w:r>
      <w:r>
        <w:fldChar w:fldCharType="begin"/>
      </w:r>
      <w:r>
        <w:instrText xml:space="preserve"> PAGEREF _Toc106179874 \h </w:instrText>
      </w:r>
      <w:r>
        <w:fldChar w:fldCharType="separate"/>
      </w:r>
      <w:r>
        <w:t>9</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_Toc106179875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Charges for the Water Corporation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_Toc106179878 \h </w:instrText>
      </w:r>
      <w:r>
        <w:fldChar w:fldCharType="separate"/>
      </w:r>
      <w:r>
        <w:t>11</w:t>
      </w:r>
      <w:r>
        <w:fldChar w:fldCharType="end"/>
      </w:r>
    </w:p>
    <w:p>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_Toc106179879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Provisions of general application</w:t>
      </w:r>
    </w:p>
    <w:p>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_Toc106179881 \h </w:instrText>
      </w:r>
      <w:r>
        <w:fldChar w:fldCharType="separate"/>
      </w:r>
      <w:r>
        <w:t>19</w:t>
      </w:r>
      <w:r>
        <w:fldChar w:fldCharType="end"/>
      </w:r>
    </w:p>
    <w:p>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_Toc106179882 \h </w:instrText>
      </w:r>
      <w:r>
        <w:fldChar w:fldCharType="separate"/>
      </w:r>
      <w:r>
        <w:t>19</w:t>
      </w:r>
      <w:r>
        <w:fldChar w:fldCharType="end"/>
      </w:r>
    </w:p>
    <w:p>
      <w:pPr>
        <w:pStyle w:val="TOC8"/>
        <w:rPr>
          <w:rFonts w:asciiTheme="minorHAnsi" w:eastAsiaTheme="minorEastAsia" w:hAnsiTheme="minorHAnsi" w:cstheme="minorBidi"/>
          <w:szCs w:val="22"/>
        </w:rPr>
      </w:pPr>
      <w:r>
        <w:t>20.</w:t>
      </w:r>
      <w:r>
        <w:tab/>
        <w:t>Permitted surcharge for using credit card or debit card</w:t>
      </w:r>
      <w:r>
        <w:tab/>
      </w:r>
      <w:r>
        <w:fldChar w:fldCharType="begin"/>
      </w:r>
      <w:r>
        <w:instrText xml:space="preserve"> PAGEREF _Toc106179883 \h </w:instrText>
      </w:r>
      <w:r>
        <w:fldChar w:fldCharType="separate"/>
      </w:r>
      <w:r>
        <w:t>20</w:t>
      </w:r>
      <w:r>
        <w:fldChar w:fldCharType="end"/>
      </w:r>
    </w:p>
    <w:p>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_Toc106179884 \h </w:instrText>
      </w:r>
      <w:r>
        <w:fldChar w:fldCharType="separate"/>
      </w:r>
      <w:r>
        <w:t>21</w:t>
      </w:r>
      <w:r>
        <w:fldChar w:fldCharType="end"/>
      </w:r>
    </w:p>
    <w:p>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_Toc106179885 \h </w:instrText>
      </w:r>
      <w:r>
        <w:fldChar w:fldCharType="separate"/>
      </w:r>
      <w:r>
        <w:t>21</w:t>
      </w:r>
      <w:r>
        <w:fldChar w:fldCharType="end"/>
      </w:r>
    </w:p>
    <w:p>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_Toc106179886 \h </w:instrText>
      </w:r>
      <w:r>
        <w:fldChar w:fldCharType="separate"/>
      </w:r>
      <w:r>
        <w:t>23</w:t>
      </w:r>
      <w:r>
        <w:fldChar w:fldCharType="end"/>
      </w:r>
    </w:p>
    <w:p>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_Toc106179887 \h </w:instrText>
      </w:r>
      <w:r>
        <w:fldChar w:fldCharType="separate"/>
      </w:r>
      <w:r>
        <w:t>25</w:t>
      </w:r>
      <w:r>
        <w:fldChar w:fldCharType="end"/>
      </w:r>
    </w:p>
    <w:p>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_Toc106179888 \h </w:instrText>
      </w:r>
      <w:r>
        <w:fldChar w:fldCharType="separate"/>
      </w:r>
      <w:r>
        <w:t>25</w:t>
      </w:r>
      <w:r>
        <w:fldChar w:fldCharType="end"/>
      </w:r>
    </w:p>
    <w:p>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_Toc106179889 \h </w:instrText>
      </w:r>
      <w:r>
        <w:fldChar w:fldCharType="separate"/>
      </w:r>
      <w:r>
        <w:t>26</w:t>
      </w:r>
      <w:r>
        <w:fldChar w:fldCharType="end"/>
      </w:r>
    </w:p>
    <w:p>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_Toc106179890 \h </w:instrText>
      </w:r>
      <w:r>
        <w:fldChar w:fldCharType="separate"/>
      </w:r>
      <w:r>
        <w:t>26</w:t>
      </w:r>
      <w:r>
        <w:fldChar w:fldCharType="end"/>
      </w:r>
    </w:p>
    <w:p>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_Toc106179891 \h </w:instrText>
      </w:r>
      <w:r>
        <w:fldChar w:fldCharType="separate"/>
      </w:r>
      <w:r>
        <w:t>27</w:t>
      </w:r>
      <w:r>
        <w:fldChar w:fldCharType="end"/>
      </w:r>
    </w:p>
    <w:p>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_Toc106179892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Water supply charges</w:t>
      </w:r>
    </w:p>
    <w:p>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_Toc106179894 \h </w:instrText>
      </w:r>
      <w:r>
        <w:fldChar w:fldCharType="separate"/>
      </w:r>
      <w:r>
        <w:t>29</w:t>
      </w:r>
      <w:r>
        <w:fldChar w:fldCharType="end"/>
      </w:r>
    </w:p>
    <w:p>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_Toc106179895 \h </w:instrText>
      </w:r>
      <w:r>
        <w:fldChar w:fldCharType="separate"/>
      </w:r>
      <w:r>
        <w:t>29</w:t>
      </w:r>
      <w:r>
        <w:fldChar w:fldCharType="end"/>
      </w:r>
    </w:p>
    <w:p>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_Toc106179896 \h </w:instrText>
      </w:r>
      <w:r>
        <w:fldChar w:fldCharType="separate"/>
      </w:r>
      <w:r>
        <w:t>30</w:t>
      </w:r>
      <w:r>
        <w:fldChar w:fldCharType="end"/>
      </w:r>
    </w:p>
    <w:p>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_Toc106179897 \h </w:instrText>
      </w:r>
      <w:r>
        <w:fldChar w:fldCharType="separate"/>
      </w:r>
      <w:r>
        <w:t>33</w:t>
      </w:r>
      <w:r>
        <w:fldChar w:fldCharType="end"/>
      </w:r>
    </w:p>
    <w:p>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_Toc106179898 \h </w:instrText>
      </w:r>
      <w:r>
        <w:fldChar w:fldCharType="separate"/>
      </w:r>
      <w:r>
        <w:t>33</w:t>
      </w:r>
      <w:r>
        <w:fldChar w:fldCharType="end"/>
      </w:r>
    </w:p>
    <w:p>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_Toc106179899 \h </w:instrText>
      </w:r>
      <w:r>
        <w:fldChar w:fldCharType="separate"/>
      </w:r>
      <w:r>
        <w:t>35</w:t>
      </w:r>
      <w:r>
        <w:fldChar w:fldCharType="end"/>
      </w:r>
    </w:p>
    <w:p>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_Toc106179900 \h </w:instrText>
      </w:r>
      <w:r>
        <w:fldChar w:fldCharType="separate"/>
      </w:r>
      <w:r>
        <w:t>37</w:t>
      </w:r>
      <w:r>
        <w:fldChar w:fldCharType="end"/>
      </w:r>
    </w:p>
    <w:p>
      <w:pPr>
        <w:pStyle w:val="TOC8"/>
        <w:rPr>
          <w:rFonts w:asciiTheme="minorHAnsi" w:eastAsiaTheme="minorEastAsia" w:hAnsiTheme="minorHAnsi" w:cstheme="minorBidi"/>
          <w:szCs w:val="22"/>
        </w:rPr>
      </w:pPr>
      <w:r>
        <w:t>36A.</w:t>
      </w:r>
      <w:r>
        <w:tab/>
        <w:t>Water supplied through commercial standpipes within areas over which a water deficiency declaration applies</w:t>
      </w:r>
      <w:r>
        <w:tab/>
      </w:r>
      <w:r>
        <w:fldChar w:fldCharType="begin"/>
      </w:r>
      <w:r>
        <w:instrText xml:space="preserve"> PAGEREF _Toc106179901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Sewerage charges</w:t>
      </w:r>
    </w:p>
    <w:p>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_Toc106179903 \h </w:instrText>
      </w:r>
      <w:r>
        <w:fldChar w:fldCharType="separate"/>
      </w:r>
      <w:r>
        <w:t>38</w:t>
      </w:r>
      <w:r>
        <w:fldChar w:fldCharType="end"/>
      </w:r>
    </w:p>
    <w:p>
      <w:pPr>
        <w:pStyle w:val="TOC8"/>
        <w:rPr>
          <w:rFonts w:asciiTheme="minorHAnsi" w:eastAsiaTheme="minorEastAsia" w:hAnsiTheme="minorHAnsi" w:cstheme="minorBidi"/>
          <w:szCs w:val="22"/>
        </w:rPr>
      </w:pPr>
      <w:r>
        <w:t>38.</w:t>
      </w:r>
      <w:r>
        <w:tab/>
        <w:t>Sewerage areas</w:t>
      </w:r>
      <w:r>
        <w:tab/>
      </w:r>
      <w:r>
        <w:fldChar w:fldCharType="begin"/>
      </w:r>
      <w:r>
        <w:instrText xml:space="preserve"> PAGEREF _Toc106179904 \h </w:instrText>
      </w:r>
      <w:r>
        <w:fldChar w:fldCharType="separate"/>
      </w:r>
      <w:r>
        <w:t>39</w:t>
      </w:r>
      <w:r>
        <w:fldChar w:fldCharType="end"/>
      </w:r>
    </w:p>
    <w:p>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_Toc106179905 \h </w:instrText>
      </w:r>
      <w:r>
        <w:fldChar w:fldCharType="separate"/>
      </w:r>
      <w:r>
        <w:t>39</w:t>
      </w:r>
      <w:r>
        <w:fldChar w:fldCharType="end"/>
      </w:r>
    </w:p>
    <w:p>
      <w:pPr>
        <w:pStyle w:val="TOC8"/>
        <w:rPr>
          <w:rFonts w:asciiTheme="minorHAnsi" w:eastAsiaTheme="minorEastAsia" w:hAnsiTheme="minorHAnsi" w:cstheme="minorBidi"/>
          <w:szCs w:val="22"/>
        </w:rPr>
      </w:pPr>
      <w:r>
        <w:lastRenderedPageBreak/>
        <w:t>40.</w:t>
      </w:r>
      <w:r>
        <w:tab/>
        <w:t>Classification of land</w:t>
      </w:r>
      <w:r>
        <w:tab/>
      </w:r>
      <w:r>
        <w:fldChar w:fldCharType="begin"/>
      </w:r>
      <w:r>
        <w:instrText xml:space="preserve"> PAGEREF _Toc106179906 \h </w:instrText>
      </w:r>
      <w:r>
        <w:fldChar w:fldCharType="separate"/>
      </w:r>
      <w:r>
        <w:t>40</w:t>
      </w:r>
      <w:r>
        <w:fldChar w:fldCharType="end"/>
      </w:r>
    </w:p>
    <w:p>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_Toc106179907 \h </w:instrText>
      </w:r>
      <w:r>
        <w:fldChar w:fldCharType="separate"/>
      </w:r>
      <w:r>
        <w:t>42</w:t>
      </w:r>
      <w:r>
        <w:fldChar w:fldCharType="end"/>
      </w:r>
    </w:p>
    <w:p>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_Toc106179908 \h </w:instrText>
      </w:r>
      <w:r>
        <w:fldChar w:fldCharType="separate"/>
      </w:r>
      <w:r>
        <w:t>42</w:t>
      </w:r>
      <w:r>
        <w:fldChar w:fldCharType="end"/>
      </w:r>
    </w:p>
    <w:p>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_Toc106179909 \h </w:instrText>
      </w:r>
      <w:r>
        <w:fldChar w:fldCharType="separate"/>
      </w:r>
      <w:r>
        <w:t>44</w:t>
      </w:r>
      <w:r>
        <w:fldChar w:fldCharType="end"/>
      </w:r>
    </w:p>
    <w:p>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_Toc106179910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 — Drainage charges</w:t>
      </w:r>
    </w:p>
    <w:p>
      <w:pPr>
        <w:pStyle w:val="TOC8"/>
        <w:rPr>
          <w:rFonts w:asciiTheme="minorHAnsi" w:eastAsiaTheme="minorEastAsia" w:hAnsiTheme="minorHAnsi" w:cstheme="minorBidi"/>
          <w:szCs w:val="22"/>
        </w:rPr>
      </w:pPr>
      <w:r>
        <w:t>45.</w:t>
      </w:r>
      <w:r>
        <w:tab/>
        <w:t>Drainage areas</w:t>
      </w:r>
      <w:r>
        <w:tab/>
      </w:r>
      <w:r>
        <w:fldChar w:fldCharType="begin"/>
      </w:r>
      <w:r>
        <w:instrText xml:space="preserve"> PAGEREF _Toc106179912 \h </w:instrText>
      </w:r>
      <w:r>
        <w:fldChar w:fldCharType="separate"/>
      </w:r>
      <w:r>
        <w:t>45</w:t>
      </w:r>
      <w:r>
        <w:fldChar w:fldCharType="end"/>
      </w:r>
    </w:p>
    <w:p>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_Toc106179913 \h </w:instrText>
      </w:r>
      <w:r>
        <w:fldChar w:fldCharType="separate"/>
      </w:r>
      <w:r>
        <w:t>46</w:t>
      </w:r>
      <w:r>
        <w:fldChar w:fldCharType="end"/>
      </w:r>
    </w:p>
    <w:p>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_Toc106179914 \h </w:instrText>
      </w:r>
      <w:r>
        <w:fldChar w:fldCharType="separate"/>
      </w:r>
      <w:r>
        <w:t>47</w:t>
      </w:r>
      <w:r>
        <w:fldChar w:fldCharType="end"/>
      </w:r>
    </w:p>
    <w:p>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_Toc106179915 \h </w:instrText>
      </w:r>
      <w:r>
        <w:fldChar w:fldCharType="separate"/>
      </w:r>
      <w:r>
        <w:t>48</w:t>
      </w:r>
      <w:r>
        <w:fldChar w:fldCharType="end"/>
      </w:r>
    </w:p>
    <w:p>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_Toc106179916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 — Irrigation charges</w:t>
      </w:r>
    </w:p>
    <w:p>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_Toc106179918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7 — Miscellaneous charges</w:t>
      </w:r>
    </w:p>
    <w:p>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_Toc106179920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Water Services (Water Corporations Charges) Regulations 2013</w:t>
      </w:r>
      <w:r>
        <w:t xml:space="preserve"> repealed</w:t>
      </w:r>
    </w:p>
    <w:p>
      <w:pPr>
        <w:pStyle w:val="TOC8"/>
        <w:rPr>
          <w:rFonts w:asciiTheme="minorHAnsi" w:eastAsiaTheme="minorEastAsia" w:hAnsiTheme="minorHAnsi" w:cstheme="minorBidi"/>
          <w:szCs w:val="22"/>
        </w:rPr>
      </w:pPr>
      <w:r>
        <w:t>52.</w:t>
      </w:r>
      <w:r>
        <w:tab/>
      </w:r>
      <w:r>
        <w:rPr>
          <w:i/>
        </w:rPr>
        <w:t>Water Services (Water Corporations Charges) Regulations 2013</w:t>
      </w:r>
      <w:r>
        <w:t xml:space="preserve"> repealed</w:t>
      </w:r>
      <w:r>
        <w:tab/>
      </w:r>
      <w:r>
        <w:fldChar w:fldCharType="begin"/>
      </w:r>
      <w:r>
        <w:instrText xml:space="preserve"> PAGEREF _Toc106179923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w:t>
      </w:r>
      <w:r>
        <w:rPr>
          <w:i/>
        </w:rPr>
        <w:t>Water Services (Water Corporations Charges) Regulations 2014</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53.</w:t>
      </w:r>
      <w:r>
        <w:tab/>
        <w:t xml:space="preserve">Application of the </w:t>
      </w:r>
      <w:r>
        <w:rPr>
          <w:i/>
        </w:rPr>
        <w:t>Interpretation Act 1984</w:t>
      </w:r>
      <w:r>
        <w:tab/>
      </w:r>
      <w:r>
        <w:fldChar w:fldCharType="begin"/>
      </w:r>
      <w:r>
        <w:instrText xml:space="preserve"> PAGEREF _Toc106179926 \h </w:instrText>
      </w:r>
      <w:r>
        <w:fldChar w:fldCharType="separate"/>
      </w:r>
      <w:r>
        <w:t>51</w:t>
      </w:r>
      <w:r>
        <w:fldChar w:fldCharType="end"/>
      </w:r>
    </w:p>
    <w:p>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_Toc106179927 \h </w:instrText>
      </w:r>
      <w:r>
        <w:fldChar w:fldCharType="separate"/>
      </w:r>
      <w:r>
        <w:t>51</w:t>
      </w:r>
      <w:r>
        <w:fldChar w:fldCharType="end"/>
      </w:r>
    </w:p>
    <w:p>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_Toc106179928 \h </w:instrText>
      </w:r>
      <w:r>
        <w:fldChar w:fldCharType="separate"/>
      </w:r>
      <w:r>
        <w:t>51</w:t>
      </w:r>
      <w:r>
        <w:fldChar w:fldCharType="end"/>
      </w:r>
    </w:p>
    <w:p>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_Toc106179929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Specific provisions</w:t>
      </w:r>
    </w:p>
    <w:p>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_Toc106179931 \h </w:instrText>
      </w:r>
      <w:r>
        <w:fldChar w:fldCharType="separate"/>
      </w:r>
      <w:r>
        <w:t>52</w:t>
      </w:r>
      <w:r>
        <w:fldChar w:fldCharType="end"/>
      </w:r>
    </w:p>
    <w:p>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_Toc106179932 \h </w:instrText>
      </w:r>
      <w:r>
        <w:fldChar w:fldCharType="separate"/>
      </w:r>
      <w:r>
        <w:t>52</w:t>
      </w:r>
      <w:r>
        <w:fldChar w:fldCharType="end"/>
      </w:r>
    </w:p>
    <w:p>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_Toc106179933 \h </w:instrText>
      </w:r>
      <w:r>
        <w:fldChar w:fldCharType="separate"/>
      </w:r>
      <w:r>
        <w:t>53</w:t>
      </w:r>
      <w:r>
        <w:fldChar w:fldCharType="end"/>
      </w:r>
    </w:p>
    <w:p>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_Toc106179934 \h </w:instrText>
      </w:r>
      <w:r>
        <w:fldChar w:fldCharType="separate"/>
      </w:r>
      <w:r>
        <w:t>53</w:t>
      </w:r>
      <w:r>
        <w:fldChar w:fldCharType="end"/>
      </w:r>
    </w:p>
    <w:p>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_Toc106179935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w:t>
      </w:r>
      <w:r>
        <w:rPr>
          <w:i/>
        </w:rPr>
        <w:t>Water Services (Water Corporations Charges) Amendment Regulations (No. 2) 2014</w:t>
      </w:r>
    </w:p>
    <w:p>
      <w:pPr>
        <w:pStyle w:val="TOC8"/>
        <w:rPr>
          <w:rFonts w:asciiTheme="minorHAnsi" w:eastAsiaTheme="minorEastAsia" w:hAnsiTheme="minorHAnsi" w:cstheme="minorBidi"/>
          <w:szCs w:val="22"/>
        </w:rPr>
      </w:pPr>
      <w:r>
        <w:t>62.</w:t>
      </w:r>
      <w:r>
        <w:tab/>
        <w:t>Application of r. 5</w:t>
      </w:r>
      <w:r>
        <w:tab/>
      </w:r>
      <w:r>
        <w:fldChar w:fldCharType="begin"/>
      </w:r>
      <w:r>
        <w:instrText xml:space="preserve"> PAGEREF _Toc106179937 \h </w:instrText>
      </w:r>
      <w:r>
        <w:fldChar w:fldCharType="separate"/>
      </w:r>
      <w:r>
        <w:t>54</w:t>
      </w:r>
      <w:r>
        <w:fldChar w:fldCharType="end"/>
      </w:r>
    </w:p>
    <w:p>
      <w:pPr>
        <w:pStyle w:val="TOC8"/>
        <w:rPr>
          <w:rFonts w:asciiTheme="minorHAnsi" w:eastAsiaTheme="minorEastAsia" w:hAnsiTheme="minorHAnsi" w:cstheme="minorBidi"/>
          <w:szCs w:val="22"/>
        </w:rPr>
      </w:pPr>
      <w:r>
        <w:t>63.</w:t>
      </w:r>
      <w:r>
        <w:tab/>
        <w:t>Reduction, waiver or refund of certain charges</w:t>
      </w:r>
      <w:r>
        <w:tab/>
      </w:r>
      <w:r>
        <w:fldChar w:fldCharType="begin"/>
      </w:r>
      <w:r>
        <w:instrText xml:space="preserve"> PAGEREF _Toc106179938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Bunbury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2021/22 and subsequent years</w:t>
      </w:r>
      <w:r>
        <w:tab/>
      </w:r>
      <w:r>
        <w:fldChar w:fldCharType="begin"/>
      </w:r>
      <w:r>
        <w:instrText xml:space="preserve"> PAGEREF _Toc106179941 \h </w:instrText>
      </w:r>
      <w:r>
        <w:fldChar w:fldCharType="separate"/>
      </w:r>
      <w:r>
        <w:t>56</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_Toc106179942 \h </w:instrText>
      </w:r>
      <w:r>
        <w:fldChar w:fldCharType="separate"/>
      </w:r>
      <w:r>
        <w:t>56</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_Toc106179943 \h </w:instrText>
      </w:r>
      <w:r>
        <w:fldChar w:fldCharType="separate"/>
      </w:r>
      <w:r>
        <w:t>56</w:t>
      </w:r>
      <w:r>
        <w:fldChar w:fldCharType="end"/>
      </w:r>
    </w:p>
    <w:p>
      <w:pPr>
        <w:pStyle w:val="TOC8"/>
        <w:rPr>
          <w:rFonts w:asciiTheme="minorHAnsi" w:eastAsiaTheme="minorEastAsia" w:hAnsiTheme="minorHAnsi" w:cstheme="minorBidi"/>
          <w:szCs w:val="22"/>
        </w:rPr>
      </w:pPr>
      <w:r>
        <w:t>4.</w:t>
      </w:r>
      <w:r>
        <w:tab/>
        <w:t>Fire service connections</w:t>
      </w:r>
      <w:r>
        <w:tab/>
      </w:r>
      <w:r>
        <w:fldChar w:fldCharType="begin"/>
      </w:r>
      <w:r>
        <w:instrText xml:space="preserve"> PAGEREF _Toc106179944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5.</w:t>
      </w:r>
      <w:r>
        <w:tab/>
        <w:t>Consumption charges for 2021/22 and subsequent years</w:t>
      </w:r>
      <w:r>
        <w:tab/>
      </w:r>
      <w:r>
        <w:fldChar w:fldCharType="begin"/>
      </w:r>
      <w:r>
        <w:instrText xml:space="preserve"> PAGEREF _Toc106179946 \h </w:instrText>
      </w:r>
      <w:r>
        <w:fldChar w:fldCharType="separate"/>
      </w:r>
      <w:r>
        <w:t>57</w:t>
      </w:r>
      <w:r>
        <w:fldChar w:fldCharType="end"/>
      </w:r>
    </w:p>
    <w:p>
      <w:pPr>
        <w:pStyle w:val="TOC8"/>
        <w:rPr>
          <w:rFonts w:asciiTheme="minorHAnsi" w:eastAsiaTheme="minorEastAsia" w:hAnsiTheme="minorHAnsi" w:cstheme="minorBidi"/>
          <w:szCs w:val="22"/>
        </w:rPr>
      </w:pPr>
      <w:r>
        <w:t>6.</w:t>
      </w:r>
      <w:r>
        <w:tab/>
        <w:t>Residential lots</w:t>
      </w:r>
      <w:r>
        <w:tab/>
      </w:r>
      <w:r>
        <w:fldChar w:fldCharType="begin"/>
      </w:r>
      <w:r>
        <w:instrText xml:space="preserve"> PAGEREF _Toc106179947 \h </w:instrText>
      </w:r>
      <w:r>
        <w:fldChar w:fldCharType="separate"/>
      </w:r>
      <w:r>
        <w:t>57</w:t>
      </w:r>
      <w:r>
        <w:fldChar w:fldCharType="end"/>
      </w:r>
    </w:p>
    <w:p>
      <w:pPr>
        <w:pStyle w:val="TOC8"/>
        <w:rPr>
          <w:rFonts w:asciiTheme="minorHAnsi" w:eastAsiaTheme="minorEastAsia" w:hAnsiTheme="minorHAnsi" w:cstheme="minorBidi"/>
          <w:szCs w:val="22"/>
        </w:rPr>
      </w:pPr>
      <w:r>
        <w:t>7.</w:t>
      </w:r>
      <w:r>
        <w:tab/>
        <w:t>Non</w:t>
      </w:r>
      <w:r>
        <w:noBreakHyphen/>
        <w:t>residential lots</w:t>
      </w:r>
      <w:r>
        <w:tab/>
      </w:r>
      <w:r>
        <w:fldChar w:fldCharType="begin"/>
      </w:r>
      <w:r>
        <w:instrText xml:space="preserve"> PAGEREF _Toc106179948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2 — Charges for Busselton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2021/22 and subsequent years</w:t>
      </w:r>
      <w:r>
        <w:tab/>
      </w:r>
      <w:r>
        <w:fldChar w:fldCharType="begin"/>
      </w:r>
      <w:r>
        <w:instrText xml:space="preserve"> PAGEREF _Toc106179951 \h </w:instrText>
      </w:r>
      <w:r>
        <w:fldChar w:fldCharType="separate"/>
      </w:r>
      <w:r>
        <w:t>58</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_Toc106179952 \h </w:instrText>
      </w:r>
      <w:r>
        <w:fldChar w:fldCharType="separate"/>
      </w:r>
      <w:r>
        <w:t>58</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_Toc106179953 \h </w:instrText>
      </w:r>
      <w:r>
        <w:fldChar w:fldCharType="separate"/>
      </w:r>
      <w:r>
        <w:t>58</w:t>
      </w:r>
      <w:r>
        <w:fldChar w:fldCharType="end"/>
      </w:r>
    </w:p>
    <w:p>
      <w:pPr>
        <w:pStyle w:val="TOC8"/>
        <w:rPr>
          <w:rFonts w:asciiTheme="minorHAnsi" w:eastAsiaTheme="minorEastAsia" w:hAnsiTheme="minorHAnsi" w:cstheme="minorBidi"/>
          <w:szCs w:val="22"/>
        </w:rPr>
      </w:pPr>
      <w:r>
        <w:t>4.</w:t>
      </w:r>
      <w:r>
        <w:tab/>
        <w:t>Vacant land</w:t>
      </w:r>
      <w:r>
        <w:tab/>
      </w:r>
      <w:r>
        <w:fldChar w:fldCharType="begin"/>
      </w:r>
      <w:r>
        <w:instrText xml:space="preserve"> PAGEREF _Toc106179954 \h </w:instrText>
      </w:r>
      <w:r>
        <w:fldChar w:fldCharType="separate"/>
      </w:r>
      <w:r>
        <w:t>58</w:t>
      </w:r>
      <w:r>
        <w:fldChar w:fldCharType="end"/>
      </w:r>
    </w:p>
    <w:p>
      <w:pPr>
        <w:pStyle w:val="TOC8"/>
        <w:rPr>
          <w:rFonts w:asciiTheme="minorHAnsi" w:eastAsiaTheme="minorEastAsia" w:hAnsiTheme="minorHAnsi" w:cstheme="minorBidi"/>
          <w:szCs w:val="22"/>
        </w:rPr>
      </w:pPr>
      <w:r>
        <w:t>5.</w:t>
      </w:r>
      <w:r>
        <w:tab/>
        <w:t>Fire service connections</w:t>
      </w:r>
      <w:r>
        <w:tab/>
      </w:r>
      <w:r>
        <w:fldChar w:fldCharType="begin"/>
      </w:r>
      <w:r>
        <w:instrText xml:space="preserve"> PAGEREF _Toc106179955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6.</w:t>
      </w:r>
      <w:r>
        <w:tab/>
        <w:t>Consumption charges for 2021/22 and subsequent years</w:t>
      </w:r>
      <w:r>
        <w:tab/>
      </w:r>
      <w:r>
        <w:fldChar w:fldCharType="begin"/>
      </w:r>
      <w:r>
        <w:instrText xml:space="preserve"> PAGEREF _Toc106179957 \h </w:instrText>
      </w:r>
      <w:r>
        <w:fldChar w:fldCharType="separate"/>
      </w:r>
      <w:r>
        <w:t>59</w:t>
      </w:r>
      <w:r>
        <w:fldChar w:fldCharType="end"/>
      </w:r>
    </w:p>
    <w:p>
      <w:pPr>
        <w:pStyle w:val="TOC8"/>
        <w:rPr>
          <w:rFonts w:asciiTheme="minorHAnsi" w:eastAsiaTheme="minorEastAsia" w:hAnsiTheme="minorHAnsi" w:cstheme="minorBidi"/>
          <w:szCs w:val="22"/>
        </w:rPr>
      </w:pPr>
      <w:r>
        <w:lastRenderedPageBreak/>
        <w:t>7.</w:t>
      </w:r>
      <w:r>
        <w:tab/>
        <w:t>Residential lots</w:t>
      </w:r>
      <w:r>
        <w:tab/>
      </w:r>
      <w:r>
        <w:fldChar w:fldCharType="begin"/>
      </w:r>
      <w:r>
        <w:instrText xml:space="preserve"> PAGEREF _Toc106179958 \h </w:instrText>
      </w:r>
      <w:r>
        <w:fldChar w:fldCharType="separate"/>
      </w:r>
      <w:r>
        <w:t>59</w:t>
      </w:r>
      <w:r>
        <w:fldChar w:fldCharType="end"/>
      </w:r>
    </w:p>
    <w:p>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_Toc106179959 \h </w:instrText>
      </w:r>
      <w:r>
        <w:fldChar w:fldCharType="separate"/>
      </w:r>
      <w:r>
        <w:t>59</w:t>
      </w:r>
      <w:r>
        <w:fldChar w:fldCharType="end"/>
      </w:r>
    </w:p>
    <w:p>
      <w:pPr>
        <w:pStyle w:val="TOC8"/>
        <w:rPr>
          <w:rFonts w:asciiTheme="minorHAnsi" w:eastAsiaTheme="minorEastAsia" w:hAnsiTheme="minorHAnsi" w:cstheme="minorBidi"/>
          <w:szCs w:val="22"/>
        </w:rPr>
      </w:pPr>
      <w:r>
        <w:t>9.</w:t>
      </w:r>
      <w:r>
        <w:tab/>
        <w:t>Water supply service (fire)</w:t>
      </w:r>
      <w:r>
        <w:tab/>
      </w:r>
      <w:r>
        <w:fldChar w:fldCharType="begin"/>
      </w:r>
      <w:r>
        <w:instrText xml:space="preserve"> PAGEREF _Toc106179960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supply charges for the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Service charges for 2021/22 and subsequent years</w:t>
      </w:r>
      <w:r>
        <w:tab/>
      </w:r>
      <w:r>
        <w:fldChar w:fldCharType="begin"/>
      </w:r>
      <w:r>
        <w:instrText xml:space="preserve"> PAGEREF _Toc106179964 \h </w:instrText>
      </w:r>
      <w:r>
        <w:fldChar w:fldCharType="separate"/>
      </w:r>
      <w:r>
        <w:t>60</w:t>
      </w:r>
      <w:r>
        <w:fldChar w:fldCharType="end"/>
      </w:r>
    </w:p>
    <w:p>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_Toc106179965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Service charges that apply for land</w:t>
      </w:r>
    </w:p>
    <w:p>
      <w:pPr>
        <w:pStyle w:val="TOC8"/>
        <w:rPr>
          <w:rFonts w:asciiTheme="minorHAnsi" w:eastAsiaTheme="minorEastAsia" w:hAnsiTheme="minorHAnsi" w:cstheme="minorBidi"/>
          <w:szCs w:val="22"/>
        </w:rPr>
      </w:pPr>
      <w:r>
        <w:t>3.</w:t>
      </w:r>
      <w:r>
        <w:tab/>
        <w:t>Residential</w:t>
      </w:r>
      <w:r>
        <w:tab/>
      </w:r>
      <w:r>
        <w:fldChar w:fldCharType="begin"/>
      </w:r>
      <w:r>
        <w:instrText xml:space="preserve"> PAGEREF _Toc106179967 \h </w:instrText>
      </w:r>
      <w:r>
        <w:fldChar w:fldCharType="separate"/>
      </w:r>
      <w:r>
        <w:t>61</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_Toc106179968 \h </w:instrText>
      </w:r>
      <w:r>
        <w:fldChar w:fldCharType="separate"/>
      </w:r>
      <w:r>
        <w:t>61</w:t>
      </w:r>
      <w:r>
        <w:fldChar w:fldCharType="end"/>
      </w:r>
    </w:p>
    <w:p>
      <w:pPr>
        <w:pStyle w:val="TOC8"/>
        <w:rPr>
          <w:rFonts w:asciiTheme="minorHAnsi" w:eastAsiaTheme="minorEastAsia" w:hAnsiTheme="minorHAnsi" w:cstheme="minorBidi"/>
          <w:szCs w:val="22"/>
        </w:rPr>
      </w:pPr>
      <w:r>
        <w:t>5.</w:t>
      </w:r>
      <w:r>
        <w:tab/>
        <w:t>Strata</w:t>
      </w:r>
      <w:r>
        <w:noBreakHyphen/>
        <w:t>titled or long</w:t>
      </w:r>
      <w:r>
        <w:noBreakHyphen/>
        <w:t>term residential caravan bays</w:t>
      </w:r>
      <w:r>
        <w:tab/>
      </w:r>
      <w:r>
        <w:fldChar w:fldCharType="begin"/>
      </w:r>
      <w:r>
        <w:instrText xml:space="preserve"> PAGEREF _Toc106179969 \h </w:instrText>
      </w:r>
      <w:r>
        <w:fldChar w:fldCharType="separate"/>
      </w:r>
      <w:r>
        <w:t>61</w:t>
      </w:r>
      <w:r>
        <w:fldChar w:fldCharType="end"/>
      </w:r>
    </w:p>
    <w:p>
      <w:pPr>
        <w:pStyle w:val="TOC8"/>
        <w:rPr>
          <w:rFonts w:asciiTheme="minorHAnsi" w:eastAsiaTheme="minorEastAsia" w:hAnsiTheme="minorHAnsi" w:cstheme="minorBidi"/>
          <w:szCs w:val="22"/>
        </w:rPr>
      </w:pPr>
      <w:r>
        <w:t>6.</w:t>
      </w:r>
      <w:r>
        <w:tab/>
        <w:t>Storage units or parking bays in strata titles scheme or community titles scheme</w:t>
      </w:r>
      <w:r>
        <w:tab/>
      </w:r>
      <w:r>
        <w:fldChar w:fldCharType="begin"/>
      </w:r>
      <w:r>
        <w:instrText xml:space="preserve"> PAGEREF _Toc106179970 \h </w:instrText>
      </w:r>
      <w:r>
        <w:fldChar w:fldCharType="separate"/>
      </w:r>
      <w:r>
        <w:t>61</w:t>
      </w:r>
      <w:r>
        <w:fldChar w:fldCharType="end"/>
      </w:r>
    </w:p>
    <w:p>
      <w:pPr>
        <w:pStyle w:val="TOC8"/>
        <w:rPr>
          <w:rFonts w:asciiTheme="minorHAnsi" w:eastAsiaTheme="minorEastAsia" w:hAnsiTheme="minorHAnsi" w:cstheme="minorBidi"/>
          <w:szCs w:val="22"/>
        </w:rPr>
      </w:pPr>
      <w:r>
        <w:t>7.</w:t>
      </w:r>
      <w:r>
        <w:tab/>
        <w:t>Non</w:t>
      </w:r>
      <w:r>
        <w:noBreakHyphen/>
        <w:t>residential lots in strata titles scheme or community titles scheme that share a service</w:t>
      </w:r>
      <w:r>
        <w:tab/>
      </w:r>
      <w:r>
        <w:fldChar w:fldCharType="begin"/>
      </w:r>
      <w:r>
        <w:instrText xml:space="preserve"> PAGEREF _Toc106179971 \h </w:instrText>
      </w:r>
      <w:r>
        <w:fldChar w:fldCharType="separate"/>
      </w:r>
      <w:r>
        <w:t>61</w:t>
      </w:r>
      <w:r>
        <w:fldChar w:fldCharType="end"/>
      </w:r>
    </w:p>
    <w:p>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_Toc106179972 \h </w:instrText>
      </w:r>
      <w:r>
        <w:fldChar w:fldCharType="separate"/>
      </w:r>
      <w:r>
        <w:t>62</w:t>
      </w:r>
      <w:r>
        <w:fldChar w:fldCharType="end"/>
      </w:r>
    </w:p>
    <w:p>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_Toc106179973 \h </w:instrText>
      </w:r>
      <w:r>
        <w:fldChar w:fldCharType="separate"/>
      </w:r>
      <w:r>
        <w:t>62</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_Toc106179974 \h </w:instrText>
      </w:r>
      <w:r>
        <w:fldChar w:fldCharType="separate"/>
      </w:r>
      <w:r>
        <w:t>62</w:t>
      </w:r>
      <w:r>
        <w:fldChar w:fldCharType="end"/>
      </w:r>
    </w:p>
    <w:p>
      <w:pPr>
        <w:pStyle w:val="TOC8"/>
        <w:rPr>
          <w:rFonts w:asciiTheme="minorHAnsi" w:eastAsiaTheme="minorEastAsia" w:hAnsiTheme="minorHAnsi" w:cstheme="minorBidi"/>
          <w:szCs w:val="22"/>
        </w:rPr>
      </w:pPr>
      <w:r>
        <w:t>11.</w:t>
      </w:r>
      <w:r>
        <w:tab/>
        <w:t>Non</w:t>
      </w:r>
      <w:r>
        <w:noBreakHyphen/>
        <w:t>residential or commercial residential (except storage units, parking bays and certain lots in strata titles scheme or community titles scheme)</w:t>
      </w:r>
      <w:r>
        <w:tab/>
      </w:r>
      <w:r>
        <w:fldChar w:fldCharType="begin"/>
      </w:r>
      <w:r>
        <w:instrText xml:space="preserve"> PAGEREF _Toc106179975 \h </w:instrText>
      </w:r>
      <w:r>
        <w:fldChar w:fldCharType="separate"/>
      </w:r>
      <w:r>
        <w:t>62</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_Toc106179976 \h </w:instrText>
      </w:r>
      <w:r>
        <w:fldChar w:fldCharType="separate"/>
      </w:r>
      <w:r>
        <w:t>63</w:t>
      </w:r>
      <w:r>
        <w:fldChar w:fldCharType="end"/>
      </w:r>
    </w:p>
    <w:p>
      <w:pPr>
        <w:pStyle w:val="TOC8"/>
        <w:rPr>
          <w:rFonts w:asciiTheme="minorHAnsi" w:eastAsiaTheme="minorEastAsia" w:hAnsiTheme="minorHAnsi" w:cstheme="minorBidi"/>
          <w:szCs w:val="22"/>
        </w:rPr>
      </w:pPr>
      <w:r>
        <w:t>13.</w:t>
      </w:r>
      <w:r>
        <w:tab/>
        <w:t>Farmland</w:t>
      </w:r>
      <w:r>
        <w:tab/>
      </w:r>
      <w:r>
        <w:fldChar w:fldCharType="begin"/>
      </w:r>
      <w:r>
        <w:instrText xml:space="preserve"> PAGEREF _Toc106179977 \h </w:instrText>
      </w:r>
      <w:r>
        <w:fldChar w:fldCharType="separate"/>
      </w:r>
      <w:r>
        <w:t>64</w:t>
      </w:r>
      <w:r>
        <w:fldChar w:fldCharType="end"/>
      </w:r>
    </w:p>
    <w:p>
      <w:pPr>
        <w:pStyle w:val="TOC8"/>
        <w:rPr>
          <w:rFonts w:asciiTheme="minorHAnsi" w:eastAsiaTheme="minorEastAsia" w:hAnsiTheme="minorHAnsi" w:cstheme="minorBidi"/>
          <w:szCs w:val="22"/>
        </w:rPr>
      </w:pPr>
      <w:r>
        <w:t>14.</w:t>
      </w:r>
      <w:r>
        <w:tab/>
        <w:t>Vacant land</w:t>
      </w:r>
      <w:r>
        <w:tab/>
      </w:r>
      <w:r>
        <w:fldChar w:fldCharType="begin"/>
      </w:r>
      <w:r>
        <w:instrText xml:space="preserve"> PAGEREF _Toc106179978 \h </w:instrText>
      </w:r>
      <w:r>
        <w:fldChar w:fldCharType="separate"/>
      </w:r>
      <w:r>
        <w:t>64</w:t>
      </w:r>
      <w:r>
        <w:fldChar w:fldCharType="end"/>
      </w:r>
    </w:p>
    <w:p>
      <w:pPr>
        <w:pStyle w:val="TOC8"/>
        <w:rPr>
          <w:rFonts w:asciiTheme="minorHAnsi" w:eastAsiaTheme="minorEastAsia" w:hAnsiTheme="minorHAnsi" w:cstheme="minorBidi"/>
          <w:szCs w:val="22"/>
        </w:rPr>
      </w:pPr>
      <w:r>
        <w:t>15.</w:t>
      </w:r>
      <w:r>
        <w:tab/>
        <w:t>Garden service connections</w:t>
      </w:r>
      <w:r>
        <w:tab/>
      </w:r>
      <w:r>
        <w:fldChar w:fldCharType="begin"/>
      </w:r>
      <w:r>
        <w:instrText xml:space="preserve"> PAGEREF _Toc106179979 \h </w:instrText>
      </w:r>
      <w:r>
        <w:fldChar w:fldCharType="separate"/>
      </w:r>
      <w:r>
        <w:t>64</w:t>
      </w:r>
      <w:r>
        <w:fldChar w:fldCharType="end"/>
      </w:r>
    </w:p>
    <w:p>
      <w:pPr>
        <w:pStyle w:val="TOC8"/>
        <w:rPr>
          <w:rFonts w:asciiTheme="minorHAnsi" w:eastAsiaTheme="minorEastAsia" w:hAnsiTheme="minorHAnsi" w:cstheme="minorBidi"/>
          <w:szCs w:val="22"/>
        </w:rPr>
      </w:pPr>
      <w:r>
        <w:t>16.</w:t>
      </w:r>
      <w:r>
        <w:tab/>
        <w:t>Government trading organisations and non</w:t>
      </w:r>
      <w:r>
        <w:noBreakHyphen/>
        <w:t>commercial government property</w:t>
      </w:r>
      <w:r>
        <w:tab/>
      </w:r>
      <w:r>
        <w:fldChar w:fldCharType="begin"/>
      </w:r>
      <w:r>
        <w:instrText xml:space="preserve"> PAGEREF _Toc106179980 \h </w:instrText>
      </w:r>
      <w:r>
        <w:fldChar w:fldCharType="separate"/>
      </w:r>
      <w:r>
        <w:t>64</w:t>
      </w:r>
      <w:r>
        <w:fldChar w:fldCharType="end"/>
      </w:r>
    </w:p>
    <w:p>
      <w:pPr>
        <w:pStyle w:val="TOC8"/>
        <w:rPr>
          <w:rFonts w:asciiTheme="minorHAnsi" w:eastAsiaTheme="minorEastAsia" w:hAnsiTheme="minorHAnsi" w:cstheme="minorBidi"/>
          <w:szCs w:val="22"/>
        </w:rPr>
      </w:pPr>
      <w:r>
        <w:t>17.</w:t>
      </w:r>
      <w:r>
        <w:tab/>
        <w:t>Government trading organisations and non</w:t>
      </w:r>
      <w:r>
        <w:noBreakHyphen/>
        <w:t>commercial government property: on</w:t>
      </w:r>
      <w:r>
        <w:noBreakHyphen/>
        <w:t>supply to lessees or ships</w:t>
      </w:r>
      <w:r>
        <w:tab/>
      </w:r>
      <w:r>
        <w:fldChar w:fldCharType="begin"/>
      </w:r>
      <w:r>
        <w:instrText xml:space="preserve"> PAGEREF _Toc106179981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service charges</w:t>
      </w:r>
    </w:p>
    <w:p>
      <w:pPr>
        <w:pStyle w:val="TOC8"/>
        <w:rPr>
          <w:rFonts w:asciiTheme="minorHAnsi" w:eastAsiaTheme="minorEastAsia" w:hAnsiTheme="minorHAnsi" w:cstheme="minorBidi"/>
          <w:szCs w:val="22"/>
        </w:rPr>
      </w:pPr>
      <w:r>
        <w:t>18.</w:t>
      </w:r>
      <w:r>
        <w:tab/>
        <w:t>Stock</w:t>
      </w:r>
      <w:r>
        <w:tab/>
      </w:r>
      <w:r>
        <w:fldChar w:fldCharType="begin"/>
      </w:r>
      <w:r>
        <w:instrText xml:space="preserve"> PAGEREF _Toc106179983 \h </w:instrText>
      </w:r>
      <w:r>
        <w:fldChar w:fldCharType="separate"/>
      </w:r>
      <w:r>
        <w:t>65</w:t>
      </w:r>
      <w:r>
        <w:fldChar w:fldCharType="end"/>
      </w:r>
    </w:p>
    <w:p>
      <w:pPr>
        <w:pStyle w:val="TOC8"/>
        <w:rPr>
          <w:rFonts w:asciiTheme="minorHAnsi" w:eastAsiaTheme="minorEastAsia" w:hAnsiTheme="minorHAnsi" w:cstheme="minorBidi"/>
          <w:szCs w:val="22"/>
        </w:rPr>
      </w:pPr>
      <w:r>
        <w:t>19.</w:t>
      </w:r>
      <w:r>
        <w:tab/>
        <w:t>Shipping</w:t>
      </w:r>
      <w:r>
        <w:tab/>
      </w:r>
      <w:r>
        <w:fldChar w:fldCharType="begin"/>
      </w:r>
      <w:r>
        <w:instrText xml:space="preserve"> PAGEREF _Toc106179984 \h </w:instrText>
      </w:r>
      <w:r>
        <w:fldChar w:fldCharType="separate"/>
      </w:r>
      <w:r>
        <w:t>66</w:t>
      </w:r>
      <w:r>
        <w:fldChar w:fldCharType="end"/>
      </w:r>
    </w:p>
    <w:p>
      <w:pPr>
        <w:pStyle w:val="TOC8"/>
        <w:rPr>
          <w:rFonts w:asciiTheme="minorHAnsi" w:eastAsiaTheme="minorEastAsia" w:hAnsiTheme="minorHAnsi" w:cstheme="minorBidi"/>
          <w:szCs w:val="22"/>
        </w:rPr>
      </w:pPr>
      <w:r>
        <w:t>20.</w:t>
      </w:r>
      <w:r>
        <w:tab/>
        <w:t>Local government standpipes</w:t>
      </w:r>
      <w:r>
        <w:tab/>
      </w:r>
      <w:r>
        <w:fldChar w:fldCharType="begin"/>
      </w:r>
      <w:r>
        <w:instrText xml:space="preserve"> PAGEREF _Toc106179985 \h </w:instrText>
      </w:r>
      <w:r>
        <w:fldChar w:fldCharType="separate"/>
      </w:r>
      <w:r>
        <w:t>66</w:t>
      </w:r>
      <w:r>
        <w:fldChar w:fldCharType="end"/>
      </w:r>
    </w:p>
    <w:p>
      <w:pPr>
        <w:pStyle w:val="TOC8"/>
        <w:rPr>
          <w:rFonts w:asciiTheme="minorHAnsi" w:eastAsiaTheme="minorEastAsia" w:hAnsiTheme="minorHAnsi" w:cstheme="minorBidi"/>
          <w:szCs w:val="22"/>
        </w:rPr>
      </w:pPr>
      <w:r>
        <w:t>21.</w:t>
      </w:r>
      <w:r>
        <w:tab/>
        <w:t>Fire service connections</w:t>
      </w:r>
      <w:r>
        <w:tab/>
      </w:r>
      <w:r>
        <w:fldChar w:fldCharType="begin"/>
      </w:r>
      <w:r>
        <w:instrText xml:space="preserve"> PAGEREF _Toc106179986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Consumption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22.</w:t>
      </w:r>
      <w:r>
        <w:tab/>
        <w:t>Consumption charges for 2021/22 and subsequent years</w:t>
      </w:r>
      <w:r>
        <w:tab/>
      </w:r>
      <w:r>
        <w:fldChar w:fldCharType="begin"/>
      </w:r>
      <w:r>
        <w:instrText xml:space="preserve"> PAGEREF _Toc106179989 \h </w:instrText>
      </w:r>
      <w:r>
        <w:fldChar w:fldCharType="separate"/>
      </w:r>
      <w:r>
        <w:t>66</w:t>
      </w:r>
      <w:r>
        <w:fldChar w:fldCharType="end"/>
      </w:r>
    </w:p>
    <w:p>
      <w:pPr>
        <w:pStyle w:val="TOC8"/>
        <w:rPr>
          <w:rFonts w:asciiTheme="minorHAnsi" w:eastAsiaTheme="minorEastAsia" w:hAnsiTheme="minorHAnsi" w:cstheme="minorBidi"/>
          <w:szCs w:val="22"/>
        </w:rPr>
      </w:pPr>
      <w:r>
        <w:t>23.</w:t>
      </w:r>
      <w:r>
        <w:tab/>
        <w:t>Residential or non</w:t>
      </w:r>
      <w:r>
        <w:noBreakHyphen/>
        <w:t>residential class of town or area</w:t>
      </w:r>
      <w:r>
        <w:tab/>
      </w:r>
      <w:r>
        <w:fldChar w:fldCharType="begin"/>
      </w:r>
      <w:r>
        <w:instrText xml:space="preserve"> PAGEREF _Toc106179990 \h </w:instrText>
      </w:r>
      <w:r>
        <w:fldChar w:fldCharType="separate"/>
      </w:r>
      <w:r>
        <w:t>66</w:t>
      </w:r>
      <w:r>
        <w:fldChar w:fldCharType="end"/>
      </w:r>
    </w:p>
    <w:p>
      <w:pPr>
        <w:pStyle w:val="TOC8"/>
        <w:rPr>
          <w:rFonts w:asciiTheme="minorHAnsi" w:eastAsiaTheme="minorEastAsia" w:hAnsiTheme="minorHAnsi" w:cstheme="minorBidi"/>
          <w:szCs w:val="22"/>
        </w:rPr>
      </w:pPr>
      <w:r>
        <w:t>24.</w:t>
      </w:r>
      <w:r>
        <w:tab/>
        <w:t>Table of class</w:t>
      </w:r>
      <w:r>
        <w:noBreakHyphen/>
        <w:t>based charges</w:t>
      </w:r>
      <w:r>
        <w:tab/>
      </w:r>
      <w:r>
        <w:fldChar w:fldCharType="begin"/>
      </w:r>
      <w:r>
        <w:instrText xml:space="preserve"> PAGEREF _Toc106179991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Consumption charges that apply to land</w:t>
      </w:r>
    </w:p>
    <w:p>
      <w:pPr>
        <w:pStyle w:val="TOC8"/>
        <w:rPr>
          <w:rFonts w:asciiTheme="minorHAnsi" w:eastAsiaTheme="minorEastAsia" w:hAnsiTheme="minorHAnsi" w:cstheme="minorBidi"/>
          <w:szCs w:val="22"/>
        </w:rPr>
      </w:pPr>
      <w:r>
        <w:t>25.</w:t>
      </w:r>
      <w:r>
        <w:tab/>
        <w:t>Metropolitan residential and semi</w:t>
      </w:r>
      <w:r>
        <w:noBreakHyphen/>
        <w:t>rural residential</w:t>
      </w:r>
      <w:r>
        <w:tab/>
      </w:r>
      <w:r>
        <w:fldChar w:fldCharType="begin"/>
      </w:r>
      <w:r>
        <w:instrText xml:space="preserve"> PAGEREF _Toc106179993 \h </w:instrText>
      </w:r>
      <w:r>
        <w:fldChar w:fldCharType="separate"/>
      </w:r>
      <w:r>
        <w:t>67</w:t>
      </w:r>
      <w:r>
        <w:fldChar w:fldCharType="end"/>
      </w:r>
    </w:p>
    <w:p>
      <w:pPr>
        <w:pStyle w:val="TOC8"/>
        <w:rPr>
          <w:rFonts w:asciiTheme="minorHAnsi" w:eastAsiaTheme="minorEastAsia" w:hAnsiTheme="minorHAnsi" w:cstheme="minorBidi"/>
          <w:szCs w:val="22"/>
        </w:rPr>
      </w:pPr>
      <w:r>
        <w:t>26.</w:t>
      </w:r>
      <w:r>
        <w:tab/>
        <w:t>Metropolitan non</w:t>
      </w:r>
      <w:r>
        <w:noBreakHyphen/>
        <w:t>residential</w:t>
      </w:r>
      <w:r>
        <w:tab/>
      </w:r>
      <w:r>
        <w:fldChar w:fldCharType="begin"/>
      </w:r>
      <w:r>
        <w:instrText xml:space="preserve"> PAGEREF _Toc106179994 \h </w:instrText>
      </w:r>
      <w:r>
        <w:fldChar w:fldCharType="separate"/>
      </w:r>
      <w:r>
        <w:t>68</w:t>
      </w:r>
      <w:r>
        <w:fldChar w:fldCharType="end"/>
      </w:r>
    </w:p>
    <w:p>
      <w:pPr>
        <w:pStyle w:val="TOC8"/>
        <w:rPr>
          <w:rFonts w:asciiTheme="minorHAnsi" w:eastAsiaTheme="minorEastAsia" w:hAnsiTheme="minorHAnsi" w:cstheme="minorBidi"/>
          <w:szCs w:val="22"/>
        </w:rPr>
      </w:pPr>
      <w:r>
        <w:t>27.</w:t>
      </w:r>
      <w:r>
        <w:tab/>
        <w:t>Metropolitan non</w:t>
      </w:r>
      <w:r>
        <w:noBreakHyphen/>
        <w:t>residential concessional</w:t>
      </w:r>
      <w:r>
        <w:tab/>
      </w:r>
      <w:r>
        <w:fldChar w:fldCharType="begin"/>
      </w:r>
      <w:r>
        <w:instrText xml:space="preserve"> PAGEREF _Toc106179995 \h </w:instrText>
      </w:r>
      <w:r>
        <w:fldChar w:fldCharType="separate"/>
      </w:r>
      <w:r>
        <w:t>68</w:t>
      </w:r>
      <w:r>
        <w:fldChar w:fldCharType="end"/>
      </w:r>
    </w:p>
    <w:p>
      <w:pPr>
        <w:pStyle w:val="TOC8"/>
        <w:rPr>
          <w:rFonts w:asciiTheme="minorHAnsi" w:eastAsiaTheme="minorEastAsia" w:hAnsiTheme="minorHAnsi" w:cstheme="minorBidi"/>
          <w:szCs w:val="22"/>
        </w:rPr>
      </w:pPr>
      <w:r>
        <w:t>28.</w:t>
      </w:r>
      <w:r>
        <w:tab/>
        <w:t>Community residential</w:t>
      </w:r>
      <w:r>
        <w:tab/>
      </w:r>
      <w:r>
        <w:fldChar w:fldCharType="begin"/>
      </w:r>
      <w:r>
        <w:instrText xml:space="preserve"> PAGEREF _Toc106179996 \h </w:instrText>
      </w:r>
      <w:r>
        <w:fldChar w:fldCharType="separate"/>
      </w:r>
      <w:r>
        <w:t>69</w:t>
      </w:r>
      <w:r>
        <w:fldChar w:fldCharType="end"/>
      </w:r>
    </w:p>
    <w:p>
      <w:pPr>
        <w:pStyle w:val="TOC8"/>
        <w:rPr>
          <w:rFonts w:asciiTheme="minorHAnsi" w:eastAsiaTheme="minorEastAsia" w:hAnsiTheme="minorHAnsi" w:cstheme="minorBidi"/>
          <w:szCs w:val="22"/>
        </w:rPr>
      </w:pPr>
      <w:r>
        <w:t>29.</w:t>
      </w:r>
      <w:r>
        <w:tab/>
        <w:t>Non</w:t>
      </w:r>
      <w:r>
        <w:noBreakHyphen/>
        <w:t>metropolitan residential</w:t>
      </w:r>
      <w:r>
        <w:tab/>
      </w:r>
      <w:r>
        <w:fldChar w:fldCharType="begin"/>
      </w:r>
      <w:r>
        <w:instrText xml:space="preserve"> PAGEREF _Toc106179997 \h </w:instrText>
      </w:r>
      <w:r>
        <w:fldChar w:fldCharType="separate"/>
      </w:r>
      <w:r>
        <w:t>70</w:t>
      </w:r>
      <w:r>
        <w:fldChar w:fldCharType="end"/>
      </w:r>
    </w:p>
    <w:p>
      <w:pPr>
        <w:pStyle w:val="TOC8"/>
        <w:rPr>
          <w:rFonts w:asciiTheme="minorHAnsi" w:eastAsiaTheme="minorEastAsia" w:hAnsiTheme="minorHAnsi" w:cstheme="minorBidi"/>
          <w:szCs w:val="22"/>
        </w:rPr>
      </w:pPr>
      <w:r>
        <w:t>30.</w:t>
      </w:r>
      <w:r>
        <w:tab/>
        <w:t>Non</w:t>
      </w:r>
      <w:r>
        <w:noBreakHyphen/>
        <w:t>metropolitan non</w:t>
      </w:r>
      <w:r>
        <w:noBreakHyphen/>
        <w:t>residential</w:t>
      </w:r>
      <w:r>
        <w:tab/>
      </w:r>
      <w:r>
        <w:fldChar w:fldCharType="begin"/>
      </w:r>
      <w:r>
        <w:instrText xml:space="preserve"> PAGEREF _Toc106179998 \h </w:instrText>
      </w:r>
      <w:r>
        <w:fldChar w:fldCharType="separate"/>
      </w:r>
      <w:r>
        <w:t>71</w:t>
      </w:r>
      <w:r>
        <w:fldChar w:fldCharType="end"/>
      </w:r>
    </w:p>
    <w:p>
      <w:pPr>
        <w:pStyle w:val="TOC8"/>
        <w:rPr>
          <w:rFonts w:asciiTheme="minorHAnsi" w:eastAsiaTheme="minorEastAsia" w:hAnsiTheme="minorHAnsi" w:cstheme="minorBidi"/>
          <w:szCs w:val="22"/>
        </w:rPr>
      </w:pPr>
      <w:r>
        <w:t>31.</w:t>
      </w:r>
      <w:r>
        <w:tab/>
        <w:t>Strata</w:t>
      </w:r>
      <w:r>
        <w:noBreakHyphen/>
        <w:t>titled or long</w:t>
      </w:r>
      <w:r>
        <w:noBreakHyphen/>
        <w:t>term residential caravan bays</w:t>
      </w:r>
      <w:r>
        <w:tab/>
      </w:r>
      <w:r>
        <w:fldChar w:fldCharType="begin"/>
      </w:r>
      <w:r>
        <w:instrText xml:space="preserve"> PAGEREF _Toc106179999 \h </w:instrText>
      </w:r>
      <w:r>
        <w:fldChar w:fldCharType="separate"/>
      </w:r>
      <w:r>
        <w:t>72</w:t>
      </w:r>
      <w:r>
        <w:fldChar w:fldCharType="end"/>
      </w:r>
    </w:p>
    <w:p>
      <w:pPr>
        <w:pStyle w:val="TOC8"/>
        <w:rPr>
          <w:rFonts w:asciiTheme="minorHAnsi" w:eastAsiaTheme="minorEastAsia" w:hAnsiTheme="minorHAnsi" w:cstheme="minorBidi"/>
          <w:szCs w:val="22"/>
        </w:rPr>
      </w:pPr>
      <w:r>
        <w:t>32.</w:t>
      </w:r>
      <w:r>
        <w:tab/>
        <w:t>Government trading organisations and non</w:t>
      </w:r>
      <w:r>
        <w:noBreakHyphen/>
        <w:t>commercial government property</w:t>
      </w:r>
      <w:r>
        <w:tab/>
      </w:r>
      <w:r>
        <w:fldChar w:fldCharType="begin"/>
      </w:r>
      <w:r>
        <w:instrText xml:space="preserve"> PAGEREF _Toc106180000 \h </w:instrText>
      </w:r>
      <w:r>
        <w:fldChar w:fldCharType="separate"/>
      </w:r>
      <w:r>
        <w:t>73</w:t>
      </w:r>
      <w:r>
        <w:fldChar w:fldCharType="end"/>
      </w:r>
    </w:p>
    <w:p>
      <w:pPr>
        <w:pStyle w:val="TOC8"/>
        <w:rPr>
          <w:rFonts w:asciiTheme="minorHAnsi" w:eastAsiaTheme="minorEastAsia" w:hAnsiTheme="minorHAnsi" w:cstheme="minorBidi"/>
          <w:szCs w:val="22"/>
        </w:rPr>
      </w:pPr>
      <w:r>
        <w:t>33.</w:t>
      </w:r>
      <w:r>
        <w:tab/>
        <w:t>Coral Bay desalinated</w:t>
      </w:r>
      <w:r>
        <w:tab/>
      </w:r>
      <w:r>
        <w:fldChar w:fldCharType="begin"/>
      </w:r>
      <w:r>
        <w:instrText xml:space="preserve"> PAGEREF _Toc106180001 \h </w:instrText>
      </w:r>
      <w:r>
        <w:fldChar w:fldCharType="separate"/>
      </w:r>
      <w:r>
        <w:t>73</w:t>
      </w:r>
      <w:r>
        <w:fldChar w:fldCharType="end"/>
      </w:r>
    </w:p>
    <w:p>
      <w:pPr>
        <w:pStyle w:val="TOC8"/>
        <w:rPr>
          <w:rFonts w:asciiTheme="minorHAnsi" w:eastAsiaTheme="minorEastAsia" w:hAnsiTheme="minorHAnsi" w:cstheme="minorBidi"/>
          <w:szCs w:val="22"/>
        </w:rPr>
      </w:pPr>
      <w:r>
        <w:t>34.</w:t>
      </w:r>
      <w:r>
        <w:tab/>
        <w:t>Denham desalinated</w:t>
      </w:r>
      <w:r>
        <w:tab/>
      </w:r>
      <w:r>
        <w:fldChar w:fldCharType="begin"/>
      </w:r>
      <w:r>
        <w:instrText xml:space="preserve"> PAGEREF _Toc106180002 \h </w:instrText>
      </w:r>
      <w:r>
        <w:fldChar w:fldCharType="separate"/>
      </w:r>
      <w:r>
        <w:t>73</w:t>
      </w:r>
      <w:r>
        <w:fldChar w:fldCharType="end"/>
      </w:r>
    </w:p>
    <w:p>
      <w:pPr>
        <w:pStyle w:val="TOC8"/>
        <w:rPr>
          <w:rFonts w:asciiTheme="minorHAnsi" w:eastAsiaTheme="minorEastAsia" w:hAnsiTheme="minorHAnsi" w:cstheme="minorBidi"/>
          <w:szCs w:val="22"/>
        </w:rPr>
      </w:pPr>
      <w:r>
        <w:t>35.</w:t>
      </w:r>
      <w:r>
        <w:tab/>
        <w:t>Garden service connection in Mulataga, Karratha</w:t>
      </w:r>
      <w:r>
        <w:tab/>
      </w:r>
      <w:r>
        <w:fldChar w:fldCharType="begin"/>
      </w:r>
      <w:r>
        <w:instrText xml:space="preserve"> PAGEREF _Toc106180003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consumption charges</w:t>
      </w:r>
    </w:p>
    <w:p>
      <w:pPr>
        <w:pStyle w:val="TOC8"/>
        <w:rPr>
          <w:rFonts w:asciiTheme="minorHAnsi" w:eastAsiaTheme="minorEastAsia" w:hAnsiTheme="minorHAnsi" w:cstheme="minorBidi"/>
          <w:szCs w:val="22"/>
        </w:rPr>
      </w:pPr>
      <w:r>
        <w:t>36.</w:t>
      </w:r>
      <w:r>
        <w:tab/>
        <w:t>Local government standpipes</w:t>
      </w:r>
      <w:r>
        <w:tab/>
      </w:r>
      <w:r>
        <w:fldChar w:fldCharType="begin"/>
      </w:r>
      <w:r>
        <w:instrText xml:space="preserve"> PAGEREF _Toc106180005 \h </w:instrText>
      </w:r>
      <w:r>
        <w:fldChar w:fldCharType="separate"/>
      </w:r>
      <w:r>
        <w:t>74</w:t>
      </w:r>
      <w:r>
        <w:fldChar w:fldCharType="end"/>
      </w:r>
    </w:p>
    <w:p>
      <w:pPr>
        <w:pStyle w:val="TOC8"/>
        <w:rPr>
          <w:rFonts w:asciiTheme="minorHAnsi" w:eastAsiaTheme="minorEastAsia" w:hAnsiTheme="minorHAnsi" w:cstheme="minorBidi"/>
          <w:szCs w:val="22"/>
        </w:rPr>
      </w:pPr>
      <w:r>
        <w:t>37.</w:t>
      </w:r>
      <w:r>
        <w:tab/>
        <w:t>Shipping</w:t>
      </w:r>
      <w:r>
        <w:tab/>
      </w:r>
      <w:r>
        <w:fldChar w:fldCharType="begin"/>
      </w:r>
      <w:r>
        <w:instrText xml:space="preserve"> PAGEREF _Toc106180006 \h </w:instrText>
      </w:r>
      <w:r>
        <w:fldChar w:fldCharType="separate"/>
      </w:r>
      <w:r>
        <w:t>74</w:t>
      </w:r>
      <w:r>
        <w:fldChar w:fldCharType="end"/>
      </w:r>
    </w:p>
    <w:p>
      <w:pPr>
        <w:pStyle w:val="TOC8"/>
        <w:rPr>
          <w:rFonts w:asciiTheme="minorHAnsi" w:eastAsiaTheme="minorEastAsia" w:hAnsiTheme="minorHAnsi" w:cstheme="minorBidi"/>
          <w:szCs w:val="22"/>
        </w:rPr>
      </w:pPr>
      <w:r>
        <w:t>38.</w:t>
      </w:r>
      <w:r>
        <w:tab/>
        <w:t>Stock</w:t>
      </w:r>
      <w:r>
        <w:tab/>
      </w:r>
      <w:r>
        <w:fldChar w:fldCharType="begin"/>
      </w:r>
      <w:r>
        <w:instrText xml:space="preserve"> PAGEREF _Toc106180007 \h </w:instrText>
      </w:r>
      <w:r>
        <w:fldChar w:fldCharType="separate"/>
      </w:r>
      <w:r>
        <w:t>75</w:t>
      </w:r>
      <w:r>
        <w:fldChar w:fldCharType="end"/>
      </w:r>
    </w:p>
    <w:p>
      <w:pPr>
        <w:pStyle w:val="TOC8"/>
        <w:rPr>
          <w:rFonts w:asciiTheme="minorHAnsi" w:eastAsiaTheme="minorEastAsia" w:hAnsiTheme="minorHAnsi" w:cstheme="minorBidi"/>
          <w:szCs w:val="22"/>
        </w:rPr>
      </w:pPr>
      <w:r>
        <w:t>39.</w:t>
      </w:r>
      <w:r>
        <w:tab/>
        <w:t>Hydrant standpipes</w:t>
      </w:r>
      <w:r>
        <w:tab/>
      </w:r>
      <w:r>
        <w:fldChar w:fldCharType="begin"/>
      </w:r>
      <w:r>
        <w:instrText xml:space="preserve"> PAGEREF _Toc106180008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4 — Sewerage charges for the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2021/22 and subsequent years</w:t>
      </w:r>
      <w:r>
        <w:tab/>
      </w:r>
      <w:r>
        <w:fldChar w:fldCharType="begin"/>
      </w:r>
      <w:r>
        <w:instrText xml:space="preserve"> PAGEREF _Toc106180011 \h </w:instrText>
      </w:r>
      <w:r>
        <w:fldChar w:fldCharType="separate"/>
      </w:r>
      <w:r>
        <w:t>76</w:t>
      </w:r>
      <w:r>
        <w:fldChar w:fldCharType="end"/>
      </w:r>
    </w:p>
    <w:p>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_Toc106180012 \h </w:instrText>
      </w:r>
      <w:r>
        <w:fldChar w:fldCharType="separate"/>
      </w:r>
      <w:r>
        <w:t>76</w:t>
      </w:r>
      <w:r>
        <w:fldChar w:fldCharType="end"/>
      </w:r>
    </w:p>
    <w:p>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_Toc106180013 \h </w:instrText>
      </w:r>
      <w:r>
        <w:fldChar w:fldCharType="separate"/>
      </w:r>
      <w:r>
        <w:t>76</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_Toc106180014 \h </w:instrText>
      </w:r>
      <w:r>
        <w:fldChar w:fldCharType="separate"/>
      </w:r>
      <w:r>
        <w:t>76</w:t>
      </w:r>
      <w:r>
        <w:fldChar w:fldCharType="end"/>
      </w:r>
    </w:p>
    <w:p>
      <w:pPr>
        <w:pStyle w:val="TOC8"/>
        <w:rPr>
          <w:rFonts w:asciiTheme="minorHAnsi" w:eastAsiaTheme="minorEastAsia" w:hAnsiTheme="minorHAnsi" w:cstheme="minorBidi"/>
          <w:szCs w:val="22"/>
        </w:rPr>
      </w:pPr>
      <w:r>
        <w:t>5.</w:t>
      </w:r>
      <w:r>
        <w:tab/>
        <w:t>Strata</w:t>
      </w:r>
      <w:r>
        <w:noBreakHyphen/>
        <w:t>titled caravan bay</w:t>
      </w:r>
      <w:r>
        <w:tab/>
      </w:r>
      <w:r>
        <w:fldChar w:fldCharType="begin"/>
      </w:r>
      <w:r>
        <w:instrText xml:space="preserve"> PAGEREF _Toc106180015 \h </w:instrText>
      </w:r>
      <w:r>
        <w:fldChar w:fldCharType="separate"/>
      </w:r>
      <w:r>
        <w:t>77</w:t>
      </w:r>
      <w:r>
        <w:fldChar w:fldCharType="end"/>
      </w:r>
    </w:p>
    <w:p>
      <w:pPr>
        <w:pStyle w:val="TOC8"/>
        <w:rPr>
          <w:rFonts w:asciiTheme="minorHAnsi" w:eastAsiaTheme="minorEastAsia" w:hAnsiTheme="minorHAnsi" w:cstheme="minorBidi"/>
          <w:szCs w:val="22"/>
        </w:rPr>
      </w:pPr>
      <w:r>
        <w:t>6.</w:t>
      </w:r>
      <w:r>
        <w:tab/>
        <w:t>Storage units or parking bays in strata titles scheme or community titles scheme</w:t>
      </w:r>
      <w:r>
        <w:tab/>
      </w:r>
      <w:r>
        <w:fldChar w:fldCharType="begin"/>
      </w:r>
      <w:r>
        <w:instrText xml:space="preserve"> PAGEREF _Toc106180016 \h </w:instrText>
      </w:r>
      <w:r>
        <w:fldChar w:fldCharType="separate"/>
      </w:r>
      <w:r>
        <w:t>77</w:t>
      </w:r>
      <w:r>
        <w:fldChar w:fldCharType="end"/>
      </w:r>
    </w:p>
    <w:p>
      <w:pPr>
        <w:pStyle w:val="TOC8"/>
        <w:rPr>
          <w:rFonts w:asciiTheme="minorHAnsi" w:eastAsiaTheme="minorEastAsia" w:hAnsiTheme="minorHAnsi" w:cstheme="minorBidi"/>
          <w:szCs w:val="22"/>
        </w:rPr>
      </w:pPr>
      <w:r>
        <w:t>7.</w:t>
      </w:r>
      <w:r>
        <w:tab/>
        <w:t>Land from which trade waste is discharged into sewer</w:t>
      </w:r>
      <w:r>
        <w:tab/>
      </w:r>
      <w:r>
        <w:fldChar w:fldCharType="begin"/>
      </w:r>
      <w:r>
        <w:instrText xml:space="preserve"> PAGEREF _Toc106180017 \h </w:instrText>
      </w:r>
      <w:r>
        <w:fldChar w:fldCharType="separate"/>
      </w:r>
      <w:r>
        <w:t>77</w:t>
      </w:r>
      <w:r>
        <w:fldChar w:fldCharType="end"/>
      </w:r>
    </w:p>
    <w:p>
      <w:pPr>
        <w:pStyle w:val="TOC8"/>
        <w:rPr>
          <w:rFonts w:asciiTheme="minorHAnsi" w:eastAsiaTheme="minorEastAsia" w:hAnsiTheme="minorHAnsi" w:cstheme="minorBidi"/>
          <w:szCs w:val="22"/>
        </w:rPr>
      </w:pPr>
      <w:r>
        <w:lastRenderedPageBreak/>
        <w:t>8.</w:t>
      </w:r>
      <w:r>
        <w:tab/>
        <w:t>Land from which trade waste is discharged into sewer through grease arrestor</w:t>
      </w:r>
      <w:r>
        <w:tab/>
      </w:r>
      <w:r>
        <w:fldChar w:fldCharType="begin"/>
      </w:r>
      <w:r>
        <w:instrText xml:space="preserve"> PAGEREF _Toc106180018 \h </w:instrText>
      </w:r>
      <w:r>
        <w:fldChar w:fldCharType="separate"/>
      </w:r>
      <w:r>
        <w:t>78</w:t>
      </w:r>
      <w:r>
        <w:fldChar w:fldCharType="end"/>
      </w:r>
    </w:p>
    <w:p>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_Toc106180019 \h </w:instrText>
      </w:r>
      <w:r>
        <w:fldChar w:fldCharType="separate"/>
      </w:r>
      <w:r>
        <w:t>78</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_Toc106180020 \h </w:instrText>
      </w:r>
      <w:r>
        <w:fldChar w:fldCharType="separate"/>
      </w:r>
      <w:r>
        <w:t>78</w:t>
      </w:r>
      <w:r>
        <w:fldChar w:fldCharType="end"/>
      </w:r>
    </w:p>
    <w:p>
      <w:pPr>
        <w:pStyle w:val="TOC8"/>
        <w:rPr>
          <w:rFonts w:asciiTheme="minorHAnsi" w:eastAsiaTheme="minorEastAsia" w:hAnsiTheme="minorHAnsi" w:cstheme="minorBidi"/>
          <w:szCs w:val="22"/>
        </w:rPr>
      </w:pPr>
      <w:r>
        <w:t>11.</w:t>
      </w:r>
      <w:r>
        <w:tab/>
        <w:t>Non</w:t>
      </w:r>
      <w:r>
        <w:noBreakHyphen/>
        <w:t>metropolitan</w:t>
      </w:r>
      <w:r>
        <w:tab/>
      </w:r>
      <w:r>
        <w:fldChar w:fldCharType="begin"/>
      </w:r>
      <w:r>
        <w:instrText xml:space="preserve"> PAGEREF _Toc106180021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Combined charges for certain non</w:t>
      </w:r>
      <w:r>
        <w:noBreakHyphen/>
        <w:t>residential property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12.</w:t>
      </w:r>
      <w:r>
        <w:tab/>
        <w:t>Combined charges for 2021/22 and subsequent years</w:t>
      </w:r>
      <w:r>
        <w:tab/>
      </w:r>
      <w:r>
        <w:fldChar w:fldCharType="begin"/>
      </w:r>
      <w:r>
        <w:instrText xml:space="preserve"> PAGEREF _Toc106180024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Combined charges: metropolitan</w:t>
      </w:r>
    </w:p>
    <w:p>
      <w:pPr>
        <w:pStyle w:val="TOC8"/>
        <w:rPr>
          <w:rFonts w:asciiTheme="minorHAnsi" w:eastAsiaTheme="minorEastAsia" w:hAnsiTheme="minorHAnsi" w:cstheme="minorBidi"/>
          <w:szCs w:val="22"/>
        </w:rPr>
      </w:pPr>
      <w:r>
        <w:t>13.</w:t>
      </w:r>
      <w:r>
        <w:tab/>
        <w:t>Metropolitan non</w:t>
      </w:r>
      <w:r>
        <w:noBreakHyphen/>
        <w:t>residential</w:t>
      </w:r>
      <w:r>
        <w:tab/>
      </w:r>
      <w:r>
        <w:fldChar w:fldCharType="begin"/>
      </w:r>
      <w:r>
        <w:instrText xml:space="preserve"> PAGEREF _Toc106180026 \h </w:instrText>
      </w:r>
      <w:r>
        <w:fldChar w:fldCharType="separate"/>
      </w:r>
      <w:r>
        <w:t>85</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_Toc106180027 \h </w:instrText>
      </w:r>
      <w:r>
        <w:fldChar w:fldCharType="separate"/>
      </w:r>
      <w:r>
        <w:t>85</w:t>
      </w:r>
      <w:r>
        <w:fldChar w:fldCharType="end"/>
      </w:r>
    </w:p>
    <w:p>
      <w:pPr>
        <w:pStyle w:val="TOC8"/>
        <w:rPr>
          <w:rFonts w:asciiTheme="minorHAnsi" w:eastAsiaTheme="minorEastAsia" w:hAnsiTheme="minorHAnsi" w:cstheme="minorBidi"/>
          <w:szCs w:val="22"/>
        </w:rPr>
      </w:pPr>
      <w:r>
        <w:t>15.</w:t>
      </w:r>
      <w:r>
        <w:tab/>
        <w:t>Metropolitan non</w:t>
      </w:r>
      <w:r>
        <w:noBreakHyphen/>
        <w:t>strata titled caravan park with long</w:t>
      </w:r>
      <w:r>
        <w:noBreakHyphen/>
        <w:t>term residential caravan bays</w:t>
      </w:r>
      <w:r>
        <w:tab/>
      </w:r>
      <w:r>
        <w:fldChar w:fldCharType="begin"/>
      </w:r>
      <w:r>
        <w:instrText xml:space="preserve"> PAGEREF _Toc106180028 \h </w:instrText>
      </w:r>
      <w:r>
        <w:fldChar w:fldCharType="separate"/>
      </w:r>
      <w:r>
        <w:t>86</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_Toc106180029 \h </w:instrText>
      </w:r>
      <w:r>
        <w:fldChar w:fldCharType="separate"/>
      </w:r>
      <w:r>
        <w:t>86</w:t>
      </w:r>
      <w:r>
        <w:fldChar w:fldCharType="end"/>
      </w:r>
    </w:p>
    <w:p>
      <w:pPr>
        <w:pStyle w:val="TOC8"/>
        <w:rPr>
          <w:rFonts w:asciiTheme="minorHAnsi" w:eastAsiaTheme="minorEastAsia" w:hAnsiTheme="minorHAnsi" w:cstheme="minorBidi"/>
          <w:szCs w:val="22"/>
        </w:rPr>
      </w:pPr>
      <w:r>
        <w:t>17.</w:t>
      </w:r>
      <w:r>
        <w:tab/>
        <w:t>Certain metropolitan units</w:t>
      </w:r>
      <w:r>
        <w:tab/>
      </w:r>
      <w:r>
        <w:fldChar w:fldCharType="begin"/>
      </w:r>
      <w:r>
        <w:instrText xml:space="preserve"> PAGEREF _Toc106180030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Calculation of certain factors for the purposes of Subdivision 2</w:t>
      </w:r>
    </w:p>
    <w:p>
      <w:pPr>
        <w:pStyle w:val="TOC8"/>
        <w:rPr>
          <w:rFonts w:asciiTheme="minorHAnsi" w:eastAsiaTheme="minorEastAsia" w:hAnsiTheme="minorHAnsi" w:cstheme="minorBidi"/>
          <w:szCs w:val="22"/>
        </w:rPr>
      </w:pPr>
      <w:r>
        <w:t>18.</w:t>
      </w:r>
      <w:r>
        <w:tab/>
        <w:t>Service charge</w:t>
      </w:r>
      <w:r>
        <w:tab/>
      </w:r>
      <w:r>
        <w:fldChar w:fldCharType="begin"/>
      </w:r>
      <w:r>
        <w:instrText xml:space="preserve"> PAGEREF _Toc106180032 \h </w:instrText>
      </w:r>
      <w:r>
        <w:fldChar w:fldCharType="separate"/>
      </w:r>
      <w:r>
        <w:t>88</w:t>
      </w:r>
      <w:r>
        <w:fldChar w:fldCharType="end"/>
      </w:r>
    </w:p>
    <w:p>
      <w:pPr>
        <w:pStyle w:val="TOC8"/>
        <w:rPr>
          <w:rFonts w:asciiTheme="minorHAnsi" w:eastAsiaTheme="minorEastAsia" w:hAnsiTheme="minorHAnsi" w:cstheme="minorBidi"/>
          <w:szCs w:val="22"/>
        </w:rPr>
      </w:pPr>
      <w:r>
        <w:t>19.</w:t>
      </w:r>
      <w:r>
        <w:tab/>
        <w:t>Discharge charge</w:t>
      </w:r>
      <w:r>
        <w:tab/>
      </w:r>
      <w:r>
        <w:fldChar w:fldCharType="begin"/>
      </w:r>
      <w:r>
        <w:instrText xml:space="preserve"> PAGEREF _Toc106180033 \h </w:instrText>
      </w:r>
      <w:r>
        <w:fldChar w:fldCharType="separate"/>
      </w:r>
      <w:r>
        <w:t>88</w:t>
      </w:r>
      <w:r>
        <w:fldChar w:fldCharType="end"/>
      </w:r>
    </w:p>
    <w:p>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_Toc106180034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Combined charges: non</w:t>
      </w:r>
      <w:r>
        <w:noBreakHyphen/>
        <w:t>metropolitan</w:t>
      </w:r>
    </w:p>
    <w:p>
      <w:pPr>
        <w:pStyle w:val="TOC8"/>
        <w:rPr>
          <w:rFonts w:asciiTheme="minorHAnsi" w:eastAsiaTheme="minorEastAsia" w:hAnsiTheme="minorHAnsi" w:cstheme="minorBidi"/>
          <w:szCs w:val="22"/>
        </w:rPr>
      </w:pPr>
      <w:r>
        <w:t>21.</w:t>
      </w:r>
      <w:r>
        <w:tab/>
        <w:t>Non</w:t>
      </w:r>
      <w:r>
        <w:noBreakHyphen/>
        <w:t>metropolitan non</w:t>
      </w:r>
      <w:r>
        <w:noBreakHyphen/>
        <w:t>residential</w:t>
      </w:r>
      <w:r>
        <w:tab/>
      </w:r>
      <w:r>
        <w:fldChar w:fldCharType="begin"/>
      </w:r>
      <w:r>
        <w:instrText xml:space="preserve"> PAGEREF _Toc106180036 \h </w:instrText>
      </w:r>
      <w:r>
        <w:fldChar w:fldCharType="separate"/>
      </w:r>
      <w:r>
        <w:t>89</w:t>
      </w:r>
      <w:r>
        <w:fldChar w:fldCharType="end"/>
      </w:r>
    </w:p>
    <w:p>
      <w:pPr>
        <w:pStyle w:val="TOC8"/>
        <w:rPr>
          <w:rFonts w:asciiTheme="minorHAnsi" w:eastAsiaTheme="minorEastAsia" w:hAnsiTheme="minorHAnsi" w:cstheme="minorBidi"/>
          <w:szCs w:val="22"/>
        </w:rPr>
      </w:pPr>
      <w:r>
        <w:t>22.</w:t>
      </w:r>
      <w:r>
        <w:tab/>
        <w:t>Non</w:t>
      </w:r>
      <w:r>
        <w:noBreakHyphen/>
        <w:t>metropolitan non</w:t>
      </w:r>
      <w:r>
        <w:noBreakHyphen/>
        <w:t>strata titled caravan park with long</w:t>
      </w:r>
      <w:r>
        <w:noBreakHyphen/>
        <w:t>term residential caravan bays</w:t>
      </w:r>
      <w:r>
        <w:tab/>
      </w:r>
      <w:r>
        <w:fldChar w:fldCharType="begin"/>
      </w:r>
      <w:r>
        <w:instrText xml:space="preserve"> PAGEREF _Toc106180037 \h </w:instrText>
      </w:r>
      <w:r>
        <w:fldChar w:fldCharType="separate"/>
      </w:r>
      <w:r>
        <w:t>90</w:t>
      </w:r>
      <w:r>
        <w:fldChar w:fldCharType="end"/>
      </w:r>
    </w:p>
    <w:p>
      <w:pPr>
        <w:pStyle w:val="TOC8"/>
        <w:rPr>
          <w:rFonts w:asciiTheme="minorHAnsi" w:eastAsiaTheme="minorEastAsia" w:hAnsiTheme="minorHAnsi" w:cstheme="minorBidi"/>
          <w:szCs w:val="22"/>
        </w:rPr>
      </w:pPr>
      <w:r>
        <w:t>23.</w:t>
      </w:r>
      <w:r>
        <w:tab/>
        <w:t>Non</w:t>
      </w:r>
      <w:r>
        <w:noBreakHyphen/>
        <w:t>metropolitan nursing home</w:t>
      </w:r>
      <w:r>
        <w:tab/>
      </w:r>
      <w:r>
        <w:fldChar w:fldCharType="begin"/>
      </w:r>
      <w:r>
        <w:instrText xml:space="preserve"> PAGEREF _Toc106180038 \h </w:instrText>
      </w:r>
      <w:r>
        <w:fldChar w:fldCharType="separate"/>
      </w:r>
      <w:r>
        <w:t>91</w:t>
      </w:r>
      <w:r>
        <w:fldChar w:fldCharType="end"/>
      </w:r>
    </w:p>
    <w:p>
      <w:pPr>
        <w:pStyle w:val="TOC8"/>
        <w:rPr>
          <w:rFonts w:asciiTheme="minorHAnsi" w:eastAsiaTheme="minorEastAsia" w:hAnsiTheme="minorHAnsi" w:cstheme="minorBidi"/>
          <w:szCs w:val="22"/>
        </w:rPr>
      </w:pPr>
      <w:r>
        <w:t>24.</w:t>
      </w:r>
      <w:r>
        <w:tab/>
        <w:t>Certain non</w:t>
      </w:r>
      <w:r>
        <w:noBreakHyphen/>
        <w:t>metropolitan units</w:t>
      </w:r>
      <w:r>
        <w:tab/>
      </w:r>
      <w:r>
        <w:fldChar w:fldCharType="begin"/>
      </w:r>
      <w:r>
        <w:instrText xml:space="preserve"> PAGEREF _Toc106180039 \h </w:instrText>
      </w:r>
      <w:r>
        <w:fldChar w:fldCharType="separate"/>
      </w:r>
      <w:r>
        <w:t>92</w:t>
      </w:r>
      <w:r>
        <w:fldChar w:fldCharType="end"/>
      </w:r>
    </w:p>
    <w:p>
      <w:pPr>
        <w:pStyle w:val="TOC8"/>
        <w:rPr>
          <w:rFonts w:asciiTheme="minorHAnsi" w:eastAsiaTheme="minorEastAsia" w:hAnsiTheme="minorHAnsi" w:cstheme="minorBidi"/>
          <w:szCs w:val="22"/>
        </w:rPr>
      </w:pPr>
      <w:r>
        <w:t>24A.</w:t>
      </w:r>
      <w:r>
        <w:tab/>
        <w:t>Non</w:t>
      </w:r>
      <w:r>
        <w:noBreakHyphen/>
        <w:t>metropolitan government trading organisation and non</w:t>
      </w:r>
      <w:r>
        <w:noBreakHyphen/>
        <w:t>commercial government property</w:t>
      </w:r>
      <w:r>
        <w:tab/>
      </w:r>
      <w:r>
        <w:fldChar w:fldCharType="begin"/>
      </w:r>
      <w:r>
        <w:instrText xml:space="preserve"> PAGEREF _Toc106180040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5 — Calculation of certain factors for the purposes of Subdivision 4</w:t>
      </w:r>
    </w:p>
    <w:p>
      <w:pPr>
        <w:pStyle w:val="TOC8"/>
        <w:rPr>
          <w:rFonts w:asciiTheme="minorHAnsi" w:eastAsiaTheme="minorEastAsia" w:hAnsiTheme="minorHAnsi" w:cstheme="minorBidi"/>
          <w:szCs w:val="22"/>
        </w:rPr>
      </w:pPr>
      <w:r>
        <w:t>25.</w:t>
      </w:r>
      <w:r>
        <w:tab/>
        <w:t>Service charge</w:t>
      </w:r>
      <w:r>
        <w:tab/>
      </w:r>
      <w:r>
        <w:fldChar w:fldCharType="begin"/>
      </w:r>
      <w:r>
        <w:instrText xml:space="preserve"> PAGEREF _Toc106180042 \h </w:instrText>
      </w:r>
      <w:r>
        <w:fldChar w:fldCharType="separate"/>
      </w:r>
      <w:r>
        <w:t>93</w:t>
      </w:r>
      <w:r>
        <w:fldChar w:fldCharType="end"/>
      </w:r>
    </w:p>
    <w:p>
      <w:pPr>
        <w:pStyle w:val="TOC8"/>
        <w:rPr>
          <w:rFonts w:asciiTheme="minorHAnsi" w:eastAsiaTheme="minorEastAsia" w:hAnsiTheme="minorHAnsi" w:cstheme="minorBidi"/>
          <w:szCs w:val="22"/>
        </w:rPr>
      </w:pPr>
      <w:r>
        <w:t>26.</w:t>
      </w:r>
      <w:r>
        <w:tab/>
        <w:t>Discharge charge</w:t>
      </w:r>
      <w:r>
        <w:tab/>
      </w:r>
      <w:r>
        <w:fldChar w:fldCharType="begin"/>
      </w:r>
      <w:r>
        <w:instrText xml:space="preserve"> PAGEREF _Toc106180043 \h </w:instrText>
      </w:r>
      <w:r>
        <w:fldChar w:fldCharType="separate"/>
      </w:r>
      <w:r>
        <w:t>94</w:t>
      </w:r>
      <w:r>
        <w:fldChar w:fldCharType="end"/>
      </w:r>
    </w:p>
    <w:p>
      <w:pPr>
        <w:pStyle w:val="TOC8"/>
        <w:rPr>
          <w:rFonts w:asciiTheme="minorHAnsi" w:eastAsiaTheme="minorEastAsia" w:hAnsiTheme="minorHAnsi" w:cstheme="minorBidi"/>
          <w:szCs w:val="22"/>
        </w:rPr>
      </w:pPr>
      <w:r>
        <w:t>27.</w:t>
      </w:r>
      <w:r>
        <w:tab/>
        <w:t>Discharge allowance</w:t>
      </w:r>
      <w:r>
        <w:tab/>
      </w:r>
      <w:r>
        <w:fldChar w:fldCharType="begin"/>
      </w:r>
      <w:r>
        <w:instrText xml:space="preserve"> PAGEREF _Toc106180044 \h </w:instrText>
      </w:r>
      <w:r>
        <w:fldChar w:fldCharType="separate"/>
      </w:r>
      <w:r>
        <w:t>94</w:t>
      </w:r>
      <w:r>
        <w:fldChar w:fldCharType="end"/>
      </w:r>
    </w:p>
    <w:p>
      <w:pPr>
        <w:pStyle w:val="TOC8"/>
        <w:rPr>
          <w:rFonts w:asciiTheme="minorHAnsi" w:eastAsiaTheme="minorEastAsia" w:hAnsiTheme="minorHAnsi" w:cstheme="minorBidi"/>
          <w:szCs w:val="22"/>
        </w:rPr>
      </w:pPr>
      <w:r>
        <w:t>28.</w:t>
      </w:r>
      <w:r>
        <w:tab/>
        <w:t>Maximum charge</w:t>
      </w:r>
      <w:r>
        <w:tab/>
      </w:r>
      <w:r>
        <w:fldChar w:fldCharType="begin"/>
      </w:r>
      <w:r>
        <w:instrText xml:space="preserve"> PAGEREF _Toc106180045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Discharge charges: trade waste and effluent</w:t>
      </w:r>
    </w:p>
    <w:p>
      <w:pPr>
        <w:pStyle w:val="TOC8"/>
        <w:rPr>
          <w:rFonts w:asciiTheme="minorHAnsi" w:eastAsiaTheme="minorEastAsia" w:hAnsiTheme="minorHAnsi" w:cstheme="minorBidi"/>
          <w:szCs w:val="22"/>
        </w:rPr>
      </w:pPr>
      <w:r>
        <w:t>29.</w:t>
      </w:r>
      <w:r>
        <w:tab/>
        <w:t>Discharge charges for 2021/22 and subsequent years</w:t>
      </w:r>
      <w:r>
        <w:tab/>
      </w:r>
      <w:r>
        <w:fldChar w:fldCharType="begin"/>
      </w:r>
      <w:r>
        <w:instrText xml:space="preserve"> PAGEREF _Toc106180047 \h </w:instrText>
      </w:r>
      <w:r>
        <w:fldChar w:fldCharType="separate"/>
      </w:r>
      <w:r>
        <w:t>96</w:t>
      </w:r>
      <w:r>
        <w:fldChar w:fldCharType="end"/>
      </w:r>
    </w:p>
    <w:p>
      <w:pPr>
        <w:pStyle w:val="TOC8"/>
        <w:rPr>
          <w:rFonts w:asciiTheme="minorHAnsi" w:eastAsiaTheme="minorEastAsia" w:hAnsiTheme="minorHAnsi" w:cstheme="minorBidi"/>
          <w:szCs w:val="22"/>
        </w:rPr>
      </w:pPr>
      <w:r>
        <w:t>30.</w:t>
      </w:r>
      <w:r>
        <w:tab/>
        <w:t>Trade waste discharged into sewer under approval</w:t>
      </w:r>
      <w:r>
        <w:tab/>
      </w:r>
      <w:r>
        <w:fldChar w:fldCharType="begin"/>
      </w:r>
      <w:r>
        <w:instrText xml:space="preserve"> PAGEREF _Toc106180048 \h </w:instrText>
      </w:r>
      <w:r>
        <w:fldChar w:fldCharType="separate"/>
      </w:r>
      <w:r>
        <w:t>96</w:t>
      </w:r>
      <w:r>
        <w:fldChar w:fldCharType="end"/>
      </w:r>
    </w:p>
    <w:p>
      <w:pPr>
        <w:pStyle w:val="TOC8"/>
        <w:rPr>
          <w:rFonts w:asciiTheme="minorHAnsi" w:eastAsiaTheme="minorEastAsia" w:hAnsiTheme="minorHAnsi" w:cstheme="minorBidi"/>
          <w:szCs w:val="22"/>
        </w:rPr>
      </w:pPr>
      <w:r>
        <w:t>31.</w:t>
      </w:r>
      <w:r>
        <w:tab/>
        <w:t>Effluent discharged from septic tank effluent pumping system into sewer</w:t>
      </w:r>
      <w:r>
        <w:tab/>
      </w:r>
      <w:r>
        <w:fldChar w:fldCharType="begin"/>
      </w:r>
      <w:r>
        <w:instrText xml:space="preserve"> PAGEREF _Toc106180049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5 — Drainage charges for the Water Corporation</w:t>
      </w:r>
    </w:p>
    <w:p>
      <w:pPr>
        <w:pStyle w:val="TOC8"/>
        <w:rPr>
          <w:rFonts w:asciiTheme="minorHAnsi" w:eastAsiaTheme="minorEastAsia" w:hAnsiTheme="minorHAnsi" w:cstheme="minorBidi"/>
          <w:szCs w:val="22"/>
        </w:rPr>
      </w:pPr>
      <w:r>
        <w:t>1.</w:t>
      </w:r>
      <w:r>
        <w:tab/>
        <w:t>Drainage charges for 2021/22 and subsequent years</w:t>
      </w:r>
      <w:r>
        <w:tab/>
      </w:r>
      <w:r>
        <w:fldChar w:fldCharType="begin"/>
      </w:r>
      <w:r>
        <w:instrText xml:space="preserve"> PAGEREF _Toc106180051 \h </w:instrText>
      </w:r>
      <w:r>
        <w:fldChar w:fldCharType="separate"/>
      </w:r>
      <w:r>
        <w:t>100</w:t>
      </w:r>
      <w:r>
        <w:fldChar w:fldCharType="end"/>
      </w:r>
    </w:p>
    <w:p>
      <w:pPr>
        <w:pStyle w:val="TOC8"/>
        <w:rPr>
          <w:rFonts w:asciiTheme="minorHAnsi" w:eastAsiaTheme="minorEastAsia" w:hAnsiTheme="minorHAnsi" w:cstheme="minorBidi"/>
          <w:szCs w:val="22"/>
        </w:rPr>
      </w:pPr>
      <w:r>
        <w:t>2.</w:t>
      </w:r>
      <w:r>
        <w:tab/>
        <w:t>Strata</w:t>
      </w:r>
      <w:r>
        <w:noBreakHyphen/>
        <w:t>titled caravan bays</w:t>
      </w:r>
      <w:r>
        <w:tab/>
      </w:r>
      <w:r>
        <w:fldChar w:fldCharType="begin"/>
      </w:r>
      <w:r>
        <w:instrText xml:space="preserve"> PAGEREF _Toc106180052 \h </w:instrText>
      </w:r>
      <w:r>
        <w:fldChar w:fldCharType="separate"/>
      </w:r>
      <w:r>
        <w:t>100</w:t>
      </w:r>
      <w:r>
        <w:fldChar w:fldCharType="end"/>
      </w:r>
    </w:p>
    <w:p>
      <w:pPr>
        <w:pStyle w:val="TOC8"/>
        <w:rPr>
          <w:rFonts w:asciiTheme="minorHAnsi" w:eastAsiaTheme="minorEastAsia" w:hAnsiTheme="minorHAnsi" w:cstheme="minorBidi"/>
          <w:szCs w:val="22"/>
        </w:rPr>
      </w:pPr>
      <w:r>
        <w:t>3.</w:t>
      </w:r>
      <w:r>
        <w:tab/>
        <w:t>Storage units or parking bays in strata titles scheme or community titles scheme</w:t>
      </w:r>
      <w:r>
        <w:tab/>
      </w:r>
      <w:r>
        <w:fldChar w:fldCharType="begin"/>
      </w:r>
      <w:r>
        <w:instrText xml:space="preserve"> PAGEREF _Toc106180053 \h </w:instrText>
      </w:r>
      <w:r>
        <w:fldChar w:fldCharType="separate"/>
      </w:r>
      <w:r>
        <w:t>100</w:t>
      </w:r>
      <w:r>
        <w:fldChar w:fldCharType="end"/>
      </w:r>
    </w:p>
    <w:p>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_Toc106180054 \h </w:instrText>
      </w:r>
      <w:r>
        <w:fldChar w:fldCharType="separate"/>
      </w:r>
      <w:r>
        <w:t>100</w:t>
      </w:r>
      <w:r>
        <w:fldChar w:fldCharType="end"/>
      </w:r>
    </w:p>
    <w:p>
      <w:pPr>
        <w:pStyle w:val="TOC8"/>
        <w:rPr>
          <w:rFonts w:asciiTheme="minorHAnsi" w:eastAsiaTheme="minorEastAsia" w:hAnsiTheme="minorHAnsi" w:cstheme="minorBidi"/>
          <w:szCs w:val="22"/>
        </w:rPr>
      </w:pPr>
      <w:r>
        <w:t>5.</w:t>
      </w:r>
      <w:r>
        <w:tab/>
        <w:t>Vacant land</w:t>
      </w:r>
      <w:r>
        <w:tab/>
      </w:r>
      <w:r>
        <w:fldChar w:fldCharType="begin"/>
      </w:r>
      <w:r>
        <w:instrText xml:space="preserve"> PAGEREF _Toc106180055 \h </w:instrText>
      </w:r>
      <w:r>
        <w:fldChar w:fldCharType="separate"/>
      </w:r>
      <w:r>
        <w:t>100</w:t>
      </w:r>
      <w:r>
        <w:fldChar w:fldCharType="end"/>
      </w:r>
    </w:p>
    <w:p>
      <w:pPr>
        <w:pStyle w:val="TOC8"/>
        <w:rPr>
          <w:rFonts w:asciiTheme="minorHAnsi" w:eastAsiaTheme="minorEastAsia" w:hAnsiTheme="minorHAnsi" w:cstheme="minorBidi"/>
          <w:szCs w:val="22"/>
        </w:rPr>
      </w:pPr>
      <w:r>
        <w:t>6.</w:t>
      </w:r>
      <w:r>
        <w:tab/>
        <w:t>Non</w:t>
      </w:r>
      <w:r>
        <w:noBreakHyphen/>
        <w:t>residential (except strata titled caravan bays and storage units or parking bays in strata titles scheme or community titles scheme)</w:t>
      </w:r>
      <w:r>
        <w:tab/>
      </w:r>
      <w:r>
        <w:fldChar w:fldCharType="begin"/>
      </w:r>
      <w:r>
        <w:instrText xml:space="preserve"> PAGEREF _Toc106180056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6 — Irrigation charges for the Water Corporation (Ord Irrigation District)</w:t>
      </w:r>
    </w:p>
    <w:p>
      <w:pPr>
        <w:pStyle w:val="TOC8"/>
        <w:rPr>
          <w:rFonts w:asciiTheme="minorHAnsi" w:eastAsiaTheme="minorEastAsia" w:hAnsiTheme="minorHAnsi" w:cstheme="minorBidi"/>
          <w:szCs w:val="22"/>
        </w:rPr>
      </w:pPr>
      <w:r>
        <w:t>1.</w:t>
      </w:r>
      <w:r>
        <w:tab/>
        <w:t>Irrigation charges for 2021/22 and subsequent years</w:t>
      </w:r>
      <w:r>
        <w:tab/>
      </w:r>
      <w:r>
        <w:fldChar w:fldCharType="begin"/>
      </w:r>
      <w:r>
        <w:instrText xml:space="preserve"> PAGEREF _Toc106180058 \h </w:instrText>
      </w:r>
      <w:r>
        <w:fldChar w:fldCharType="separate"/>
      </w:r>
      <w:r>
        <w:t>102</w:t>
      </w:r>
      <w:r>
        <w:fldChar w:fldCharType="end"/>
      </w:r>
    </w:p>
    <w:p>
      <w:pPr>
        <w:pStyle w:val="TOC8"/>
        <w:rPr>
          <w:rFonts w:asciiTheme="minorHAnsi" w:eastAsiaTheme="minorEastAsia" w:hAnsiTheme="minorHAnsi" w:cstheme="minorBidi"/>
          <w:szCs w:val="22"/>
        </w:rPr>
      </w:pPr>
      <w:r>
        <w:t>2.</w:t>
      </w:r>
      <w:r>
        <w:tab/>
        <w:t>Water provided as irrigation service</w:t>
      </w:r>
      <w:r>
        <w:tab/>
      </w:r>
      <w:r>
        <w:fldChar w:fldCharType="begin"/>
      </w:r>
      <w:r>
        <w:instrText xml:space="preserve"> PAGEREF _Toc106180059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7 — Miscellaneous charges for the Water Corporation</w:t>
      </w:r>
    </w:p>
    <w:p>
      <w:pPr>
        <w:pStyle w:val="TOC8"/>
        <w:rPr>
          <w:rFonts w:asciiTheme="minorHAnsi" w:eastAsiaTheme="minorEastAsia" w:hAnsiTheme="minorHAnsi" w:cstheme="minorBidi"/>
          <w:szCs w:val="22"/>
        </w:rPr>
      </w:pPr>
      <w:r>
        <w:t>1.</w:t>
      </w:r>
      <w:r>
        <w:tab/>
        <w:t>Requests for sub</w:t>
      </w:r>
      <w:r>
        <w:noBreakHyphen/>
        <w:t>meter installations: multi</w:t>
      </w:r>
      <w:r>
        <w:noBreakHyphen/>
        <w:t>unit developments</w:t>
      </w:r>
      <w:r>
        <w:tab/>
      </w:r>
      <w:r>
        <w:fldChar w:fldCharType="begin"/>
      </w:r>
      <w:r>
        <w:instrText xml:space="preserve"> PAGEREF _Toc106180061 \h </w:instrText>
      </w:r>
      <w:r>
        <w:fldChar w:fldCharType="separate"/>
      </w:r>
      <w:r>
        <w:t>103</w:t>
      </w:r>
      <w:r>
        <w:fldChar w:fldCharType="end"/>
      </w:r>
    </w:p>
    <w:p>
      <w:pPr>
        <w:pStyle w:val="TOC8"/>
        <w:rPr>
          <w:rFonts w:asciiTheme="minorHAnsi" w:eastAsiaTheme="minorEastAsia" w:hAnsiTheme="minorHAnsi" w:cstheme="minorBidi"/>
          <w:szCs w:val="22"/>
        </w:rPr>
      </w:pPr>
      <w:r>
        <w:t>2.</w:t>
      </w:r>
      <w:r>
        <w:tab/>
        <w:t>Sub</w:t>
      </w:r>
      <w:r>
        <w:noBreakHyphen/>
        <w:t>meter installations: multi</w:t>
      </w:r>
      <w:r>
        <w:noBreakHyphen/>
        <w:t>unit developments</w:t>
      </w:r>
      <w:r>
        <w:tab/>
      </w:r>
      <w:r>
        <w:fldChar w:fldCharType="begin"/>
      </w:r>
      <w:r>
        <w:instrText xml:space="preserve"> PAGEREF _Toc106180062 \h </w:instrText>
      </w:r>
      <w:r>
        <w:fldChar w:fldCharType="separate"/>
      </w:r>
      <w:r>
        <w:t>103</w:t>
      </w:r>
      <w:r>
        <w:fldChar w:fldCharType="end"/>
      </w:r>
    </w:p>
    <w:p>
      <w:pPr>
        <w:pStyle w:val="TOC8"/>
        <w:rPr>
          <w:rFonts w:asciiTheme="minorHAnsi" w:eastAsiaTheme="minorEastAsia" w:hAnsiTheme="minorHAnsi" w:cstheme="minorBidi"/>
          <w:szCs w:val="22"/>
        </w:rPr>
      </w:pPr>
      <w:r>
        <w:t>3.</w:t>
      </w:r>
      <w:r>
        <w:tab/>
        <w:t>Testing meters</w:t>
      </w:r>
      <w:r>
        <w:tab/>
      </w:r>
      <w:r>
        <w:fldChar w:fldCharType="begin"/>
      </w:r>
      <w:r>
        <w:instrText xml:space="preserve"> PAGEREF _Toc106180063 \h </w:instrText>
      </w:r>
      <w:r>
        <w:fldChar w:fldCharType="separate"/>
      </w:r>
      <w:r>
        <w:t>103</w:t>
      </w:r>
      <w:r>
        <w:fldChar w:fldCharType="end"/>
      </w:r>
    </w:p>
    <w:p>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_Toc106180064 \h </w:instrText>
      </w:r>
      <w:r>
        <w:fldChar w:fldCharType="separate"/>
      </w:r>
      <w:r>
        <w:t>103</w:t>
      </w:r>
      <w:r>
        <w:fldChar w:fldCharType="end"/>
      </w:r>
    </w:p>
    <w:p>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_Toc106180065 \h </w:instrText>
      </w:r>
      <w:r>
        <w:fldChar w:fldCharType="separate"/>
      </w:r>
      <w:r>
        <w:t>104</w:t>
      </w:r>
      <w:r>
        <w:fldChar w:fldCharType="end"/>
      </w:r>
    </w:p>
    <w:p>
      <w:pPr>
        <w:pStyle w:val="TOC8"/>
        <w:rPr>
          <w:rFonts w:asciiTheme="minorHAnsi" w:eastAsiaTheme="minorEastAsia" w:hAnsiTheme="minorHAnsi" w:cstheme="minorBidi"/>
          <w:szCs w:val="22"/>
        </w:rPr>
      </w:pPr>
      <w:r>
        <w:t>6.</w:t>
      </w:r>
      <w:r>
        <w:tab/>
        <w:t>Disconnecting water supply connection</w:t>
      </w:r>
      <w:r>
        <w:tab/>
      </w:r>
      <w:r>
        <w:fldChar w:fldCharType="begin"/>
      </w:r>
      <w:r>
        <w:instrText xml:space="preserve"> PAGEREF _Toc106180066 \h </w:instrText>
      </w:r>
      <w:r>
        <w:fldChar w:fldCharType="separate"/>
      </w:r>
      <w:r>
        <w:t>104</w:t>
      </w:r>
      <w:r>
        <w:fldChar w:fldCharType="end"/>
      </w:r>
    </w:p>
    <w:p>
      <w:pPr>
        <w:pStyle w:val="TOC8"/>
        <w:rPr>
          <w:rFonts w:asciiTheme="minorHAnsi" w:eastAsiaTheme="minorEastAsia" w:hAnsiTheme="minorHAnsi" w:cstheme="minorBidi"/>
          <w:szCs w:val="22"/>
        </w:rPr>
      </w:pPr>
      <w:r>
        <w:t>7.</w:t>
      </w:r>
      <w:r>
        <w:tab/>
        <w:t>Relocating water supply connection</w:t>
      </w:r>
      <w:r>
        <w:tab/>
      </w:r>
      <w:r>
        <w:fldChar w:fldCharType="begin"/>
      </w:r>
      <w:r>
        <w:instrText xml:space="preserve"> PAGEREF _Toc106180067 \h </w:instrText>
      </w:r>
      <w:r>
        <w:fldChar w:fldCharType="separate"/>
      </w:r>
      <w:r>
        <w:t>104</w:t>
      </w:r>
      <w:r>
        <w:fldChar w:fldCharType="end"/>
      </w:r>
    </w:p>
    <w:p>
      <w:pPr>
        <w:pStyle w:val="TOC8"/>
        <w:rPr>
          <w:rFonts w:asciiTheme="minorHAnsi" w:eastAsiaTheme="minorEastAsia" w:hAnsiTheme="minorHAnsi" w:cstheme="minorBidi"/>
          <w:szCs w:val="22"/>
        </w:rPr>
      </w:pPr>
      <w:r>
        <w:t>8.</w:t>
      </w:r>
      <w:r>
        <w:tab/>
        <w:t>Proposal to connect to sewer</w:t>
      </w:r>
      <w:r>
        <w:tab/>
      </w:r>
      <w:r>
        <w:fldChar w:fldCharType="begin"/>
      </w:r>
      <w:r>
        <w:instrText xml:space="preserve"> PAGEREF _Toc106180068 \h </w:instrText>
      </w:r>
      <w:r>
        <w:fldChar w:fldCharType="separate"/>
      </w:r>
      <w:r>
        <w:t>105</w:t>
      </w:r>
      <w:r>
        <w:fldChar w:fldCharType="end"/>
      </w:r>
    </w:p>
    <w:p>
      <w:pPr>
        <w:pStyle w:val="TOC8"/>
        <w:rPr>
          <w:rFonts w:asciiTheme="minorHAnsi" w:eastAsiaTheme="minorEastAsia" w:hAnsiTheme="minorHAnsi" w:cstheme="minorBidi"/>
          <w:szCs w:val="22"/>
        </w:rPr>
      </w:pPr>
      <w:r>
        <w:lastRenderedPageBreak/>
        <w:t>9.</w:t>
      </w:r>
      <w:r>
        <w:tab/>
        <w:t>Installing sewer junction</w:t>
      </w:r>
      <w:r>
        <w:tab/>
      </w:r>
      <w:r>
        <w:fldChar w:fldCharType="begin"/>
      </w:r>
      <w:r>
        <w:instrText xml:space="preserve"> PAGEREF _Toc106180069 \h </w:instrText>
      </w:r>
      <w:r>
        <w:fldChar w:fldCharType="separate"/>
      </w:r>
      <w:r>
        <w:t>106</w:t>
      </w:r>
      <w:r>
        <w:fldChar w:fldCharType="end"/>
      </w:r>
    </w:p>
    <w:p>
      <w:pPr>
        <w:pStyle w:val="TOC8"/>
        <w:rPr>
          <w:rFonts w:asciiTheme="minorHAnsi" w:eastAsiaTheme="minorEastAsia" w:hAnsiTheme="minorHAnsi" w:cstheme="minorBidi"/>
          <w:szCs w:val="22"/>
        </w:rPr>
      </w:pPr>
      <w:r>
        <w:t>10.</w:t>
      </w:r>
      <w:r>
        <w:tab/>
        <w:t>Hire of standpipe for fire hydrant</w:t>
      </w:r>
      <w:r>
        <w:tab/>
      </w:r>
      <w:r>
        <w:fldChar w:fldCharType="begin"/>
      </w:r>
      <w:r>
        <w:instrText xml:space="preserve"> PAGEREF _Toc106180070 \h </w:instrText>
      </w:r>
      <w:r>
        <w:fldChar w:fldCharType="separate"/>
      </w:r>
      <w:r>
        <w:t>106</w:t>
      </w:r>
      <w:r>
        <w:fldChar w:fldCharType="end"/>
      </w:r>
    </w:p>
    <w:p>
      <w:pPr>
        <w:pStyle w:val="TOC8"/>
        <w:rPr>
          <w:rFonts w:asciiTheme="minorHAnsi" w:eastAsiaTheme="minorEastAsia" w:hAnsiTheme="minorHAnsi" w:cstheme="minorBidi"/>
          <w:szCs w:val="22"/>
        </w:rPr>
      </w:pPr>
      <w:r>
        <w:t>11.</w:t>
      </w:r>
      <w:r>
        <w:tab/>
        <w:t>Trade waste: routine services</w:t>
      </w:r>
      <w:r>
        <w:tab/>
      </w:r>
      <w:r>
        <w:fldChar w:fldCharType="begin"/>
      </w:r>
      <w:r>
        <w:instrText xml:space="preserve"> PAGEREF _Toc106180071 \h </w:instrText>
      </w:r>
      <w:r>
        <w:fldChar w:fldCharType="separate"/>
      </w:r>
      <w:r>
        <w:t>106</w:t>
      </w:r>
      <w:r>
        <w:fldChar w:fldCharType="end"/>
      </w:r>
    </w:p>
    <w:p>
      <w:pPr>
        <w:pStyle w:val="TOC8"/>
        <w:rPr>
          <w:rFonts w:asciiTheme="minorHAnsi" w:eastAsiaTheme="minorEastAsia" w:hAnsiTheme="minorHAnsi" w:cstheme="minorBidi"/>
          <w:szCs w:val="22"/>
        </w:rPr>
      </w:pPr>
      <w:r>
        <w:t>12.</w:t>
      </w:r>
      <w:r>
        <w:tab/>
        <w:t>Trade waste: ad hoc services</w:t>
      </w:r>
      <w:r>
        <w:tab/>
      </w:r>
      <w:r>
        <w:fldChar w:fldCharType="begin"/>
      </w:r>
      <w:r>
        <w:instrText xml:space="preserve"> PAGEREF _Toc106180072 \h </w:instrText>
      </w:r>
      <w:r>
        <w:fldChar w:fldCharType="separate"/>
      </w:r>
      <w:r>
        <w:t>107</w:t>
      </w:r>
      <w:r>
        <w:fldChar w:fldCharType="end"/>
      </w:r>
    </w:p>
    <w:p>
      <w:pPr>
        <w:pStyle w:val="TOC8"/>
        <w:rPr>
          <w:rFonts w:asciiTheme="minorHAnsi" w:eastAsiaTheme="minorEastAsia" w:hAnsiTheme="minorHAnsi" w:cstheme="minorBidi"/>
          <w:szCs w:val="22"/>
        </w:rPr>
      </w:pPr>
      <w:r>
        <w:t>13.</w:t>
      </w:r>
      <w:r>
        <w:tab/>
        <w:t>Trade waste: one</w:t>
      </w:r>
      <w:r>
        <w:noBreakHyphen/>
        <w:t>off discharge services</w:t>
      </w:r>
      <w:r>
        <w:tab/>
      </w:r>
      <w:r>
        <w:fldChar w:fldCharType="begin"/>
      </w:r>
      <w:r>
        <w:instrText xml:space="preserve"> PAGEREF _Toc106180073 \h </w:instrText>
      </w:r>
      <w:r>
        <w:fldChar w:fldCharType="separate"/>
      </w:r>
      <w:r>
        <w:t>107</w:t>
      </w:r>
      <w:r>
        <w:fldChar w:fldCharType="end"/>
      </w:r>
    </w:p>
    <w:p>
      <w:pPr>
        <w:pStyle w:val="TOC8"/>
        <w:rPr>
          <w:rFonts w:asciiTheme="minorHAnsi" w:eastAsiaTheme="minorEastAsia" w:hAnsiTheme="minorHAnsi" w:cstheme="minorBidi"/>
          <w:szCs w:val="22"/>
        </w:rPr>
      </w:pPr>
      <w:r>
        <w:t>14.</w:t>
      </w:r>
      <w:r>
        <w:tab/>
        <w:t>Meter reading and other information</w:t>
      </w:r>
      <w:r>
        <w:tab/>
      </w:r>
      <w:r>
        <w:fldChar w:fldCharType="begin"/>
      </w:r>
      <w:r>
        <w:instrText xml:space="preserve"> PAGEREF _Toc106180074 \h </w:instrText>
      </w:r>
      <w:r>
        <w:fldChar w:fldCharType="separate"/>
      </w:r>
      <w:r>
        <w:t>107</w:t>
      </w:r>
      <w:r>
        <w:fldChar w:fldCharType="end"/>
      </w:r>
    </w:p>
    <w:p>
      <w:pPr>
        <w:pStyle w:val="TOC8"/>
        <w:rPr>
          <w:rFonts w:asciiTheme="minorHAnsi" w:eastAsiaTheme="minorEastAsia" w:hAnsiTheme="minorHAnsi" w:cstheme="minorBidi"/>
          <w:szCs w:val="22"/>
        </w:rPr>
      </w:pPr>
      <w:r>
        <w:t>15.</w:t>
      </w:r>
      <w:r>
        <w:tab/>
        <w:t>Copies of records</w:t>
      </w:r>
      <w:r>
        <w:tab/>
      </w:r>
      <w:r>
        <w:fldChar w:fldCharType="begin"/>
      </w:r>
      <w:r>
        <w:instrText xml:space="preserve"> PAGEREF _Toc106180075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Schedule 8 — Government trading organisations</w:t>
      </w:r>
    </w:p>
    <w:p>
      <w:pPr>
        <w:pStyle w:val="TOC2"/>
        <w:tabs>
          <w:tab w:val="right" w:leader="dot" w:pos="7077"/>
        </w:tabs>
        <w:rPr>
          <w:rFonts w:asciiTheme="minorHAnsi" w:eastAsiaTheme="minorEastAsia" w:hAnsiTheme="minorHAnsi" w:cstheme="minorBidi"/>
          <w:b w:val="0"/>
          <w:sz w:val="22"/>
          <w:szCs w:val="22"/>
        </w:rPr>
      </w:pPr>
      <w:r>
        <w:t>Schedule 9 — Central business districts</w:t>
      </w:r>
    </w:p>
    <w:p>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_Toc106180078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Schedule 10 — Class of town or area: current consumption year</w:t>
      </w:r>
    </w:p>
    <w:p>
      <w:pPr>
        <w:pStyle w:val="TOC2"/>
        <w:tabs>
          <w:tab w:val="right" w:leader="dot" w:pos="7077"/>
        </w:tabs>
        <w:rPr>
          <w:rFonts w:asciiTheme="minorHAnsi" w:eastAsiaTheme="minorEastAsia" w:hAnsiTheme="minorHAnsi" w:cstheme="minorBidi"/>
          <w:b w:val="0"/>
          <w:sz w:val="22"/>
          <w:szCs w:val="22"/>
        </w:rPr>
      </w:pPr>
      <w:r>
        <w:t>Schedule 11 — Class of town or area: previous consumption year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_Toc106180082 \h </w:instrText>
      </w:r>
      <w:r>
        <w:fldChar w:fldCharType="separate"/>
      </w:r>
      <w:r>
        <w:t>131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_Toc106180083 \h </w:instrText>
      </w:r>
      <w:r>
        <w:fldChar w:fldCharType="separate"/>
      </w:r>
      <w:r>
        <w:t>132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_Toc106180084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Water Services Act 2012</w:t>
      </w:r>
    </w:p>
    <w:p>
      <w:pPr>
        <w:pStyle w:val="NameofActReg"/>
      </w:pPr>
      <w:r>
        <w:t>Water Services (Water Corporations Charges) Regulations 2014</w:t>
      </w:r>
    </w:p>
    <w:p>
      <w:pPr>
        <w:pStyle w:val="Heading2"/>
        <w:pageBreakBefore w:val="0"/>
        <w:spacing w:before="240"/>
      </w:pPr>
      <w:bookmarkStart w:id="3" w:name="_Toc106103874"/>
      <w:bookmarkStart w:id="4" w:name="_Toc106104102"/>
      <w:bookmarkStart w:id="5" w:name="_Toc106179630"/>
      <w:bookmarkStart w:id="6" w:name="_Toc10617985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06179859"/>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9" w:name="_Toc106179860"/>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0" w:name="_Toc106179861"/>
      <w:r>
        <w:rPr>
          <w:rStyle w:val="CharSectno"/>
        </w:rPr>
        <w:t>3</w:t>
      </w:r>
      <w:r>
        <w:t>.</w:t>
      </w:r>
      <w:r>
        <w:tab/>
        <w:t>Terms used</w:t>
      </w:r>
      <w:bookmarkEnd w:id="10"/>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keepNext/>
        <w:rPr>
          <w:szCs w:val="24"/>
        </w:rPr>
      </w:pPr>
      <w:r>
        <w:lastRenderedPageBreak/>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1" w:name="_Toc106103878"/>
      <w:bookmarkStart w:id="12" w:name="_Toc106104106"/>
      <w:bookmarkStart w:id="13" w:name="_Toc106179634"/>
      <w:bookmarkStart w:id="14" w:name="_Toc106179862"/>
      <w:r>
        <w:rPr>
          <w:rStyle w:val="CharPartNo"/>
        </w:rPr>
        <w:lastRenderedPageBreak/>
        <w:t>Part 2</w:t>
      </w:r>
      <w:r>
        <w:rPr>
          <w:rStyle w:val="CharDivNo"/>
        </w:rPr>
        <w:t> </w:t>
      </w:r>
      <w:r>
        <w:t>—</w:t>
      </w:r>
      <w:r>
        <w:rPr>
          <w:rStyle w:val="CharDivText"/>
        </w:rPr>
        <w:t> </w:t>
      </w:r>
      <w:r>
        <w:rPr>
          <w:rStyle w:val="CharPartText"/>
        </w:rPr>
        <w:t>General provisions</w:t>
      </w:r>
      <w:bookmarkEnd w:id="11"/>
      <w:bookmarkEnd w:id="12"/>
      <w:bookmarkEnd w:id="13"/>
      <w:bookmarkEnd w:id="14"/>
    </w:p>
    <w:p>
      <w:pPr>
        <w:pStyle w:val="Heading5"/>
      </w:pPr>
      <w:bookmarkStart w:id="15" w:name="_Toc106179863"/>
      <w:r>
        <w:rPr>
          <w:rStyle w:val="CharSectno"/>
        </w:rPr>
        <w:t>4</w:t>
      </w:r>
      <w:r>
        <w:t>.</w:t>
      </w:r>
      <w:r>
        <w:tab/>
        <w:t>Annual charges and pro rata annual charges</w:t>
      </w:r>
      <w:bookmarkEnd w:id="15"/>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6" w:name="_Toc106179864"/>
      <w:r>
        <w:rPr>
          <w:rStyle w:val="CharSectno"/>
        </w:rPr>
        <w:t>5</w:t>
      </w:r>
      <w:r>
        <w:t>.</w:t>
      </w:r>
      <w:r>
        <w:tab/>
        <w:t>Amendment of consumption or discharge charges during charge period</w:t>
      </w:r>
      <w:bookmarkEnd w:id="16"/>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17" w:name="_Toc106103881"/>
      <w:bookmarkStart w:id="18" w:name="_Toc106104109"/>
      <w:bookmarkStart w:id="19" w:name="_Toc106179637"/>
      <w:bookmarkStart w:id="20" w:name="_Toc106179865"/>
      <w:r>
        <w:rPr>
          <w:rStyle w:val="CharPartNo"/>
        </w:rPr>
        <w:lastRenderedPageBreak/>
        <w:t>Part 3</w:t>
      </w:r>
      <w:r>
        <w:rPr>
          <w:rStyle w:val="CharDivNo"/>
        </w:rPr>
        <w:t> </w:t>
      </w:r>
      <w:r>
        <w:t>—</w:t>
      </w:r>
      <w:r>
        <w:rPr>
          <w:rStyle w:val="CharDivText"/>
        </w:rPr>
        <w:t> </w:t>
      </w:r>
      <w:r>
        <w:rPr>
          <w:rStyle w:val="CharPartText"/>
        </w:rPr>
        <w:t>Charges for Bunbury Water Corporation</w:t>
      </w:r>
      <w:bookmarkEnd w:id="17"/>
      <w:bookmarkEnd w:id="18"/>
      <w:bookmarkEnd w:id="19"/>
      <w:bookmarkEnd w:id="20"/>
    </w:p>
    <w:p>
      <w:pPr>
        <w:pStyle w:val="Heading5"/>
      </w:pPr>
      <w:bookmarkStart w:id="21" w:name="_Toc106179866"/>
      <w:r>
        <w:rPr>
          <w:rStyle w:val="CharSectno"/>
        </w:rPr>
        <w:t>6</w:t>
      </w:r>
      <w:r>
        <w:t>.</w:t>
      </w:r>
      <w:r>
        <w:tab/>
        <w:t>Terms used</w:t>
      </w:r>
      <w:bookmarkEnd w:id="21"/>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 </w:t>
      </w:r>
    </w:p>
    <w:p>
      <w:pPr>
        <w:pStyle w:val="Defpara"/>
      </w:pPr>
      <w:r>
        <w:tab/>
        <w:t>(b)</w:t>
      </w:r>
      <w:r>
        <w:tab/>
        <w:t>includes the following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keepNext/>
      </w:pPr>
      <w:r>
        <w:lastRenderedPageBreak/>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6 amended: SL 2021/79 r. 8.]</w:t>
      </w:r>
    </w:p>
    <w:p>
      <w:pPr>
        <w:pStyle w:val="Heading5"/>
      </w:pPr>
      <w:bookmarkStart w:id="22" w:name="_Toc106179867"/>
      <w:r>
        <w:rPr>
          <w:rStyle w:val="CharSectno"/>
        </w:rPr>
        <w:t>7</w:t>
      </w:r>
      <w:r>
        <w:t>.</w:t>
      </w:r>
      <w:r>
        <w:tab/>
        <w:t>Water supply charges</w:t>
      </w:r>
      <w:bookmarkEnd w:id="22"/>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23" w:name="_Toc106179868"/>
      <w:r>
        <w:rPr>
          <w:rStyle w:val="CharSectno"/>
        </w:rPr>
        <w:t>9</w:t>
      </w:r>
      <w:r>
        <w:t>.</w:t>
      </w:r>
      <w:r>
        <w:tab/>
        <w:t>Concessions</w:t>
      </w:r>
      <w:bookmarkEnd w:id="23"/>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lastRenderedPageBreak/>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4" w:name="_Toc106179869"/>
      <w:r>
        <w:rPr>
          <w:rStyle w:val="CharSectno"/>
        </w:rPr>
        <w:t>10</w:t>
      </w:r>
      <w:r>
        <w:t>.</w:t>
      </w:r>
      <w:r>
        <w:tab/>
        <w:t>Interest accruing on overdue amounts</w:t>
      </w:r>
      <w:bookmarkEnd w:id="24"/>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10 amended: Gazette 30 Jun 2015 p. 2363; 27 Jun 2016 p. 2538; 23 Jun 2017 p. 3324; SL 2020/95 r. 4; SL 2021/80 r. 4.]</w:t>
      </w:r>
    </w:p>
    <w:p>
      <w:pPr>
        <w:pStyle w:val="Heading2"/>
      </w:pPr>
      <w:bookmarkStart w:id="25" w:name="_Toc106103886"/>
      <w:bookmarkStart w:id="26" w:name="_Toc106104114"/>
      <w:bookmarkStart w:id="27" w:name="_Toc106179642"/>
      <w:bookmarkStart w:id="28" w:name="_Toc106179870"/>
      <w:r>
        <w:rPr>
          <w:rStyle w:val="CharPartNo"/>
        </w:rPr>
        <w:lastRenderedPageBreak/>
        <w:t>Part 4</w:t>
      </w:r>
      <w:r>
        <w:rPr>
          <w:rStyle w:val="CharDivNo"/>
        </w:rPr>
        <w:t> </w:t>
      </w:r>
      <w:r>
        <w:t>—</w:t>
      </w:r>
      <w:r>
        <w:rPr>
          <w:rStyle w:val="CharDivText"/>
        </w:rPr>
        <w:t> </w:t>
      </w:r>
      <w:r>
        <w:rPr>
          <w:rStyle w:val="CharPartText"/>
        </w:rPr>
        <w:t>Charges for Busselton Water Corporation</w:t>
      </w:r>
      <w:bookmarkEnd w:id="25"/>
      <w:bookmarkEnd w:id="26"/>
      <w:bookmarkEnd w:id="27"/>
      <w:bookmarkEnd w:id="28"/>
    </w:p>
    <w:p>
      <w:pPr>
        <w:pStyle w:val="Heading5"/>
      </w:pPr>
      <w:bookmarkStart w:id="29" w:name="_Toc106179871"/>
      <w:r>
        <w:rPr>
          <w:rStyle w:val="CharSectno"/>
        </w:rPr>
        <w:t>11</w:t>
      </w:r>
      <w:r>
        <w:t>.</w:t>
      </w:r>
      <w:r>
        <w:tab/>
        <w:t>Terms used</w:t>
      </w:r>
      <w:bookmarkEnd w:id="29"/>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w:t>
      </w:r>
    </w:p>
    <w:p>
      <w:pPr>
        <w:pStyle w:val="Defpara"/>
      </w:pPr>
      <w:r>
        <w:tab/>
        <w:t>(b)</w:t>
      </w:r>
      <w:r>
        <w:tab/>
        <w:t xml:space="preserve">includes the following —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lastRenderedPageBreak/>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 SL 2021/79 r. 9.]</w:t>
      </w:r>
    </w:p>
    <w:p>
      <w:pPr>
        <w:pStyle w:val="Heading5"/>
      </w:pPr>
      <w:bookmarkStart w:id="30" w:name="_Toc106179872"/>
      <w:r>
        <w:rPr>
          <w:rStyle w:val="CharSectno"/>
        </w:rPr>
        <w:t>12</w:t>
      </w:r>
      <w:r>
        <w:t>.</w:t>
      </w:r>
      <w:r>
        <w:tab/>
        <w:t>Water supply charges</w:t>
      </w:r>
      <w:bookmarkEnd w:id="30"/>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31" w:name="_Toc106179873"/>
      <w:r>
        <w:rPr>
          <w:rStyle w:val="CharSectno"/>
        </w:rPr>
        <w:t>14</w:t>
      </w:r>
      <w:r>
        <w:t>.</w:t>
      </w:r>
      <w:r>
        <w:tab/>
        <w:t>Concessions</w:t>
      </w:r>
      <w:bookmarkEnd w:id="31"/>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keepNext/>
      </w:pPr>
      <w:r>
        <w:tab/>
        <w:t>(ii)</w:t>
      </w:r>
      <w:r>
        <w:tab/>
        <w:t xml:space="preserve">for a charge set out in Schedule 2 item 7 — a 50% discount on the charge for the first 350 kL </w:t>
      </w:r>
      <w:r>
        <w:lastRenderedPageBreak/>
        <w:t>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32" w:name="_Toc106179874"/>
      <w:r>
        <w:rPr>
          <w:rStyle w:val="CharSectno"/>
        </w:rPr>
        <w:t>15A</w:t>
      </w:r>
      <w:r>
        <w:t>.</w:t>
      </w:r>
      <w:r>
        <w:tab/>
        <w:t>Permitted surcharge for using credit card or debit card</w:t>
      </w:r>
      <w:bookmarkEnd w:id="32"/>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33" w:name="_Toc106179875"/>
      <w:r>
        <w:rPr>
          <w:rStyle w:val="CharSectno"/>
        </w:rPr>
        <w:lastRenderedPageBreak/>
        <w:t>15</w:t>
      </w:r>
      <w:r>
        <w:t>.</w:t>
      </w:r>
      <w:r>
        <w:tab/>
        <w:t>Interest accruing on overdue amounts</w:t>
      </w:r>
      <w:bookmarkEnd w:id="33"/>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15 amended: Gazette 27 Jun 2016 p. 2538; 23 Jun 2017 p. 3324; SL 2020/95 r. 5; SL 2021/80 r. 5.]</w:t>
      </w:r>
    </w:p>
    <w:p>
      <w:pPr>
        <w:pStyle w:val="Heading2"/>
      </w:pPr>
      <w:bookmarkStart w:id="34" w:name="_Toc106103892"/>
      <w:bookmarkStart w:id="35" w:name="_Toc106104120"/>
      <w:bookmarkStart w:id="36" w:name="_Toc106179648"/>
      <w:bookmarkStart w:id="37" w:name="_Toc106179876"/>
      <w:r>
        <w:rPr>
          <w:rStyle w:val="CharPartNo"/>
        </w:rPr>
        <w:lastRenderedPageBreak/>
        <w:t>Part 5</w:t>
      </w:r>
      <w:r>
        <w:t> — </w:t>
      </w:r>
      <w:r>
        <w:rPr>
          <w:rStyle w:val="CharPartText"/>
        </w:rPr>
        <w:t>Charges for the Water Corporation</w:t>
      </w:r>
      <w:bookmarkEnd w:id="34"/>
      <w:bookmarkEnd w:id="35"/>
      <w:bookmarkEnd w:id="36"/>
      <w:bookmarkEnd w:id="37"/>
    </w:p>
    <w:p>
      <w:pPr>
        <w:pStyle w:val="Heading3"/>
      </w:pPr>
      <w:bookmarkStart w:id="38" w:name="_Toc106103893"/>
      <w:bookmarkStart w:id="39" w:name="_Toc106104121"/>
      <w:bookmarkStart w:id="40" w:name="_Toc106179649"/>
      <w:bookmarkStart w:id="41" w:name="_Toc106179877"/>
      <w:r>
        <w:rPr>
          <w:rStyle w:val="CharDivNo"/>
        </w:rPr>
        <w:t>Division 1</w:t>
      </w:r>
      <w:r>
        <w:t> — </w:t>
      </w:r>
      <w:r>
        <w:rPr>
          <w:rStyle w:val="CharDivText"/>
        </w:rPr>
        <w:t>Preliminary</w:t>
      </w:r>
      <w:bookmarkEnd w:id="38"/>
      <w:bookmarkEnd w:id="39"/>
      <w:bookmarkEnd w:id="40"/>
      <w:bookmarkEnd w:id="41"/>
    </w:p>
    <w:p>
      <w:pPr>
        <w:pStyle w:val="Heading5"/>
      </w:pPr>
      <w:bookmarkStart w:id="42" w:name="_Toc106179878"/>
      <w:r>
        <w:rPr>
          <w:rStyle w:val="CharSectno"/>
        </w:rPr>
        <w:t>16</w:t>
      </w:r>
      <w:r>
        <w:t>.</w:t>
      </w:r>
      <w:r>
        <w:tab/>
        <w:t>Terms used</w:t>
      </w:r>
      <w:bookmarkEnd w:id="42"/>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lastRenderedPageBreak/>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keepNext/>
      </w:pPr>
      <w:r>
        <w:tab/>
      </w:r>
      <w:r>
        <w:rPr>
          <w:rStyle w:val="CharDefText"/>
        </w:rPr>
        <w:t>discharge volume</w:t>
      </w:r>
      <w:r>
        <w:t xml:space="preserve">, for land and a discharge year, means the approximate volume of wastewater (in kL) discharged from the </w:t>
      </w:r>
      <w:r>
        <w:lastRenderedPageBreak/>
        <w:t xml:space="preserve">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keepNext/>
      </w:pPr>
      <w:r>
        <w:lastRenderedPageBreak/>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means — </w:t>
      </w:r>
    </w:p>
    <w:p>
      <w:pPr>
        <w:pStyle w:val="Defpara"/>
      </w:pPr>
      <w:r>
        <w:tab/>
        <w:t>(a)</w:t>
      </w:r>
      <w:r>
        <w:tab/>
        <w:t>a lot in a strata scheme or a lot in a survey</w:t>
      </w:r>
      <w:r>
        <w:noBreakHyphen/>
        <w:t xml:space="preserve">strata scheme, as those terms are defined in the </w:t>
      </w:r>
      <w:r>
        <w:rPr>
          <w:i/>
        </w:rPr>
        <w:t>Strata Titles Act 1985</w:t>
      </w:r>
      <w:r>
        <w:t xml:space="preserve"> section 3(1); or</w:t>
      </w:r>
    </w:p>
    <w:p>
      <w:pPr>
        <w:pStyle w:val="Defpara"/>
      </w:pPr>
      <w:r>
        <w:tab/>
        <w:t>(b)</w:t>
      </w:r>
      <w:r>
        <w:tab/>
        <w:t xml:space="preserve">a lot as defined in the </w:t>
      </w:r>
      <w:r>
        <w:rPr>
          <w:i/>
        </w:rPr>
        <w:t>Community Titles Act 2018</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lastRenderedPageBreak/>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scheme plan</w:t>
      </w:r>
      <w:r>
        <w:t xml:space="preserve"> — </w:t>
      </w:r>
    </w:p>
    <w:p>
      <w:pPr>
        <w:pStyle w:val="Defpara"/>
      </w:pPr>
      <w:r>
        <w:tab/>
        <w:t>(a)</w:t>
      </w:r>
      <w:r>
        <w:tab/>
        <w:t xml:space="preserve">for a strata titles scheme — has the meaning given in the </w:t>
      </w:r>
      <w:r>
        <w:rPr>
          <w:i/>
        </w:rPr>
        <w:t>Strata Titles Act 1985</w:t>
      </w:r>
      <w:r>
        <w:t xml:space="preserve"> section 3(1); or</w:t>
      </w:r>
    </w:p>
    <w:p>
      <w:pPr>
        <w:pStyle w:val="Defpara"/>
      </w:pPr>
      <w:r>
        <w:lastRenderedPageBreak/>
        <w:tab/>
        <w:t>(b)</w:t>
      </w:r>
      <w:r>
        <w:tab/>
        <w:t xml:space="preserve">for a community titles scheme — has the meaning given in the </w:t>
      </w:r>
      <w:r>
        <w:rPr>
          <w:i/>
        </w:rPr>
        <w:t>Community Titles Act 2018</w:t>
      </w:r>
      <w:r>
        <w:t xml:space="preserve"> section 3(1);</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strata titles scheme</w:t>
      </w:r>
      <w:r>
        <w:t xml:space="preserve"> has the meaning given in the </w:t>
      </w:r>
      <w:r>
        <w:rPr>
          <w:i/>
        </w:rPr>
        <w:t>Strata Titles Act 1985</w:t>
      </w:r>
      <w:r>
        <w:t xml:space="preserve"> section 3(1);</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keepNext/>
      </w:pPr>
      <w:r>
        <w:tab/>
        <w:t>(4)</w:t>
      </w:r>
      <w:r>
        <w:tab/>
        <w:t xml:space="preserve">In this Part, a reference to land vested in a person or body includes a reference to land the care, control and management of </w:t>
      </w:r>
      <w:r>
        <w:lastRenderedPageBreak/>
        <w:t xml:space="preserve">which has been placed with the person or body under the </w:t>
      </w:r>
      <w:r>
        <w:rPr>
          <w:i/>
        </w:rPr>
        <w:t>Land Administration Act 1997</w:t>
      </w:r>
      <w:r>
        <w:t>.</w:t>
      </w:r>
    </w:p>
    <w:p>
      <w:pPr>
        <w:pStyle w:val="Footnotesection"/>
      </w:pPr>
      <w:r>
        <w:tab/>
        <w:t>[Regulation 16 amended: Gazette 13 Dec 2016 p. 5690; 14 Jun 2019 p. 1930; 31 Dec 2019 p. 4665; SL 2021/79 r. 10.]</w:t>
      </w:r>
    </w:p>
    <w:p>
      <w:pPr>
        <w:pStyle w:val="Heading5"/>
      </w:pPr>
      <w:bookmarkStart w:id="43" w:name="_Toc106179879"/>
      <w:r>
        <w:rPr>
          <w:rStyle w:val="CharSectno"/>
        </w:rPr>
        <w:t>17</w:t>
      </w:r>
      <w:r>
        <w:t>.</w:t>
      </w:r>
      <w:r>
        <w:tab/>
        <w:t>Concessional land</w:t>
      </w:r>
      <w:bookmarkEnd w:id="43"/>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lastRenderedPageBreak/>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lastRenderedPageBreak/>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44" w:name="_Toc106103896"/>
      <w:bookmarkStart w:id="45" w:name="_Toc106104124"/>
      <w:bookmarkStart w:id="46" w:name="_Toc106179652"/>
      <w:bookmarkStart w:id="47" w:name="_Toc106179880"/>
      <w:r>
        <w:rPr>
          <w:rStyle w:val="CharDivNo"/>
        </w:rPr>
        <w:t>Division 2</w:t>
      </w:r>
      <w:r>
        <w:t> — </w:t>
      </w:r>
      <w:r>
        <w:rPr>
          <w:rStyle w:val="CharDivText"/>
        </w:rPr>
        <w:t>Provisions of general application</w:t>
      </w:r>
      <w:bookmarkEnd w:id="44"/>
      <w:bookmarkEnd w:id="45"/>
      <w:bookmarkEnd w:id="46"/>
      <w:bookmarkEnd w:id="47"/>
    </w:p>
    <w:p>
      <w:pPr>
        <w:pStyle w:val="Heading5"/>
      </w:pPr>
      <w:bookmarkStart w:id="48" w:name="_Toc106179881"/>
      <w:r>
        <w:rPr>
          <w:rStyle w:val="CharSectno"/>
        </w:rPr>
        <w:t>18</w:t>
      </w:r>
      <w:r>
        <w:t>.</w:t>
      </w:r>
      <w:r>
        <w:tab/>
        <w:t>Application of this Division</w:t>
      </w:r>
      <w:bookmarkEnd w:id="48"/>
    </w:p>
    <w:p>
      <w:pPr>
        <w:pStyle w:val="Subsection"/>
      </w:pPr>
      <w:r>
        <w:tab/>
      </w:r>
      <w:r>
        <w:tab/>
        <w:t>This Division applies to water service charges applicable under Divisions 3, 4, 5 and 6.</w:t>
      </w:r>
    </w:p>
    <w:p>
      <w:pPr>
        <w:pStyle w:val="Heading5"/>
      </w:pPr>
      <w:bookmarkStart w:id="49" w:name="_Toc106179882"/>
      <w:r>
        <w:rPr>
          <w:rStyle w:val="CharSectno"/>
        </w:rPr>
        <w:t>19</w:t>
      </w:r>
      <w:r>
        <w:t>.</w:t>
      </w:r>
      <w:r>
        <w:tab/>
        <w:t>Payment of charges</w:t>
      </w:r>
      <w:bookmarkEnd w:id="49"/>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lastRenderedPageBreak/>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50" w:name="_Toc106179883"/>
      <w:r>
        <w:rPr>
          <w:rStyle w:val="CharSectno"/>
        </w:rPr>
        <w:t>20</w:t>
      </w:r>
      <w:r>
        <w:t>.</w:t>
      </w:r>
      <w:r>
        <w:tab/>
        <w:t>Permitted surcharge for using credit card or debit card</w:t>
      </w:r>
      <w:bookmarkEnd w:id="50"/>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51" w:name="_Toc106179884"/>
      <w:r>
        <w:rPr>
          <w:rStyle w:val="CharSectno"/>
        </w:rPr>
        <w:lastRenderedPageBreak/>
        <w:t>21</w:t>
      </w:r>
      <w:r>
        <w:t>.</w:t>
      </w:r>
      <w:r>
        <w:tab/>
        <w:t>Special payment arrangements</w:t>
      </w:r>
      <w:bookmarkEnd w:id="51"/>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52" w:name="_Toc106179885"/>
      <w:r>
        <w:rPr>
          <w:rStyle w:val="CharSectno"/>
        </w:rPr>
        <w:t>22</w:t>
      </w:r>
      <w:r>
        <w:t>.</w:t>
      </w:r>
      <w:r>
        <w:tab/>
        <w:t>Estimating quantity of water or wastewater supplied, discharged or drained</w:t>
      </w:r>
      <w:bookmarkEnd w:id="52"/>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lastRenderedPageBreak/>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53" w:name="_Toc106179886"/>
      <w:r>
        <w:rPr>
          <w:rStyle w:val="CharSectno"/>
        </w:rPr>
        <w:lastRenderedPageBreak/>
        <w:t>23</w:t>
      </w:r>
      <w:r>
        <w:t>.</w:t>
      </w:r>
      <w:r>
        <w:tab/>
        <w:t>Determining quality and quantity of trade waste discharged</w:t>
      </w:r>
      <w:bookmarkEnd w:id="53"/>
    </w:p>
    <w:p>
      <w:pPr>
        <w:pStyle w:val="Subsection"/>
        <w:keepNext/>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 xml:space="preserve">Metropolitan Water </w:t>
      </w:r>
      <w:r>
        <w:rPr>
          <w:i/>
        </w:rPr>
        <w:lastRenderedPageBreak/>
        <w:t>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54" w:name="_Toc106179887"/>
      <w:r>
        <w:rPr>
          <w:rStyle w:val="CharSectno"/>
        </w:rPr>
        <w:lastRenderedPageBreak/>
        <w:t>24</w:t>
      </w:r>
      <w:r>
        <w:t>.</w:t>
      </w:r>
      <w:r>
        <w:tab/>
        <w:t>Vacant land: minimum charges before revaluation</w:t>
      </w:r>
      <w:bookmarkEnd w:id="54"/>
    </w:p>
    <w:p>
      <w:pPr>
        <w:pStyle w:val="Subsection"/>
        <w:keepNext/>
      </w:pPr>
      <w:r>
        <w:tab/>
        <w:t>(1)</w:t>
      </w:r>
      <w:r>
        <w:tab/>
        <w:t xml:space="preserve">If — </w:t>
      </w:r>
    </w:p>
    <w:p>
      <w:pPr>
        <w:pStyle w:val="Indenta"/>
        <w:keepNext/>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55" w:name="_Toc106179888"/>
      <w:r>
        <w:rPr>
          <w:rStyle w:val="CharSectno"/>
        </w:rPr>
        <w:t>25</w:t>
      </w:r>
      <w:r>
        <w:t>.</w:t>
      </w:r>
      <w:r>
        <w:tab/>
        <w:t>Classification of land</w:t>
      </w:r>
      <w:bookmarkEnd w:id="55"/>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56" w:name="_Toc106179889"/>
      <w:r>
        <w:rPr>
          <w:rStyle w:val="CharSectno"/>
        </w:rPr>
        <w:lastRenderedPageBreak/>
        <w:t>26</w:t>
      </w:r>
      <w:r>
        <w:t>.</w:t>
      </w:r>
      <w:r>
        <w:tab/>
        <w:t>Classification of land: holiday accommodation</w:t>
      </w:r>
      <w:bookmarkEnd w:id="56"/>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57" w:name="_Toc106179890"/>
      <w:r>
        <w:rPr>
          <w:rStyle w:val="CharSectno"/>
        </w:rPr>
        <w:t>27</w:t>
      </w:r>
      <w:r>
        <w:t>.</w:t>
      </w:r>
      <w:r>
        <w:tab/>
        <w:t>Commercial caravan parks</w:t>
      </w:r>
      <w:bookmarkEnd w:id="57"/>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noProof/>
          <w:position w:val="-24"/>
        </w:rPr>
        <w:drawing>
          <wp:inline distT="0" distB="0" distL="0" distR="0">
            <wp:extent cx="2286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lastRenderedPageBreak/>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58" w:name="_Toc106179891"/>
      <w:r>
        <w:rPr>
          <w:rStyle w:val="CharSectno"/>
        </w:rPr>
        <w:t>28</w:t>
      </w:r>
      <w:r>
        <w:t>.</w:t>
      </w:r>
      <w:r>
        <w:tab/>
        <w:t>Maximum increases for various GRV based charges</w:t>
      </w:r>
      <w:bookmarkEnd w:id="58"/>
    </w:p>
    <w:p>
      <w:pPr>
        <w:pStyle w:val="Subsection"/>
      </w:pPr>
      <w:r>
        <w:tab/>
        <w:t>(1)</w:t>
      </w:r>
      <w:r>
        <w:tab/>
        <w:t>If, for a financial year, a water service charge calculated in respect of land under Schedule 4 item 2, 3 or 11 or Schedule 5 item 6 is more than 11.75% greater than the charge payable in respect of the land for the same service under the same circumstances in the previous financial year, the charge payable for the financial year cannot be more than 11.75%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w:t>
      </w:r>
      <w:r>
        <w:lastRenderedPageBreak/>
        <w:t xml:space="preserve">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 SL 2021/80 r. 6.]</w:t>
      </w:r>
    </w:p>
    <w:p>
      <w:pPr>
        <w:pStyle w:val="Ednotesection"/>
      </w:pPr>
      <w:r>
        <w:t>[</w:t>
      </w:r>
      <w:r>
        <w:rPr>
          <w:b/>
        </w:rPr>
        <w:t>28A.</w:t>
      </w:r>
      <w:r>
        <w:tab/>
        <w:t>Deleted: SL 2021/80 r. 7.]</w:t>
      </w:r>
    </w:p>
    <w:p>
      <w:pPr>
        <w:pStyle w:val="Heading5"/>
      </w:pPr>
      <w:bookmarkStart w:id="59" w:name="_Toc106179892"/>
      <w:r>
        <w:rPr>
          <w:rStyle w:val="CharSectno"/>
        </w:rPr>
        <w:t>29</w:t>
      </w:r>
      <w:r>
        <w:t>.</w:t>
      </w:r>
      <w:r>
        <w:tab/>
        <w:t>Interest accruing on overdue amounts</w:t>
      </w:r>
      <w:bookmarkEnd w:id="59"/>
    </w:p>
    <w:p>
      <w:pPr>
        <w:pStyle w:val="Subsection"/>
      </w:pPr>
      <w:r>
        <w:tab/>
      </w:r>
      <w:r>
        <w:tab/>
        <w:t xml:space="preserve">If an amount payable under this Part is overdue, interest accrues daily on any part of that amount unpaid after the day on which </w:t>
      </w:r>
      <w:r>
        <w:lastRenderedPageBreak/>
        <w:t xml:space="preserve">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60" w:name="_Toc106103909"/>
      <w:bookmarkStart w:id="61" w:name="_Toc106104137"/>
      <w:bookmarkStart w:id="62" w:name="_Toc106179665"/>
      <w:bookmarkStart w:id="63" w:name="_Toc106179893"/>
      <w:r>
        <w:rPr>
          <w:rStyle w:val="CharDivNo"/>
        </w:rPr>
        <w:t>Division 3</w:t>
      </w:r>
      <w:r>
        <w:t> — </w:t>
      </w:r>
      <w:r>
        <w:rPr>
          <w:rStyle w:val="CharDivText"/>
        </w:rPr>
        <w:t>Water supply charges</w:t>
      </w:r>
      <w:bookmarkEnd w:id="60"/>
      <w:bookmarkEnd w:id="61"/>
      <w:bookmarkEnd w:id="62"/>
      <w:bookmarkEnd w:id="63"/>
    </w:p>
    <w:p>
      <w:pPr>
        <w:pStyle w:val="Heading5"/>
      </w:pPr>
      <w:bookmarkStart w:id="64" w:name="_Toc106179894"/>
      <w:r>
        <w:rPr>
          <w:rStyle w:val="CharSectno"/>
        </w:rPr>
        <w:t>30</w:t>
      </w:r>
      <w:r>
        <w:t>.</w:t>
      </w:r>
      <w:r>
        <w:tab/>
        <w:t>Land connected to water supply works</w:t>
      </w:r>
      <w:bookmarkEnd w:id="64"/>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keepNext w:val="0"/>
      </w:pPr>
      <w:bookmarkStart w:id="65" w:name="_Toc106179895"/>
      <w:r>
        <w:rPr>
          <w:rStyle w:val="CharSectno"/>
        </w:rPr>
        <w:t>31</w:t>
      </w:r>
      <w:r>
        <w:t>.</w:t>
      </w:r>
      <w:r>
        <w:tab/>
        <w:t>Water supply charges</w:t>
      </w:r>
      <w:bookmarkEnd w:id="65"/>
    </w:p>
    <w:p>
      <w:pPr>
        <w:pStyle w:val="Subsection"/>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lastRenderedPageBreak/>
        <w:tab/>
        <w:t>(b)</w:t>
      </w:r>
      <w:r>
        <w:tab/>
        <w:t>is not provided in respect of land — the recipient of the service is liable for the charge.</w:t>
      </w:r>
    </w:p>
    <w:p>
      <w:pPr>
        <w:pStyle w:val="Subsection"/>
        <w:keepNext/>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66" w:name="_Toc106179896"/>
      <w:r>
        <w:rPr>
          <w:rStyle w:val="CharSectno"/>
        </w:rPr>
        <w:t>32</w:t>
      </w:r>
      <w:r>
        <w:t>.</w:t>
      </w:r>
      <w:r>
        <w:tab/>
        <w:t>Classification of land</w:t>
      </w:r>
      <w:bookmarkEnd w:id="66"/>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lastRenderedPageBreak/>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keepNext/>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lastRenderedPageBreak/>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w:t>
      </w:r>
    </w:p>
    <w:p>
      <w:pPr>
        <w:pStyle w:val="Heading5"/>
        <w:keepLines w:val="0"/>
        <w:widowControl w:val="0"/>
      </w:pPr>
      <w:bookmarkStart w:id="67" w:name="_Toc106179897"/>
      <w:r>
        <w:rPr>
          <w:rStyle w:val="CharSectno"/>
        </w:rPr>
        <w:lastRenderedPageBreak/>
        <w:t>33</w:t>
      </w:r>
      <w:r>
        <w:t>.</w:t>
      </w:r>
      <w:r>
        <w:tab/>
        <w:t>Change of occupancy during year</w:t>
      </w:r>
      <w:bookmarkEnd w:id="67"/>
    </w:p>
    <w:p>
      <w:pPr>
        <w:pStyle w:val="Subsection"/>
        <w:keepNext/>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keepNext/>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keepNext/>
      </w:pPr>
      <w:r>
        <w:tab/>
      </w:r>
      <w:r>
        <w:tab/>
      </w:r>
      <w:r>
        <w:rPr>
          <w:noProof/>
          <w:position w:val="-24"/>
        </w:rPr>
        <w:drawing>
          <wp:inline distT="0" distB="0" distL="0" distR="0">
            <wp:extent cx="228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w:t>
      </w:r>
    </w:p>
    <w:p>
      <w:pPr>
        <w:pStyle w:val="Heading5"/>
        <w:keepNext w:val="0"/>
        <w:keepLines w:val="0"/>
        <w:spacing w:before="160"/>
      </w:pPr>
      <w:bookmarkStart w:id="68" w:name="_Toc106179898"/>
      <w:r>
        <w:rPr>
          <w:rStyle w:val="CharSectno"/>
        </w:rPr>
        <w:t>34</w:t>
      </w:r>
      <w:r>
        <w:t>.</w:t>
      </w:r>
      <w:r>
        <w:tab/>
        <w:t>Concessions: consumption charges</w:t>
      </w:r>
      <w:bookmarkEnd w:id="68"/>
    </w:p>
    <w:p>
      <w:pPr>
        <w:pStyle w:val="Subsection"/>
      </w:pPr>
      <w:r>
        <w:tab/>
        <w:t>(1)</w:t>
      </w:r>
      <w:r>
        <w:tab/>
        <w:t xml:space="preserve">A person who is liable to pay a water supply charge set out in Schedule 3 item 25, 29 or 31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lastRenderedPageBreak/>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lastRenderedPageBreak/>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Footnotesection"/>
      </w:pPr>
      <w:r>
        <w:tab/>
        <w:t>[Regulation 34 amended: SL 2020/95 r. 7.]</w:t>
      </w:r>
    </w:p>
    <w:p>
      <w:pPr>
        <w:pStyle w:val="Heading5"/>
        <w:spacing w:before="180"/>
      </w:pPr>
      <w:bookmarkStart w:id="69" w:name="_Toc106179899"/>
      <w:r>
        <w:rPr>
          <w:rStyle w:val="CharSectno"/>
        </w:rPr>
        <w:t>35</w:t>
      </w:r>
      <w:r>
        <w:t>.</w:t>
      </w:r>
      <w:r>
        <w:tab/>
        <w:t>Concessions: certain occupiers of multi</w:t>
      </w:r>
      <w:r>
        <w:noBreakHyphen/>
        <w:t>unit developments</w:t>
      </w:r>
      <w:bookmarkEnd w:id="69"/>
    </w:p>
    <w:p>
      <w:pPr>
        <w:pStyle w:val="Subsection"/>
        <w:keepNext/>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lastRenderedPageBreak/>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lastRenderedPageBreak/>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70" w:name="_Toc106179900"/>
      <w:r>
        <w:rPr>
          <w:rStyle w:val="CharSectno"/>
        </w:rPr>
        <w:t>36</w:t>
      </w:r>
      <w:r>
        <w:t>.</w:t>
      </w:r>
      <w:r>
        <w:tab/>
        <w:t>Concessions: certain retirement village residents</w:t>
      </w:r>
      <w:bookmarkEnd w:id="70"/>
    </w:p>
    <w:p>
      <w:pPr>
        <w:pStyle w:val="Subsection"/>
        <w:keepNext/>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5"/>
      </w:pPr>
      <w:bookmarkStart w:id="71" w:name="_Toc106179901"/>
      <w:r>
        <w:rPr>
          <w:rStyle w:val="CharSectno"/>
        </w:rPr>
        <w:t>36A</w:t>
      </w:r>
      <w:r>
        <w:t>.</w:t>
      </w:r>
      <w:r>
        <w:tab/>
        <w:t>Water supplied through commercial standpipes within areas over which a water deficiency declaration applies</w:t>
      </w:r>
      <w:bookmarkEnd w:id="71"/>
    </w:p>
    <w:p>
      <w:pPr>
        <w:pStyle w:val="Subsection"/>
      </w:pPr>
      <w:r>
        <w:tab/>
        <w:t>(1)</w:t>
      </w:r>
      <w:r>
        <w:tab/>
        <w:t xml:space="preserve">In this regulation — </w:t>
      </w:r>
    </w:p>
    <w:p>
      <w:pPr>
        <w:pStyle w:val="Defstart"/>
        <w:rPr>
          <w:snapToGrid/>
        </w:rPr>
      </w:pPr>
      <w:r>
        <w:tab/>
      </w:r>
      <w:r>
        <w:rPr>
          <w:rStyle w:val="CharDefText"/>
        </w:rPr>
        <w:t>commercial standpipe</w:t>
      </w:r>
      <w:r>
        <w:rPr>
          <w:snapToGrid/>
        </w:rPr>
        <w:t xml:space="preserve"> means a standpipe, access to which is controlled by a local government or by the Water Corporation, that is — </w:t>
      </w:r>
    </w:p>
    <w:p>
      <w:pPr>
        <w:pStyle w:val="Defpara"/>
      </w:pPr>
      <w:r>
        <w:tab/>
        <w:t>(a)</w:t>
      </w:r>
      <w:r>
        <w:tab/>
        <w:t>of a meter size greater than 25 mm; and</w:t>
      </w:r>
    </w:p>
    <w:p>
      <w:pPr>
        <w:pStyle w:val="Defpara"/>
        <w:rPr>
          <w:sz w:val="20"/>
        </w:rPr>
      </w:pPr>
      <w:r>
        <w:tab/>
        <w:t>(b)</w:t>
      </w:r>
      <w:r>
        <w:tab/>
        <w:t>available for public use;</w:t>
      </w:r>
    </w:p>
    <w:p>
      <w:pPr>
        <w:pStyle w:val="Defstart"/>
        <w:rPr>
          <w:rStyle w:val="DraftersNotes"/>
          <w:b w:val="0"/>
          <w:i w:val="0"/>
          <w:sz w:val="24"/>
        </w:rPr>
      </w:pPr>
      <w:r>
        <w:lastRenderedPageBreak/>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p>
    <w:p>
      <w:pPr>
        <w:pStyle w:val="Subsection"/>
        <w:keepNext/>
      </w:pPr>
      <w:r>
        <w:tab/>
        <w:t>(2)</w:t>
      </w:r>
      <w:r>
        <w:tab/>
        <w:t xml:space="preserve">If water is supplied to a person through a commercial standpipe that is located within an area specified or described in a water deficiency declaration — </w:t>
      </w:r>
    </w:p>
    <w:p>
      <w:pPr>
        <w:pStyle w:val="Indenta"/>
      </w:pPr>
      <w:r>
        <w:tab/>
        <w:t>(a)</w:t>
      </w:r>
      <w:r>
        <w:tab/>
        <w:t>if the person is liable to pay a service charge pursuant to Schedule 3 item 11(1) — the person is liable to pay a service charge under Schedule 3 item 20 instead; and</w:t>
      </w:r>
    </w:p>
    <w:p>
      <w:pPr>
        <w:pStyle w:val="Indenta"/>
      </w:pPr>
      <w:r>
        <w:tab/>
        <w:t>(b)</w:t>
      </w:r>
      <w:r>
        <w:tab/>
        <w:t>if the person is liable to pay a consumption charge pursuant to Schedule 3 item 30(1)(d) — the person is liable to pay a consumption charge under Schedule 3 item 37 instead.</w:t>
      </w:r>
    </w:p>
    <w:p>
      <w:pPr>
        <w:pStyle w:val="Subsection"/>
      </w:pPr>
      <w:r>
        <w:tab/>
        <w:t>(3)</w:t>
      </w:r>
      <w:r>
        <w:tab/>
        <w:t>Subregulation (2) ceases to apply if the Minister notifies the Water Corporation that the water deficiency declaration is revoked.</w:t>
      </w:r>
    </w:p>
    <w:p>
      <w:pPr>
        <w:pStyle w:val="Subsection"/>
      </w:pPr>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p>
    <w:p>
      <w:pPr>
        <w:pStyle w:val="Footnotesection"/>
      </w:pPr>
      <w:r>
        <w:tab/>
        <w:t>[Regulation 36A inserted: SL 2020/95 r. 8.]</w:t>
      </w:r>
    </w:p>
    <w:p>
      <w:pPr>
        <w:pStyle w:val="Heading3"/>
        <w:keepNext w:val="0"/>
        <w:widowControl w:val="0"/>
      </w:pPr>
      <w:bookmarkStart w:id="72" w:name="_Toc106103918"/>
      <w:bookmarkStart w:id="73" w:name="_Toc106104146"/>
      <w:bookmarkStart w:id="74" w:name="_Toc106179674"/>
      <w:bookmarkStart w:id="75" w:name="_Toc106179902"/>
      <w:r>
        <w:rPr>
          <w:rStyle w:val="CharDivNo"/>
        </w:rPr>
        <w:t>Division 4</w:t>
      </w:r>
      <w:r>
        <w:t> — </w:t>
      </w:r>
      <w:r>
        <w:rPr>
          <w:rStyle w:val="CharDivText"/>
        </w:rPr>
        <w:t>Sewerage charges</w:t>
      </w:r>
      <w:bookmarkEnd w:id="72"/>
      <w:bookmarkEnd w:id="73"/>
      <w:bookmarkEnd w:id="74"/>
      <w:bookmarkEnd w:id="75"/>
    </w:p>
    <w:p>
      <w:pPr>
        <w:pStyle w:val="Heading5"/>
      </w:pPr>
      <w:bookmarkStart w:id="76" w:name="_Toc106179903"/>
      <w:r>
        <w:rPr>
          <w:rStyle w:val="CharSectno"/>
        </w:rPr>
        <w:t>37</w:t>
      </w:r>
      <w:r>
        <w:t>.</w:t>
      </w:r>
      <w:r>
        <w:tab/>
        <w:t>Land connected to sewerage works</w:t>
      </w:r>
      <w:bookmarkEnd w:id="76"/>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77" w:name="_Toc106179904"/>
      <w:r>
        <w:rPr>
          <w:rStyle w:val="CharSectno"/>
        </w:rPr>
        <w:lastRenderedPageBreak/>
        <w:t>38</w:t>
      </w:r>
      <w:r>
        <w:t>.</w:t>
      </w:r>
      <w:r>
        <w:tab/>
        <w:t>Sewerage areas</w:t>
      </w:r>
      <w:bookmarkEnd w:id="77"/>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pPr>
        <w:pStyle w:val="Heading5"/>
        <w:spacing w:before="180"/>
      </w:pPr>
      <w:bookmarkStart w:id="78" w:name="_Toc106179905"/>
      <w:r>
        <w:rPr>
          <w:rStyle w:val="CharSectno"/>
        </w:rPr>
        <w:t>39</w:t>
      </w:r>
      <w:r>
        <w:t>.</w:t>
      </w:r>
      <w:r>
        <w:tab/>
        <w:t>Sewerage charges</w:t>
      </w:r>
      <w:bookmarkEnd w:id="78"/>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 xml:space="preserve">If the Water Corporation is satisfied that it is practicable for sewerage works of the Water Corporation to be connected to a wastewater inlet on land then, for the purposes of </w:t>
      </w:r>
      <w:r>
        <w:lastRenderedPageBreak/>
        <w:t>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79" w:name="_Toc106179906"/>
      <w:r>
        <w:rPr>
          <w:rStyle w:val="CharSectno"/>
        </w:rPr>
        <w:t>40</w:t>
      </w:r>
      <w:r>
        <w:t>.</w:t>
      </w:r>
      <w:r>
        <w:tab/>
        <w:t>Classification of land</w:t>
      </w:r>
      <w:bookmarkEnd w:id="79"/>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 xml:space="preserve">the land is also used for the purpose of primary production, which includes use for the purpose of a farm, market garden, kennel, plant nursery, </w:t>
      </w:r>
      <w:r>
        <w:lastRenderedPageBreak/>
        <w:t>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lastRenderedPageBreak/>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80" w:name="_Toc106179907"/>
      <w:r>
        <w:rPr>
          <w:rStyle w:val="CharSectno"/>
        </w:rPr>
        <w:t>41</w:t>
      </w:r>
      <w:r>
        <w:t>.</w:t>
      </w:r>
      <w:r>
        <w:tab/>
        <w:t>Minimum charges: Schedule 4 Division 2</w:t>
      </w:r>
      <w:bookmarkEnd w:id="80"/>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keepNext w:val="0"/>
        <w:keepLines w:val="0"/>
      </w:pPr>
      <w:bookmarkStart w:id="81" w:name="_Toc106179908"/>
      <w:r>
        <w:rPr>
          <w:rStyle w:val="CharSectno"/>
        </w:rPr>
        <w:t>42</w:t>
      </w:r>
      <w:r>
        <w:t>.</w:t>
      </w:r>
      <w:r>
        <w:tab/>
        <w:t>Estimating charge, or volume discharged, for previous year: Schedule 4 Division 2</w:t>
      </w:r>
      <w:bookmarkEnd w:id="81"/>
    </w:p>
    <w:p>
      <w:pPr>
        <w:pStyle w:val="Subsection"/>
      </w:pPr>
      <w:r>
        <w:tab/>
        <w:t>(1)</w:t>
      </w:r>
      <w:r>
        <w:tab/>
        <w:t xml:space="preserve">In this regulation — </w:t>
      </w:r>
    </w:p>
    <w:p>
      <w:pPr>
        <w:pStyle w:val="Defstart"/>
      </w:pPr>
      <w:r>
        <w:tab/>
      </w:r>
      <w:r>
        <w:rPr>
          <w:rStyle w:val="CharDefText"/>
        </w:rPr>
        <w:t>combined charge</w:t>
      </w:r>
      <w:r>
        <w:t xml:space="preserve"> means a water service charge set out in Schedule 4 Division 2.</w:t>
      </w:r>
    </w:p>
    <w:p>
      <w:pPr>
        <w:pStyle w:val="Subsection"/>
      </w:pPr>
      <w:r>
        <w:lastRenderedPageBreak/>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82" w:name="_Toc106179909"/>
      <w:r>
        <w:rPr>
          <w:rStyle w:val="CharSectno"/>
        </w:rPr>
        <w:lastRenderedPageBreak/>
        <w:t>43</w:t>
      </w:r>
      <w:r>
        <w:t>.</w:t>
      </w:r>
      <w:r>
        <w:tab/>
        <w:t>Determining number of major fixtures: Schedule 4 Division 2</w:t>
      </w:r>
      <w:bookmarkEnd w:id="82"/>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83" w:name="_Toc106179910"/>
      <w:r>
        <w:rPr>
          <w:rStyle w:val="CharSectno"/>
        </w:rPr>
        <w:t>44</w:t>
      </w:r>
      <w:r>
        <w:t>.</w:t>
      </w:r>
      <w:r>
        <w:tab/>
        <w:t>Concessions: certain retirement village residents</w:t>
      </w:r>
      <w:bookmarkEnd w:id="83"/>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lastRenderedPageBreak/>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w:t>
      </w:r>
    </w:p>
    <w:p>
      <w:pPr>
        <w:pStyle w:val="Heading3"/>
        <w:spacing w:before="180"/>
      </w:pPr>
      <w:bookmarkStart w:id="84" w:name="_Toc106103927"/>
      <w:bookmarkStart w:id="85" w:name="_Toc106104155"/>
      <w:bookmarkStart w:id="86" w:name="_Toc106179683"/>
      <w:bookmarkStart w:id="87" w:name="_Toc106179911"/>
      <w:r>
        <w:rPr>
          <w:rStyle w:val="CharDivNo"/>
        </w:rPr>
        <w:t>Division 5</w:t>
      </w:r>
      <w:r>
        <w:t> — </w:t>
      </w:r>
      <w:r>
        <w:rPr>
          <w:rStyle w:val="CharDivText"/>
        </w:rPr>
        <w:t>Drainage charges</w:t>
      </w:r>
      <w:bookmarkEnd w:id="84"/>
      <w:bookmarkEnd w:id="85"/>
      <w:bookmarkEnd w:id="86"/>
      <w:bookmarkEnd w:id="87"/>
    </w:p>
    <w:p>
      <w:pPr>
        <w:pStyle w:val="Heading5"/>
        <w:spacing w:before="180"/>
      </w:pPr>
      <w:bookmarkStart w:id="88" w:name="_Toc106179912"/>
      <w:r>
        <w:rPr>
          <w:rStyle w:val="CharSectno"/>
        </w:rPr>
        <w:t>45</w:t>
      </w:r>
      <w:r>
        <w:t>.</w:t>
      </w:r>
      <w:r>
        <w:tab/>
        <w:t>Drainage areas</w:t>
      </w:r>
      <w:bookmarkEnd w:id="88"/>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 xml:space="preserve">Water Services Legislation Amendment and Repeal </w:t>
      </w:r>
      <w:r>
        <w:rPr>
          <w:i/>
        </w:rPr>
        <w:lastRenderedPageBreak/>
        <w:t>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89" w:name="_Toc106179913"/>
      <w:r>
        <w:rPr>
          <w:rStyle w:val="CharSectno"/>
        </w:rPr>
        <w:t>46</w:t>
      </w:r>
      <w:r>
        <w:t>.</w:t>
      </w:r>
      <w:r>
        <w:tab/>
        <w:t>Drainage areas: notice of and objections to proposed designation</w:t>
      </w:r>
      <w:bookmarkEnd w:id="89"/>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lastRenderedPageBreak/>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90" w:name="_Toc106179914"/>
      <w:r>
        <w:rPr>
          <w:rStyle w:val="CharSectno"/>
        </w:rPr>
        <w:t>47</w:t>
      </w:r>
      <w:r>
        <w:t>.</w:t>
      </w:r>
      <w:r>
        <w:tab/>
        <w:t>Drainage charges</w:t>
      </w:r>
      <w:bookmarkEnd w:id="90"/>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rural land</w:t>
      </w:r>
      <w:r>
        <w:t xml:space="preserve"> means land zoned for agricultural or rural use under — </w:t>
      </w:r>
    </w:p>
    <w:p>
      <w:pPr>
        <w:pStyle w:val="Defpara"/>
      </w:pPr>
      <w:r>
        <w:tab/>
        <w:t>(a)</w:t>
      </w:r>
      <w:r>
        <w:tab/>
        <w:t xml:space="preserve">a local planning scheme made under the </w:t>
      </w:r>
      <w:r>
        <w:rPr>
          <w:i/>
        </w:rPr>
        <w:t>Planning and Development Act 2005</w:t>
      </w:r>
      <w:r>
        <w:t>; or</w:t>
      </w:r>
    </w:p>
    <w:p>
      <w:pPr>
        <w:pStyle w:val="Defpara"/>
        <w:keepNext/>
      </w:pPr>
      <w:r>
        <w:lastRenderedPageBreak/>
        <w:tab/>
        <w:t>(b)</w:t>
      </w:r>
      <w:r>
        <w:tab/>
        <w:t xml:space="preserve">the Swan Valley Planning Scheme in force under the </w:t>
      </w:r>
      <w:r>
        <w:rPr>
          <w:i/>
        </w:rPr>
        <w:t>Swan Valley Planning Act 2020</w:t>
      </w:r>
      <w:r>
        <w:t>.</w:t>
      </w:r>
    </w:p>
    <w:p>
      <w:pPr>
        <w:pStyle w:val="Footnotesection"/>
      </w:pPr>
      <w:r>
        <w:tab/>
        <w:t>[Regulation 47 amended: SL 2021/128 r. 4.]</w:t>
      </w:r>
    </w:p>
    <w:p>
      <w:pPr>
        <w:pStyle w:val="Heading5"/>
      </w:pPr>
      <w:bookmarkStart w:id="91" w:name="_Toc106179915"/>
      <w:r>
        <w:rPr>
          <w:rStyle w:val="CharSectno"/>
        </w:rPr>
        <w:t>48</w:t>
      </w:r>
      <w:r>
        <w:t>.</w:t>
      </w:r>
      <w:r>
        <w:tab/>
        <w:t>Classification of land</w:t>
      </w:r>
      <w:bookmarkEnd w:id="91"/>
    </w:p>
    <w:p>
      <w:pPr>
        <w:pStyle w:val="Subsection"/>
        <w:keepNext/>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lastRenderedPageBreak/>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92" w:name="_Toc106179916"/>
      <w:r>
        <w:rPr>
          <w:rStyle w:val="CharSectno"/>
        </w:rPr>
        <w:t>49</w:t>
      </w:r>
      <w:r>
        <w:t>.</w:t>
      </w:r>
      <w:r>
        <w:tab/>
        <w:t>Concessions: certain retirement village residents</w:t>
      </w:r>
      <w:bookmarkEnd w:id="92"/>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93" w:name="_Toc106103933"/>
      <w:bookmarkStart w:id="94" w:name="_Toc106104161"/>
      <w:bookmarkStart w:id="95" w:name="_Toc106179689"/>
      <w:bookmarkStart w:id="96" w:name="_Toc106179917"/>
      <w:r>
        <w:rPr>
          <w:rStyle w:val="CharDivNo"/>
        </w:rPr>
        <w:t>Division 6</w:t>
      </w:r>
      <w:r>
        <w:t> — </w:t>
      </w:r>
      <w:r>
        <w:rPr>
          <w:rStyle w:val="CharDivText"/>
        </w:rPr>
        <w:t>Irrigation charges</w:t>
      </w:r>
      <w:bookmarkEnd w:id="93"/>
      <w:bookmarkEnd w:id="94"/>
      <w:bookmarkEnd w:id="95"/>
      <w:bookmarkEnd w:id="96"/>
    </w:p>
    <w:p>
      <w:pPr>
        <w:pStyle w:val="Heading5"/>
      </w:pPr>
      <w:bookmarkStart w:id="97" w:name="_Toc106179918"/>
      <w:r>
        <w:rPr>
          <w:rStyle w:val="CharSectno"/>
        </w:rPr>
        <w:t>50</w:t>
      </w:r>
      <w:r>
        <w:t>.</w:t>
      </w:r>
      <w:r>
        <w:tab/>
        <w:t>Charges for water supplied from certain irrigation works</w:t>
      </w:r>
      <w:bookmarkEnd w:id="97"/>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lastRenderedPageBreak/>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spacing w:before="200"/>
      </w:pPr>
      <w:bookmarkStart w:id="98" w:name="_Toc106103935"/>
      <w:bookmarkStart w:id="99" w:name="_Toc106104163"/>
      <w:bookmarkStart w:id="100" w:name="_Toc106179691"/>
      <w:bookmarkStart w:id="101" w:name="_Toc106179919"/>
      <w:r>
        <w:rPr>
          <w:rStyle w:val="CharDivNo"/>
        </w:rPr>
        <w:t>Division 7</w:t>
      </w:r>
      <w:r>
        <w:t> — </w:t>
      </w:r>
      <w:r>
        <w:rPr>
          <w:rStyle w:val="CharDivText"/>
        </w:rPr>
        <w:t>Miscellaneous charges</w:t>
      </w:r>
      <w:bookmarkEnd w:id="98"/>
      <w:bookmarkEnd w:id="99"/>
      <w:bookmarkEnd w:id="100"/>
      <w:bookmarkEnd w:id="101"/>
    </w:p>
    <w:p>
      <w:pPr>
        <w:pStyle w:val="Heading5"/>
        <w:keepLines w:val="0"/>
        <w:spacing w:before="180"/>
      </w:pPr>
      <w:bookmarkStart w:id="102" w:name="_Toc106179920"/>
      <w:r>
        <w:rPr>
          <w:rStyle w:val="CharSectno"/>
        </w:rPr>
        <w:t>51</w:t>
      </w:r>
      <w:r>
        <w:t>.</w:t>
      </w:r>
      <w:r>
        <w:tab/>
        <w:t>Miscellaneous charges</w:t>
      </w:r>
      <w:bookmarkEnd w:id="102"/>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103" w:name="_Toc106103937"/>
      <w:bookmarkStart w:id="104" w:name="_Toc106104165"/>
      <w:bookmarkStart w:id="105" w:name="_Toc106179693"/>
      <w:bookmarkStart w:id="106" w:name="_Toc106179921"/>
      <w:r>
        <w:rPr>
          <w:rStyle w:val="CharPartNo"/>
        </w:rPr>
        <w:lastRenderedPageBreak/>
        <w:t>Part 6</w:t>
      </w:r>
      <w:r>
        <w:t> — </w:t>
      </w:r>
      <w:r>
        <w:rPr>
          <w:rStyle w:val="CharPartText"/>
        </w:rPr>
        <w:t>Repeal of regulations and transitional provisions</w:t>
      </w:r>
      <w:bookmarkEnd w:id="103"/>
      <w:bookmarkEnd w:id="104"/>
      <w:bookmarkEnd w:id="105"/>
      <w:bookmarkEnd w:id="106"/>
    </w:p>
    <w:p>
      <w:pPr>
        <w:pStyle w:val="Heading3"/>
      </w:pPr>
      <w:bookmarkStart w:id="107" w:name="_Toc106103938"/>
      <w:bookmarkStart w:id="108" w:name="_Toc106104166"/>
      <w:bookmarkStart w:id="109" w:name="_Toc106179694"/>
      <w:bookmarkStart w:id="110" w:name="_Toc106179922"/>
      <w:r>
        <w:rPr>
          <w:rStyle w:val="CharDivNo"/>
        </w:rPr>
        <w:t>Division 1</w:t>
      </w:r>
      <w:r>
        <w:t> — </w:t>
      </w:r>
      <w:r>
        <w:rPr>
          <w:rStyle w:val="CharDivText"/>
          <w:i/>
        </w:rPr>
        <w:t>Water Services (Water Corporations Charges) Regulations 2013</w:t>
      </w:r>
      <w:r>
        <w:rPr>
          <w:rStyle w:val="CharDivText"/>
        </w:rPr>
        <w:t xml:space="preserve"> repealed</w:t>
      </w:r>
      <w:bookmarkEnd w:id="107"/>
      <w:bookmarkEnd w:id="108"/>
      <w:bookmarkEnd w:id="109"/>
      <w:bookmarkEnd w:id="110"/>
    </w:p>
    <w:p>
      <w:pPr>
        <w:pStyle w:val="Heading5"/>
        <w:rPr>
          <w:b w:val="0"/>
        </w:rPr>
      </w:pPr>
      <w:bookmarkStart w:id="111" w:name="_Toc106179923"/>
      <w:r>
        <w:rPr>
          <w:rStyle w:val="CharSectno"/>
        </w:rPr>
        <w:t>52</w:t>
      </w:r>
      <w:r>
        <w:t>.</w:t>
      </w:r>
      <w:r>
        <w:tab/>
      </w:r>
      <w:r>
        <w:rPr>
          <w:i/>
        </w:rPr>
        <w:t>Water Services (Water Corporations Charges) Regulations 2013</w:t>
      </w:r>
      <w:r>
        <w:t xml:space="preserve"> repealed</w:t>
      </w:r>
      <w:bookmarkEnd w:id="111"/>
    </w:p>
    <w:p>
      <w:pPr>
        <w:pStyle w:val="Subsection"/>
      </w:pPr>
      <w:r>
        <w:tab/>
      </w:r>
      <w:r>
        <w:tab/>
        <w:t xml:space="preserve">The </w:t>
      </w:r>
      <w:r>
        <w:rPr>
          <w:i/>
        </w:rPr>
        <w:t>Water Services (Water Corporations Charges) Regulations 2013</w:t>
      </w:r>
      <w:r>
        <w:t xml:space="preserve"> are repealed.</w:t>
      </w:r>
    </w:p>
    <w:p>
      <w:pPr>
        <w:pStyle w:val="Heading3"/>
      </w:pPr>
      <w:bookmarkStart w:id="112" w:name="_Toc106103940"/>
      <w:bookmarkStart w:id="113" w:name="_Toc106104168"/>
      <w:bookmarkStart w:id="114" w:name="_Toc106179696"/>
      <w:bookmarkStart w:id="115" w:name="_Toc106179924"/>
      <w:r>
        <w:rPr>
          <w:rStyle w:val="CharDivNo"/>
        </w:rPr>
        <w:t>Division 2</w:t>
      </w:r>
      <w:r>
        <w:t> — </w:t>
      </w:r>
      <w:r>
        <w:rPr>
          <w:rStyle w:val="CharDivText"/>
        </w:rPr>
        <w:t xml:space="preserve">Transitional provisions: </w:t>
      </w:r>
      <w:r>
        <w:rPr>
          <w:rStyle w:val="CharDivText"/>
          <w:i/>
        </w:rPr>
        <w:t>Water Services (Water Corporations Charges) Regulations 2014</w:t>
      </w:r>
      <w:bookmarkEnd w:id="112"/>
      <w:bookmarkEnd w:id="113"/>
      <w:bookmarkEnd w:id="114"/>
      <w:bookmarkEnd w:id="115"/>
    </w:p>
    <w:p>
      <w:pPr>
        <w:pStyle w:val="Footnoteheading"/>
      </w:pPr>
      <w:r>
        <w:tab/>
        <w:t>[Heading amended: Gazette 15 Oct 2014 p. 3943.]</w:t>
      </w:r>
    </w:p>
    <w:p>
      <w:pPr>
        <w:pStyle w:val="Heading4"/>
      </w:pPr>
      <w:bookmarkStart w:id="116" w:name="_Toc106103941"/>
      <w:bookmarkStart w:id="117" w:name="_Toc106104169"/>
      <w:bookmarkStart w:id="118" w:name="_Toc106179697"/>
      <w:bookmarkStart w:id="119" w:name="_Toc106179925"/>
      <w:r>
        <w:t>Subdivision 1 — General provisions</w:t>
      </w:r>
      <w:bookmarkEnd w:id="116"/>
      <w:bookmarkEnd w:id="117"/>
      <w:bookmarkEnd w:id="118"/>
      <w:bookmarkEnd w:id="119"/>
    </w:p>
    <w:p>
      <w:pPr>
        <w:pStyle w:val="Heading5"/>
        <w:rPr>
          <w:b w:val="0"/>
        </w:rPr>
      </w:pPr>
      <w:bookmarkStart w:id="120" w:name="_Toc106179926"/>
      <w:r>
        <w:rPr>
          <w:rStyle w:val="CharSectno"/>
        </w:rPr>
        <w:t>53</w:t>
      </w:r>
      <w:r>
        <w:t>.</w:t>
      </w:r>
      <w:r>
        <w:tab/>
        <w:t xml:space="preserve">Application of the </w:t>
      </w:r>
      <w:r>
        <w:rPr>
          <w:i/>
        </w:rPr>
        <w:t>Interpretation Act 1984</w:t>
      </w:r>
      <w:bookmarkEnd w:id="120"/>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121" w:name="_Toc106179927"/>
      <w:r>
        <w:rPr>
          <w:rStyle w:val="CharSectno"/>
        </w:rPr>
        <w:t>54</w:t>
      </w:r>
      <w:r>
        <w:t>.</w:t>
      </w:r>
      <w:r>
        <w:tab/>
        <w:t>Liability to water service charges</w:t>
      </w:r>
      <w:bookmarkEnd w:id="121"/>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122" w:name="_Toc106179928"/>
      <w:r>
        <w:rPr>
          <w:rStyle w:val="CharSectno"/>
        </w:rPr>
        <w:t>55</w:t>
      </w:r>
      <w:r>
        <w:t>.</w:t>
      </w:r>
      <w:r>
        <w:tab/>
        <w:t>Continuing effect of things done before 1 July 2014</w:t>
      </w:r>
      <w:bookmarkEnd w:id="122"/>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xml:space="preserve">) before </w:t>
      </w:r>
      <w:r>
        <w:lastRenderedPageBreak/>
        <w:t>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123" w:name="_Toc106179929"/>
      <w:r>
        <w:rPr>
          <w:rStyle w:val="CharSectno"/>
        </w:rPr>
        <w:t>56</w:t>
      </w:r>
      <w:r>
        <w:t>.</w:t>
      </w:r>
      <w:r>
        <w:tab/>
        <w:t>Relationship between Subdivision 1 and Subdivision 2</w:t>
      </w:r>
      <w:bookmarkEnd w:id="123"/>
    </w:p>
    <w:p>
      <w:pPr>
        <w:pStyle w:val="Subsection"/>
      </w:pPr>
      <w:r>
        <w:tab/>
      </w:r>
      <w:r>
        <w:tab/>
        <w:t>The generality of the provisions in this Subdivision is not limited by the specificity of the provisions in Subdivision 2.</w:t>
      </w:r>
    </w:p>
    <w:p>
      <w:pPr>
        <w:pStyle w:val="Heading4"/>
      </w:pPr>
      <w:bookmarkStart w:id="124" w:name="_Toc106103946"/>
      <w:bookmarkStart w:id="125" w:name="_Toc106104174"/>
      <w:bookmarkStart w:id="126" w:name="_Toc106179702"/>
      <w:bookmarkStart w:id="127" w:name="_Toc106179930"/>
      <w:r>
        <w:t>Subdivision 2 — Specific provisions</w:t>
      </w:r>
      <w:bookmarkEnd w:id="124"/>
      <w:bookmarkEnd w:id="125"/>
      <w:bookmarkEnd w:id="126"/>
      <w:bookmarkEnd w:id="127"/>
    </w:p>
    <w:p>
      <w:pPr>
        <w:pStyle w:val="Heading5"/>
      </w:pPr>
      <w:bookmarkStart w:id="128" w:name="_Toc106179931"/>
      <w:r>
        <w:rPr>
          <w:rStyle w:val="CharSectno"/>
        </w:rPr>
        <w:t>57</w:t>
      </w:r>
      <w:r>
        <w:t>.</w:t>
      </w:r>
      <w:r>
        <w:tab/>
        <w:t>Commencement of these regulations during charge period</w:t>
      </w:r>
      <w:bookmarkEnd w:id="128"/>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129" w:name="_Toc106179932"/>
      <w:r>
        <w:rPr>
          <w:rStyle w:val="CharSectno"/>
        </w:rPr>
        <w:t>58</w:t>
      </w:r>
      <w:r>
        <w:t>.</w:t>
      </w:r>
      <w:r>
        <w:tab/>
        <w:t>Special payment arrangements</w:t>
      </w:r>
      <w:bookmarkEnd w:id="129"/>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lastRenderedPageBreak/>
        <w:tab/>
        <w:t>(b)</w:t>
      </w:r>
      <w:r>
        <w:tab/>
        <w:t>in relation to the corresponding charge or charges under these regulations.</w:t>
      </w:r>
    </w:p>
    <w:p>
      <w:pPr>
        <w:pStyle w:val="Heading5"/>
      </w:pPr>
      <w:bookmarkStart w:id="130" w:name="_Toc106179933"/>
      <w:r>
        <w:rPr>
          <w:rStyle w:val="CharSectno"/>
        </w:rPr>
        <w:t>59</w:t>
      </w:r>
      <w:r>
        <w:t>.</w:t>
      </w:r>
      <w:r>
        <w:tab/>
        <w:t>Commercial caravan parks</w:t>
      </w:r>
      <w:bookmarkEnd w:id="130"/>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131" w:name="_Toc106179934"/>
      <w:r>
        <w:rPr>
          <w:rStyle w:val="CharSectno"/>
        </w:rPr>
        <w:t>60</w:t>
      </w:r>
      <w:r>
        <w:t>.</w:t>
      </w:r>
      <w:r>
        <w:tab/>
        <w:t>Certain charges and discharge volumes before 1 July 2014</w:t>
      </w:r>
      <w:bookmarkEnd w:id="131"/>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132" w:name="_Toc106179935"/>
      <w:r>
        <w:rPr>
          <w:rStyle w:val="CharSectno"/>
        </w:rPr>
        <w:t>61</w:t>
      </w:r>
      <w:r>
        <w:t>.</w:t>
      </w:r>
      <w:r>
        <w:tab/>
        <w:t>Concessions: r. 34 and 35</w:t>
      </w:r>
      <w:bookmarkEnd w:id="132"/>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lastRenderedPageBreak/>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133" w:name="_Toc106103952"/>
      <w:bookmarkStart w:id="134" w:name="_Toc106104180"/>
      <w:bookmarkStart w:id="135" w:name="_Toc106179708"/>
      <w:bookmarkStart w:id="136" w:name="_Toc106179936"/>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133"/>
      <w:bookmarkEnd w:id="134"/>
      <w:bookmarkEnd w:id="135"/>
      <w:bookmarkEnd w:id="136"/>
    </w:p>
    <w:p>
      <w:pPr>
        <w:pStyle w:val="Footnoteheading"/>
      </w:pPr>
      <w:r>
        <w:tab/>
        <w:t>[Heading inserted: Gazette 15 Oct 2014 p. 3944.]</w:t>
      </w:r>
    </w:p>
    <w:p>
      <w:pPr>
        <w:pStyle w:val="Heading5"/>
      </w:pPr>
      <w:bookmarkStart w:id="137" w:name="_Toc106179937"/>
      <w:r>
        <w:rPr>
          <w:rStyle w:val="CharSectno"/>
        </w:rPr>
        <w:t>62</w:t>
      </w:r>
      <w:r>
        <w:t>.</w:t>
      </w:r>
      <w:r>
        <w:tab/>
        <w:t>Application of r. 5</w:t>
      </w:r>
      <w:bookmarkEnd w:id="137"/>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138" w:name="_Toc106179938"/>
      <w:r>
        <w:rPr>
          <w:rStyle w:val="CharSectno"/>
        </w:rPr>
        <w:t>63</w:t>
      </w:r>
      <w:r>
        <w:t>.</w:t>
      </w:r>
      <w:r>
        <w:tab/>
        <w:t>Reduction, waiver or refund of certain charges</w:t>
      </w:r>
      <w:bookmarkEnd w:id="138"/>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lastRenderedPageBreak/>
        <w:tab/>
        <w:t>(4)</w:t>
      </w:r>
      <w:r>
        <w:tab/>
        <w:t>A refund may be provided in the form of a credit against future water service charges.</w:t>
      </w:r>
    </w:p>
    <w:p>
      <w:pPr>
        <w:pStyle w:val="Footnotesection"/>
      </w:pPr>
      <w:r>
        <w:tab/>
        <w:t>[Regulation 63 inserted: Gazette 15 Oct 2014 p. 3944.]</w:t>
      </w:r>
    </w:p>
    <w:p>
      <w:pPr>
        <w:sectPr>
          <w:headerReference w:type="even" r:id="rId23"/>
          <w:head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39" w:name="_Toc106103955"/>
      <w:bookmarkStart w:id="140" w:name="_Toc106104183"/>
      <w:bookmarkStart w:id="141" w:name="_Toc106179711"/>
      <w:bookmarkStart w:id="142" w:name="_Toc106179939"/>
      <w:r>
        <w:rPr>
          <w:rStyle w:val="CharSchNo"/>
        </w:rPr>
        <w:lastRenderedPageBreak/>
        <w:t>Schedule 1</w:t>
      </w:r>
      <w:r>
        <w:t> — </w:t>
      </w:r>
      <w:r>
        <w:rPr>
          <w:rStyle w:val="CharSchText"/>
        </w:rPr>
        <w:t>Charges for Bunbury Water Corporation</w:t>
      </w:r>
      <w:bookmarkEnd w:id="139"/>
      <w:bookmarkEnd w:id="140"/>
      <w:bookmarkEnd w:id="141"/>
      <w:bookmarkEnd w:id="142"/>
    </w:p>
    <w:p>
      <w:pPr>
        <w:pStyle w:val="yShoulderClause"/>
      </w:pPr>
      <w:r>
        <w:t>[r. 7]</w:t>
      </w:r>
    </w:p>
    <w:p>
      <w:pPr>
        <w:pStyle w:val="yFootnoteheading"/>
      </w:pPr>
      <w:r>
        <w:tab/>
        <w:t>[Heading inserted: SL 2021/80 r. 8.]</w:t>
      </w:r>
    </w:p>
    <w:p>
      <w:pPr>
        <w:pStyle w:val="yHeading3"/>
      </w:pPr>
      <w:bookmarkStart w:id="143" w:name="_Toc106103956"/>
      <w:bookmarkStart w:id="144" w:name="_Toc106104184"/>
      <w:bookmarkStart w:id="145" w:name="_Toc106179712"/>
      <w:bookmarkStart w:id="146" w:name="_Toc106179940"/>
      <w:r>
        <w:rPr>
          <w:rStyle w:val="CharSDivNo"/>
        </w:rPr>
        <w:t>Division 1</w:t>
      </w:r>
      <w:r>
        <w:t> — </w:t>
      </w:r>
      <w:r>
        <w:rPr>
          <w:rStyle w:val="CharSDivText"/>
        </w:rPr>
        <w:t>Service charges</w:t>
      </w:r>
      <w:bookmarkEnd w:id="143"/>
      <w:bookmarkEnd w:id="144"/>
      <w:bookmarkEnd w:id="145"/>
      <w:bookmarkEnd w:id="146"/>
    </w:p>
    <w:p>
      <w:pPr>
        <w:pStyle w:val="yFootnoteheading"/>
      </w:pPr>
      <w:r>
        <w:tab/>
        <w:t>[Heading inserted: SL 2021/80 r. 8.]</w:t>
      </w:r>
    </w:p>
    <w:p>
      <w:pPr>
        <w:pStyle w:val="yHeading5"/>
      </w:pPr>
      <w:bookmarkStart w:id="147" w:name="_Toc106179941"/>
      <w:r>
        <w:t>1.</w:t>
      </w:r>
      <w:r>
        <w:tab/>
        <w:t>Service charges for 2021/22 and subsequent years</w:t>
      </w:r>
      <w:bookmarkEnd w:id="147"/>
    </w:p>
    <w:p>
      <w:pPr>
        <w:pStyle w:val="ySubsection"/>
      </w:pPr>
      <w:r>
        <w:tab/>
      </w:r>
      <w:r>
        <w:tab/>
        <w:t>The charges set out in this Division apply for water supply services provided in the 2021/22 financial year and each subsequent year.</w:t>
      </w:r>
    </w:p>
    <w:p>
      <w:pPr>
        <w:pStyle w:val="yHeading5"/>
      </w:pPr>
      <w:bookmarkStart w:id="148" w:name="_Toc106179942"/>
      <w:r>
        <w:t>2.</w:t>
      </w:r>
      <w:r>
        <w:tab/>
        <w:t>Residential lots</w:t>
      </w:r>
      <w:bookmarkEnd w:id="148"/>
    </w:p>
    <w:p>
      <w:pPr>
        <w:pStyle w:val="ySubsection"/>
        <w:tabs>
          <w:tab w:val="right" w:leader="dot" w:pos="6804"/>
        </w:tabs>
      </w:pPr>
      <w:r>
        <w:tab/>
      </w:r>
      <w:r>
        <w:tab/>
        <w:t xml:space="preserve">For a residential lot, the charge </w:t>
      </w:r>
      <w:r>
        <w:rPr>
          <w:spacing w:val="-2"/>
          <w:szCs w:val="22"/>
        </w:rPr>
        <w:t>is,</w:t>
      </w:r>
      <w:r>
        <w:rPr>
          <w:spacing w:val="-2"/>
          <w:szCs w:val="22"/>
        </w:rPr>
        <w:br/>
        <w:t>for each dwelling on the lot</w:t>
      </w:r>
      <w:r>
        <w:t xml:space="preserve"> </w:t>
      </w:r>
      <w:r>
        <w:tab/>
        <w:t>$256.30</w:t>
      </w:r>
    </w:p>
    <w:p>
      <w:pPr>
        <w:pStyle w:val="yHeading5"/>
      </w:pPr>
      <w:bookmarkStart w:id="149" w:name="_Toc106179943"/>
      <w:r>
        <w:t>3.</w:t>
      </w:r>
      <w:r>
        <w:tab/>
        <w:t>Non</w:t>
      </w:r>
      <w:r>
        <w:noBreakHyphen/>
        <w:t>residential lots</w:t>
      </w:r>
      <w:bookmarkEnd w:id="149"/>
    </w:p>
    <w:p>
      <w:pPr>
        <w:pStyle w:val="ySubsection"/>
      </w:pPr>
      <w:r>
        <w:tab/>
      </w:r>
      <w:r>
        <w:tab/>
        <w:t>For a non</w:t>
      </w:r>
      <w:r>
        <w:noBreakHyphen/>
        <w:t>residential lot, the charge, according to the size of the meter, is —</w:t>
      </w:r>
    </w:p>
    <w:p>
      <w:pPr>
        <w:pStyle w:val="yMiscellaneousBody"/>
        <w:tabs>
          <w:tab w:val="right" w:leader="dot" w:pos="6804"/>
        </w:tabs>
        <w:ind w:left="1560" w:hanging="114"/>
      </w:pPr>
      <w:r>
        <w:tab/>
        <w:t xml:space="preserve">20 mm </w:t>
      </w:r>
      <w:r>
        <w:tab/>
        <w:t>$264.60</w:t>
      </w:r>
    </w:p>
    <w:p>
      <w:pPr>
        <w:pStyle w:val="yMiscellaneousBody"/>
        <w:tabs>
          <w:tab w:val="right" w:leader="dot" w:pos="6804"/>
        </w:tabs>
        <w:ind w:left="1560" w:hanging="114"/>
      </w:pPr>
      <w:r>
        <w:tab/>
        <w:t xml:space="preserve">25 mm </w:t>
      </w:r>
      <w:r>
        <w:tab/>
        <w:t>$412.80</w:t>
      </w:r>
    </w:p>
    <w:p>
      <w:pPr>
        <w:pStyle w:val="yMiscellaneousBody"/>
        <w:tabs>
          <w:tab w:val="right" w:leader="dot" w:pos="6804"/>
        </w:tabs>
        <w:ind w:left="1560" w:hanging="114"/>
      </w:pPr>
      <w:r>
        <w:tab/>
        <w:t xml:space="preserve">40 mm </w:t>
      </w:r>
      <w:r>
        <w:tab/>
        <w:t>$1 058.60</w:t>
      </w:r>
    </w:p>
    <w:p>
      <w:pPr>
        <w:pStyle w:val="yMiscellaneousBody"/>
        <w:tabs>
          <w:tab w:val="right" w:leader="dot" w:pos="6804"/>
        </w:tabs>
        <w:ind w:left="1560" w:hanging="114"/>
      </w:pPr>
      <w:r>
        <w:tab/>
        <w:t xml:space="preserve">50 mm </w:t>
      </w:r>
      <w:r>
        <w:tab/>
        <w:t>$1 654.10</w:t>
      </w:r>
    </w:p>
    <w:p>
      <w:pPr>
        <w:pStyle w:val="yMiscellaneousBody"/>
        <w:tabs>
          <w:tab w:val="right" w:leader="dot" w:pos="6804"/>
        </w:tabs>
        <w:ind w:left="1560" w:hanging="114"/>
      </w:pPr>
      <w:r>
        <w:tab/>
        <w:t xml:space="preserve">80 mm </w:t>
      </w:r>
      <w:r>
        <w:tab/>
        <w:t>$4 234.40</w:t>
      </w:r>
    </w:p>
    <w:p>
      <w:pPr>
        <w:pStyle w:val="yMiscellaneousBody"/>
        <w:tabs>
          <w:tab w:val="right" w:leader="dot" w:pos="6804"/>
        </w:tabs>
        <w:ind w:left="1560" w:hanging="114"/>
      </w:pPr>
      <w:r>
        <w:tab/>
        <w:t xml:space="preserve">100 mm </w:t>
      </w:r>
      <w:r>
        <w:tab/>
        <w:t>$6 616.30</w:t>
      </w:r>
    </w:p>
    <w:p>
      <w:pPr>
        <w:pStyle w:val="yMiscellaneousBody"/>
        <w:tabs>
          <w:tab w:val="right" w:leader="dot" w:pos="6804"/>
        </w:tabs>
        <w:ind w:left="1560" w:hanging="114"/>
      </w:pPr>
      <w:r>
        <w:tab/>
        <w:t xml:space="preserve">150 mm </w:t>
      </w:r>
      <w:r>
        <w:tab/>
        <w:t>$14 886.70</w:t>
      </w:r>
    </w:p>
    <w:p>
      <w:pPr>
        <w:pStyle w:val="yHeading5"/>
      </w:pPr>
      <w:bookmarkStart w:id="150" w:name="_Toc106179944"/>
      <w:r>
        <w:t>4.</w:t>
      </w:r>
      <w:r>
        <w:tab/>
        <w:t>Fire service connections</w:t>
      </w:r>
      <w:bookmarkEnd w:id="150"/>
    </w:p>
    <w:p>
      <w:pPr>
        <w:pStyle w:val="ySubsection"/>
      </w:pPr>
      <w:r>
        <w:tab/>
      </w:r>
      <w:r>
        <w:tab/>
        <w:t>For a fire service connection, the charge, according to the size of the meter, is —</w:t>
      </w:r>
    </w:p>
    <w:p>
      <w:pPr>
        <w:pStyle w:val="yMiscellaneousBody"/>
        <w:tabs>
          <w:tab w:val="right" w:leader="dot" w:pos="6804"/>
        </w:tabs>
        <w:ind w:left="1560" w:hanging="114"/>
      </w:pPr>
      <w:r>
        <w:tab/>
        <w:t xml:space="preserve">25 mm </w:t>
      </w:r>
      <w:r>
        <w:tab/>
        <w:t>$150.50</w:t>
      </w:r>
    </w:p>
    <w:p>
      <w:pPr>
        <w:pStyle w:val="yMiscellaneousBody"/>
        <w:tabs>
          <w:tab w:val="right" w:leader="dot" w:pos="6804"/>
        </w:tabs>
        <w:ind w:left="1560" w:hanging="114"/>
      </w:pPr>
      <w:r>
        <w:tab/>
        <w:t xml:space="preserve">40 mm </w:t>
      </w:r>
      <w:r>
        <w:tab/>
        <w:t>$240.80</w:t>
      </w:r>
    </w:p>
    <w:p>
      <w:pPr>
        <w:pStyle w:val="yMiscellaneousBody"/>
        <w:tabs>
          <w:tab w:val="right" w:leader="dot" w:pos="6804"/>
        </w:tabs>
        <w:ind w:left="1560" w:hanging="114"/>
      </w:pPr>
      <w:r>
        <w:lastRenderedPageBreak/>
        <w:tab/>
        <w:t xml:space="preserve">50 mm </w:t>
      </w:r>
      <w:r>
        <w:tab/>
        <w:t>$301.00</w:t>
      </w:r>
    </w:p>
    <w:p>
      <w:pPr>
        <w:pStyle w:val="yMiscellaneousBody"/>
        <w:tabs>
          <w:tab w:val="right" w:leader="dot" w:pos="6804"/>
        </w:tabs>
        <w:ind w:left="1560" w:hanging="114"/>
      </w:pPr>
      <w:r>
        <w:tab/>
        <w:t xml:space="preserve">100 mm </w:t>
      </w:r>
      <w:r>
        <w:tab/>
        <w:t>$602.10</w:t>
      </w:r>
    </w:p>
    <w:p>
      <w:pPr>
        <w:pStyle w:val="yMiscellaneousBody"/>
        <w:tabs>
          <w:tab w:val="right" w:leader="dot" w:pos="6804"/>
        </w:tabs>
        <w:ind w:left="1560" w:hanging="114"/>
      </w:pPr>
      <w:r>
        <w:tab/>
        <w:t xml:space="preserve">150 mm </w:t>
      </w:r>
      <w:r>
        <w:tab/>
        <w:t>$903.10</w:t>
      </w:r>
    </w:p>
    <w:p>
      <w:pPr>
        <w:pStyle w:val="yMiscellaneousBody"/>
        <w:tabs>
          <w:tab w:val="right" w:leader="dot" w:pos="6804"/>
        </w:tabs>
        <w:ind w:left="1560" w:hanging="114"/>
      </w:pPr>
      <w:r>
        <w:tab/>
        <w:t xml:space="preserve">200 mm </w:t>
      </w:r>
      <w:r>
        <w:tab/>
        <w:t>$1 204.20</w:t>
      </w:r>
    </w:p>
    <w:p>
      <w:pPr>
        <w:pStyle w:val="yFootnotesection"/>
      </w:pPr>
      <w:r>
        <w:tab/>
        <w:t>[Division 1 inserted: SL 2021/80 r. 8; amended: SL 2021/144 r. 4.]</w:t>
      </w:r>
    </w:p>
    <w:p>
      <w:pPr>
        <w:pStyle w:val="yHeading3"/>
      </w:pPr>
      <w:bookmarkStart w:id="151" w:name="_Toc106103961"/>
      <w:bookmarkStart w:id="152" w:name="_Toc106104189"/>
      <w:bookmarkStart w:id="153" w:name="_Toc106179717"/>
      <w:bookmarkStart w:id="154" w:name="_Toc106179945"/>
      <w:r>
        <w:rPr>
          <w:rStyle w:val="CharSDivNo"/>
        </w:rPr>
        <w:t>Division 2</w:t>
      </w:r>
      <w:r>
        <w:t> — </w:t>
      </w:r>
      <w:r>
        <w:rPr>
          <w:rStyle w:val="CharSDivText"/>
        </w:rPr>
        <w:t>Consumption charges</w:t>
      </w:r>
      <w:bookmarkEnd w:id="151"/>
      <w:bookmarkEnd w:id="152"/>
      <w:bookmarkEnd w:id="153"/>
      <w:bookmarkEnd w:id="154"/>
    </w:p>
    <w:p>
      <w:pPr>
        <w:pStyle w:val="yFootnoteheading"/>
      </w:pPr>
      <w:r>
        <w:tab/>
        <w:t>[Heading inserted: SL 2021/80 r. 8.]</w:t>
      </w:r>
    </w:p>
    <w:p>
      <w:pPr>
        <w:pStyle w:val="yHeading5"/>
      </w:pPr>
      <w:bookmarkStart w:id="155" w:name="_Toc106179946"/>
      <w:r>
        <w:t>5.</w:t>
      </w:r>
      <w:r>
        <w:tab/>
        <w:t>Consumption charges for 2021/22 and subsequent years</w:t>
      </w:r>
      <w:bookmarkEnd w:id="155"/>
    </w:p>
    <w:p>
      <w:pPr>
        <w:pStyle w:val="ySubsection"/>
      </w:pPr>
      <w:r>
        <w:tab/>
      </w:r>
      <w:r>
        <w:tab/>
        <w:t>The charges set out in this Division apply for water supplied in the 2021/22 financial year and each subsequent year.</w:t>
      </w:r>
    </w:p>
    <w:p>
      <w:pPr>
        <w:pStyle w:val="yHeading5"/>
      </w:pPr>
      <w:bookmarkStart w:id="156" w:name="_Toc106179947"/>
      <w:r>
        <w:t>6.</w:t>
      </w:r>
      <w:r>
        <w:tab/>
        <w:t>Residential lots</w:t>
      </w:r>
      <w:bookmarkEnd w:id="156"/>
    </w:p>
    <w:p>
      <w:pPr>
        <w:pStyle w:val="ySubsection"/>
      </w:pPr>
      <w:r>
        <w:tab/>
        <w:t>(1)</w:t>
      </w:r>
      <w:r>
        <w:tab/>
        <w:t>For each kilolitre of water supplied to a residential lot, the charge is —</w:t>
      </w:r>
    </w:p>
    <w:p>
      <w:pPr>
        <w:pStyle w:val="yMiscellaneousBody"/>
        <w:tabs>
          <w:tab w:val="right" w:leader="dot" w:pos="6804"/>
        </w:tabs>
        <w:ind w:left="1560" w:hanging="114"/>
      </w:pPr>
      <w:r>
        <w:tab/>
        <w:t xml:space="preserve">up to 150 kL </w:t>
      </w:r>
      <w:r>
        <w:tab/>
        <w:t>$1.06</w:t>
      </w:r>
    </w:p>
    <w:p>
      <w:pPr>
        <w:pStyle w:val="yMiscellaneousBody"/>
        <w:tabs>
          <w:tab w:val="right" w:leader="dot" w:pos="6804"/>
        </w:tabs>
        <w:ind w:left="1560" w:hanging="114"/>
      </w:pPr>
      <w:r>
        <w:tab/>
        <w:t xml:space="preserve">over 150 but not over 350 kL </w:t>
      </w:r>
      <w:r>
        <w:tab/>
        <w:t>$1.97</w:t>
      </w:r>
    </w:p>
    <w:p>
      <w:pPr>
        <w:pStyle w:val="yMiscellaneousBody"/>
        <w:tabs>
          <w:tab w:val="right" w:leader="dot" w:pos="6804"/>
        </w:tabs>
        <w:ind w:left="1560" w:hanging="114"/>
      </w:pPr>
      <w:r>
        <w:tab/>
        <w:t xml:space="preserve">over 350 but not over 500 kL </w:t>
      </w:r>
      <w:r>
        <w:tab/>
        <w:t>$2.81</w:t>
      </w:r>
    </w:p>
    <w:p>
      <w:pPr>
        <w:pStyle w:val="yMiscellaneousBody"/>
        <w:tabs>
          <w:tab w:val="right" w:leader="dot" w:pos="6804"/>
        </w:tabs>
        <w:ind w:left="1560" w:hanging="114"/>
      </w:pPr>
      <w:r>
        <w:tab/>
        <w:t xml:space="preserve">over 500 kL </w:t>
      </w:r>
      <w:r>
        <w:tab/>
        <w:t>$3.49</w:t>
      </w:r>
    </w:p>
    <w:p>
      <w:pPr>
        <w:pStyle w:val="ySubsection"/>
      </w:pPr>
      <w:r>
        <w:tab/>
        <w:t>(2)</w:t>
      </w:r>
      <w:r>
        <w:tab/>
        <w:t>The volumetric ranges in this item have effect by reference to the volume of water supplied in the current consumption year.</w:t>
      </w:r>
    </w:p>
    <w:p>
      <w:pPr>
        <w:pStyle w:val="yHeading5"/>
      </w:pPr>
      <w:bookmarkStart w:id="157" w:name="_Toc106179948"/>
      <w:r>
        <w:t>7.</w:t>
      </w:r>
      <w:r>
        <w:tab/>
        <w:t>Non</w:t>
      </w:r>
      <w:r>
        <w:noBreakHyphen/>
        <w:t>residential lots</w:t>
      </w:r>
      <w:bookmarkEnd w:id="157"/>
    </w:p>
    <w:p>
      <w:pPr>
        <w:pStyle w:val="ySubsection"/>
        <w:tabs>
          <w:tab w:val="right" w:leader="dot" w:pos="6804"/>
        </w:tabs>
      </w:pPr>
      <w:r>
        <w:tab/>
      </w:r>
      <w:r>
        <w:tab/>
        <w:t xml:space="preserve">For each kilolitre of water supplied to a </w:t>
      </w:r>
      <w:r>
        <w:br/>
        <w:t>non</w:t>
      </w:r>
      <w:r>
        <w:noBreakHyphen/>
        <w:t xml:space="preserve">residential lot, the charge is </w:t>
      </w:r>
      <w:r>
        <w:tab/>
        <w:t>$2.90</w:t>
      </w:r>
    </w:p>
    <w:p>
      <w:pPr>
        <w:pStyle w:val="yFootnotesection"/>
      </w:pPr>
      <w:r>
        <w:tab/>
        <w:t>[Division 2 inserted: SL 2021/80 r. 8.]</w:t>
      </w:r>
    </w:p>
    <w:p>
      <w:pPr>
        <w:pStyle w:val="yScheduleHeading"/>
      </w:pPr>
      <w:bookmarkStart w:id="158" w:name="_Toc106103965"/>
      <w:bookmarkStart w:id="159" w:name="_Toc106104193"/>
      <w:bookmarkStart w:id="160" w:name="_Toc106179721"/>
      <w:bookmarkStart w:id="161" w:name="_Toc106179949"/>
      <w:r>
        <w:rPr>
          <w:rStyle w:val="CharSchNo"/>
        </w:rPr>
        <w:lastRenderedPageBreak/>
        <w:t>Schedule 2</w:t>
      </w:r>
      <w:r>
        <w:t> — </w:t>
      </w:r>
      <w:r>
        <w:rPr>
          <w:rStyle w:val="CharSchText"/>
        </w:rPr>
        <w:t>Charges for Busselton Water Corporation</w:t>
      </w:r>
      <w:bookmarkEnd w:id="158"/>
      <w:bookmarkEnd w:id="159"/>
      <w:bookmarkEnd w:id="160"/>
      <w:bookmarkEnd w:id="161"/>
    </w:p>
    <w:p>
      <w:pPr>
        <w:pStyle w:val="yShoulderClause"/>
      </w:pPr>
      <w:r>
        <w:t>[r. 12]</w:t>
      </w:r>
    </w:p>
    <w:p>
      <w:pPr>
        <w:pStyle w:val="yFootnoteheading"/>
      </w:pPr>
      <w:r>
        <w:tab/>
        <w:t>[Heading inserted: SL 2021/80 r. 8.]</w:t>
      </w:r>
    </w:p>
    <w:p>
      <w:pPr>
        <w:pStyle w:val="yHeading3"/>
      </w:pPr>
      <w:bookmarkStart w:id="162" w:name="_Toc106103966"/>
      <w:bookmarkStart w:id="163" w:name="_Toc106104194"/>
      <w:bookmarkStart w:id="164" w:name="_Toc106179722"/>
      <w:bookmarkStart w:id="165" w:name="_Toc106179950"/>
      <w:r>
        <w:rPr>
          <w:rStyle w:val="CharSDivNo"/>
        </w:rPr>
        <w:t>Division 1</w:t>
      </w:r>
      <w:r>
        <w:t> — </w:t>
      </w:r>
      <w:r>
        <w:rPr>
          <w:rStyle w:val="CharSDivText"/>
        </w:rPr>
        <w:t>Service charges</w:t>
      </w:r>
      <w:bookmarkEnd w:id="162"/>
      <w:bookmarkEnd w:id="163"/>
      <w:bookmarkEnd w:id="164"/>
      <w:bookmarkEnd w:id="165"/>
    </w:p>
    <w:p>
      <w:pPr>
        <w:pStyle w:val="yFootnoteheading"/>
      </w:pPr>
      <w:r>
        <w:tab/>
        <w:t>[Heading inserted: SL 2021/80 r. 8.]</w:t>
      </w:r>
    </w:p>
    <w:p>
      <w:pPr>
        <w:pStyle w:val="yHeading5"/>
      </w:pPr>
      <w:bookmarkStart w:id="166" w:name="_Toc106179951"/>
      <w:r>
        <w:t>1.</w:t>
      </w:r>
      <w:r>
        <w:tab/>
        <w:t>Service charges for 2021/22 and subsequent years</w:t>
      </w:r>
      <w:bookmarkEnd w:id="166"/>
    </w:p>
    <w:p>
      <w:pPr>
        <w:pStyle w:val="ySubsection"/>
      </w:pPr>
      <w:r>
        <w:tab/>
      </w:r>
      <w:r>
        <w:tab/>
        <w:t>The charges set out in this Division apply for water supply services provided in the 2021/22 financial year and each subsequent year.</w:t>
      </w:r>
    </w:p>
    <w:p>
      <w:pPr>
        <w:pStyle w:val="yHeading5"/>
      </w:pPr>
      <w:bookmarkStart w:id="167" w:name="_Toc106179952"/>
      <w:r>
        <w:t>2.</w:t>
      </w:r>
      <w:r>
        <w:tab/>
        <w:t>Residential lots</w:t>
      </w:r>
      <w:bookmarkEnd w:id="167"/>
    </w:p>
    <w:p>
      <w:pPr>
        <w:pStyle w:val="ySubsection"/>
        <w:tabs>
          <w:tab w:val="right" w:leader="dot" w:pos="6804"/>
        </w:tabs>
      </w:pPr>
      <w:r>
        <w:tab/>
      </w:r>
      <w:r>
        <w:tab/>
        <w:t xml:space="preserve">For a residential lot, the charge is </w:t>
      </w:r>
      <w:r>
        <w:tab/>
        <w:t>$223.19</w:t>
      </w:r>
    </w:p>
    <w:p>
      <w:pPr>
        <w:pStyle w:val="yHeading5"/>
      </w:pPr>
      <w:bookmarkStart w:id="168" w:name="_Toc106179953"/>
      <w:r>
        <w:t>3.</w:t>
      </w:r>
      <w:r>
        <w:tab/>
        <w:t>Non</w:t>
      </w:r>
      <w:r>
        <w:noBreakHyphen/>
        <w:t>residential lots</w:t>
      </w:r>
      <w:bookmarkEnd w:id="168"/>
    </w:p>
    <w:p>
      <w:pPr>
        <w:pStyle w:val="ySubsection"/>
      </w:pPr>
      <w:r>
        <w:tab/>
      </w:r>
      <w:r>
        <w:tab/>
        <w:t>For a non</w:t>
      </w:r>
      <w:r>
        <w:noBreakHyphen/>
        <w:t>residential lot, the charge, according to the size of the meter, is —</w:t>
      </w:r>
    </w:p>
    <w:p>
      <w:pPr>
        <w:pStyle w:val="yMiscellaneousBody"/>
        <w:tabs>
          <w:tab w:val="right" w:leader="dot" w:pos="6804"/>
        </w:tabs>
        <w:ind w:left="1560" w:hanging="114"/>
      </w:pPr>
      <w:r>
        <w:tab/>
        <w:t xml:space="preserve">20 mm </w:t>
      </w:r>
      <w:r>
        <w:tab/>
        <w:t>$230.47</w:t>
      </w:r>
    </w:p>
    <w:p>
      <w:pPr>
        <w:pStyle w:val="yMiscellaneousBody"/>
        <w:tabs>
          <w:tab w:val="right" w:leader="dot" w:pos="6804"/>
        </w:tabs>
        <w:ind w:left="1560" w:hanging="114"/>
      </w:pPr>
      <w:r>
        <w:tab/>
        <w:t xml:space="preserve">25 mm </w:t>
      </w:r>
      <w:r>
        <w:tab/>
        <w:t>$360.08</w:t>
      </w:r>
    </w:p>
    <w:p>
      <w:pPr>
        <w:pStyle w:val="yMiscellaneousBody"/>
        <w:tabs>
          <w:tab w:val="right" w:leader="dot" w:pos="6804"/>
        </w:tabs>
        <w:ind w:left="1560" w:hanging="114"/>
      </w:pPr>
      <w:r>
        <w:tab/>
        <w:t xml:space="preserve">40 mm </w:t>
      </w:r>
      <w:r>
        <w:tab/>
        <w:t>$921.82</w:t>
      </w:r>
    </w:p>
    <w:p>
      <w:pPr>
        <w:pStyle w:val="yMiscellaneousBody"/>
        <w:tabs>
          <w:tab w:val="right" w:leader="dot" w:pos="6804"/>
        </w:tabs>
        <w:ind w:left="1560" w:hanging="114"/>
      </w:pPr>
      <w:r>
        <w:tab/>
        <w:t xml:space="preserve">50 mm </w:t>
      </w:r>
      <w:r>
        <w:tab/>
        <w:t>$1 440.33</w:t>
      </w:r>
    </w:p>
    <w:p>
      <w:pPr>
        <w:pStyle w:val="yMiscellaneousBody"/>
        <w:tabs>
          <w:tab w:val="right" w:leader="dot" w:pos="6804"/>
        </w:tabs>
        <w:ind w:left="1560" w:hanging="114"/>
      </w:pPr>
      <w:r>
        <w:tab/>
        <w:t xml:space="preserve">80 mm </w:t>
      </w:r>
      <w:r>
        <w:tab/>
        <w:t>$3 687.27</w:t>
      </w:r>
    </w:p>
    <w:p>
      <w:pPr>
        <w:pStyle w:val="yMiscellaneousBody"/>
        <w:tabs>
          <w:tab w:val="right" w:leader="dot" w:pos="6804"/>
        </w:tabs>
        <w:ind w:left="1560" w:hanging="114"/>
      </w:pPr>
      <w:r>
        <w:tab/>
        <w:t xml:space="preserve">100 mm </w:t>
      </w:r>
      <w:r>
        <w:tab/>
        <w:t>$5 761.34</w:t>
      </w:r>
    </w:p>
    <w:p>
      <w:pPr>
        <w:pStyle w:val="yMiscellaneousBody"/>
        <w:tabs>
          <w:tab w:val="right" w:leader="dot" w:pos="6804"/>
        </w:tabs>
        <w:ind w:left="1560" w:hanging="114"/>
      </w:pPr>
      <w:r>
        <w:tab/>
        <w:t xml:space="preserve">150 mm </w:t>
      </w:r>
      <w:r>
        <w:tab/>
        <w:t>$12 963.03</w:t>
      </w:r>
    </w:p>
    <w:p>
      <w:pPr>
        <w:pStyle w:val="yHeading5"/>
      </w:pPr>
      <w:bookmarkStart w:id="169" w:name="_Toc106179954"/>
      <w:r>
        <w:t>4.</w:t>
      </w:r>
      <w:r>
        <w:tab/>
        <w:t>Vacant land</w:t>
      </w:r>
      <w:bookmarkEnd w:id="169"/>
    </w:p>
    <w:p>
      <w:pPr>
        <w:pStyle w:val="ySubsection"/>
        <w:tabs>
          <w:tab w:val="right" w:leader="dot" w:pos="6804"/>
        </w:tabs>
      </w:pPr>
      <w:r>
        <w:tab/>
      </w:r>
      <w:r>
        <w:tab/>
        <w:t xml:space="preserve">For vacant land, the charge is </w:t>
      </w:r>
      <w:r>
        <w:tab/>
        <w:t>$230.47</w:t>
      </w:r>
    </w:p>
    <w:p>
      <w:pPr>
        <w:pStyle w:val="yHeading5"/>
      </w:pPr>
      <w:bookmarkStart w:id="170" w:name="_Toc106179955"/>
      <w:r>
        <w:t>5.</w:t>
      </w:r>
      <w:r>
        <w:tab/>
        <w:t>Fire service connections</w:t>
      </w:r>
      <w:bookmarkEnd w:id="170"/>
    </w:p>
    <w:p>
      <w:pPr>
        <w:pStyle w:val="ySubsection"/>
        <w:tabs>
          <w:tab w:val="right" w:leader="dot" w:pos="6804"/>
        </w:tabs>
      </w:pPr>
      <w:r>
        <w:tab/>
      </w:r>
      <w:r>
        <w:tab/>
        <w:t xml:space="preserve">For a fire service connection, the charge is </w:t>
      </w:r>
      <w:r>
        <w:tab/>
        <w:t>$230.47</w:t>
      </w:r>
    </w:p>
    <w:p>
      <w:pPr>
        <w:pStyle w:val="yFootnotesection"/>
      </w:pPr>
      <w:r>
        <w:tab/>
        <w:t>[Division 1 inserted: SL 2021/80 r. 8.]</w:t>
      </w:r>
    </w:p>
    <w:p>
      <w:pPr>
        <w:pStyle w:val="yHeading3"/>
      </w:pPr>
      <w:bookmarkStart w:id="171" w:name="_Toc106103972"/>
      <w:bookmarkStart w:id="172" w:name="_Toc106104200"/>
      <w:bookmarkStart w:id="173" w:name="_Toc106179728"/>
      <w:bookmarkStart w:id="174" w:name="_Toc106179956"/>
      <w:r>
        <w:rPr>
          <w:rStyle w:val="CharSDivNo"/>
        </w:rPr>
        <w:lastRenderedPageBreak/>
        <w:t>Division 2</w:t>
      </w:r>
      <w:r>
        <w:t> — </w:t>
      </w:r>
      <w:r>
        <w:rPr>
          <w:rStyle w:val="CharSDivText"/>
        </w:rPr>
        <w:t>Consumption charges</w:t>
      </w:r>
      <w:bookmarkEnd w:id="171"/>
      <w:bookmarkEnd w:id="172"/>
      <w:bookmarkEnd w:id="173"/>
      <w:bookmarkEnd w:id="174"/>
    </w:p>
    <w:p>
      <w:pPr>
        <w:pStyle w:val="yFootnoteheading"/>
      </w:pPr>
      <w:r>
        <w:tab/>
        <w:t>[Heading inserted: SL 2021/80 r. 8.]</w:t>
      </w:r>
    </w:p>
    <w:p>
      <w:pPr>
        <w:pStyle w:val="yHeading5"/>
      </w:pPr>
      <w:bookmarkStart w:id="175" w:name="_Toc106179957"/>
      <w:r>
        <w:t>6.</w:t>
      </w:r>
      <w:r>
        <w:tab/>
        <w:t>Consumption charges for 2021/22 and subsequent years</w:t>
      </w:r>
      <w:bookmarkEnd w:id="175"/>
    </w:p>
    <w:p>
      <w:pPr>
        <w:pStyle w:val="ySubsection"/>
      </w:pPr>
      <w:r>
        <w:tab/>
      </w:r>
      <w:r>
        <w:tab/>
        <w:t>The charges set out in this Division apply for water supplied in the 2021/22 financial year and each subsequent year.</w:t>
      </w:r>
    </w:p>
    <w:p>
      <w:pPr>
        <w:pStyle w:val="yHeading5"/>
      </w:pPr>
      <w:bookmarkStart w:id="176" w:name="_Toc106179958"/>
      <w:r>
        <w:t>7.</w:t>
      </w:r>
      <w:r>
        <w:tab/>
        <w:t>Residential lots</w:t>
      </w:r>
      <w:bookmarkEnd w:id="176"/>
    </w:p>
    <w:p>
      <w:pPr>
        <w:pStyle w:val="ySubsection"/>
      </w:pPr>
      <w:r>
        <w:tab/>
        <w:t>(1)</w:t>
      </w:r>
      <w:r>
        <w:tab/>
        <w:t>For each kilolitre of water supplied to a residential lot, the charge is —</w:t>
      </w:r>
    </w:p>
    <w:p>
      <w:pPr>
        <w:pStyle w:val="yMiscellaneousBody"/>
        <w:tabs>
          <w:tab w:val="right" w:leader="dot" w:pos="6804"/>
        </w:tabs>
        <w:ind w:left="1560" w:hanging="114"/>
      </w:pPr>
      <w:r>
        <w:tab/>
        <w:t xml:space="preserve">up to 150 kL </w:t>
      </w:r>
      <w:r>
        <w:tab/>
        <w:t>$1.11</w:t>
      </w:r>
    </w:p>
    <w:p>
      <w:pPr>
        <w:pStyle w:val="yMiscellaneousBody"/>
        <w:tabs>
          <w:tab w:val="right" w:leader="dot" w:pos="6804"/>
        </w:tabs>
        <w:ind w:left="1560" w:hanging="114"/>
      </w:pPr>
      <w:r>
        <w:tab/>
        <w:t xml:space="preserve">over 150 but not over 350 kL </w:t>
      </w:r>
      <w:r>
        <w:tab/>
        <w:t>$1.55</w:t>
      </w:r>
    </w:p>
    <w:p>
      <w:pPr>
        <w:pStyle w:val="yMiscellaneousBody"/>
        <w:tabs>
          <w:tab w:val="right" w:leader="dot" w:pos="6804"/>
        </w:tabs>
        <w:ind w:left="1560" w:hanging="114"/>
      </w:pPr>
      <w:r>
        <w:tab/>
        <w:t xml:space="preserve">over 350 but not over 500 kL </w:t>
      </w:r>
      <w:r>
        <w:tab/>
        <w:t>$1.77</w:t>
      </w:r>
    </w:p>
    <w:p>
      <w:pPr>
        <w:pStyle w:val="yMiscellaneousBody"/>
        <w:tabs>
          <w:tab w:val="right" w:leader="dot" w:pos="6804"/>
        </w:tabs>
        <w:ind w:left="1560" w:hanging="114"/>
      </w:pPr>
      <w:r>
        <w:tab/>
        <w:t xml:space="preserve">over 500 but not over 700 kL </w:t>
      </w:r>
      <w:r>
        <w:tab/>
        <w:t>$2.34</w:t>
      </w:r>
    </w:p>
    <w:p>
      <w:pPr>
        <w:pStyle w:val="yMiscellaneousBody"/>
        <w:tabs>
          <w:tab w:val="right" w:leader="dot" w:pos="6804"/>
        </w:tabs>
        <w:ind w:left="1560" w:hanging="114"/>
      </w:pPr>
      <w:r>
        <w:tab/>
        <w:t xml:space="preserve">over 700 but not over 1 000 kL </w:t>
      </w:r>
      <w:r>
        <w:tab/>
        <w:t>$3.28</w:t>
      </w:r>
    </w:p>
    <w:p>
      <w:pPr>
        <w:pStyle w:val="yMiscellaneousBody"/>
        <w:tabs>
          <w:tab w:val="right" w:leader="dot" w:pos="6804"/>
        </w:tabs>
        <w:ind w:left="1560" w:hanging="114"/>
      </w:pPr>
      <w:r>
        <w:tab/>
        <w:t xml:space="preserve">over 1 000 kL </w:t>
      </w:r>
      <w:r>
        <w:tab/>
        <w:t>$3.36</w:t>
      </w:r>
    </w:p>
    <w:p>
      <w:pPr>
        <w:pStyle w:val="ySubsection"/>
      </w:pPr>
      <w:r>
        <w:tab/>
        <w:t>(2)</w:t>
      </w:r>
      <w:r>
        <w:tab/>
        <w:t>The volumetric ranges in this item have effect by reference to the volume of water supplied in the current consumption year.</w:t>
      </w:r>
    </w:p>
    <w:p>
      <w:pPr>
        <w:pStyle w:val="yHeading5"/>
      </w:pPr>
      <w:bookmarkStart w:id="177" w:name="_Toc106179959"/>
      <w:r>
        <w:t>8.</w:t>
      </w:r>
      <w:r>
        <w:tab/>
        <w:t>Non</w:t>
      </w:r>
      <w:r>
        <w:noBreakHyphen/>
        <w:t>residential lots</w:t>
      </w:r>
      <w:bookmarkEnd w:id="177"/>
    </w:p>
    <w:p>
      <w:pPr>
        <w:pStyle w:val="ySubsection"/>
        <w:tabs>
          <w:tab w:val="right" w:leader="dot" w:pos="6804"/>
        </w:tabs>
      </w:pPr>
      <w:r>
        <w:tab/>
      </w:r>
      <w:r>
        <w:tab/>
        <w:t xml:space="preserve">For each kilolitre of water supplied to a </w:t>
      </w:r>
      <w:r>
        <w:br/>
        <w:t>non</w:t>
      </w:r>
      <w:r>
        <w:noBreakHyphen/>
        <w:t xml:space="preserve">residential lot, the charge is </w:t>
      </w:r>
      <w:r>
        <w:tab/>
        <w:t>$1.82</w:t>
      </w:r>
    </w:p>
    <w:p>
      <w:pPr>
        <w:pStyle w:val="yHeading5"/>
      </w:pPr>
      <w:bookmarkStart w:id="178" w:name="_Toc106179960"/>
      <w:r>
        <w:t>9.</w:t>
      </w:r>
      <w:r>
        <w:tab/>
        <w:t>Water supply service (fire)</w:t>
      </w:r>
      <w:bookmarkEnd w:id="178"/>
    </w:p>
    <w:p>
      <w:pPr>
        <w:pStyle w:val="ySubsection"/>
        <w:tabs>
          <w:tab w:val="right" w:leader="dot" w:pos="6804"/>
        </w:tabs>
      </w:pPr>
      <w:r>
        <w:tab/>
      </w:r>
      <w:r>
        <w:tab/>
        <w:t xml:space="preserve">For each kilolitre of water supplied through a </w:t>
      </w:r>
      <w:r>
        <w:br/>
        <w:t xml:space="preserve">fire service connection, the charge is </w:t>
      </w:r>
      <w:r>
        <w:tab/>
        <w:t>$2.23</w:t>
      </w:r>
    </w:p>
    <w:p>
      <w:pPr>
        <w:pStyle w:val="yFootnotesection"/>
      </w:pPr>
      <w:r>
        <w:tab/>
        <w:t>[Division 2 inserted: SL 2021/80 r. 8.]</w:t>
      </w:r>
    </w:p>
    <w:p>
      <w:pPr>
        <w:pStyle w:val="yScheduleHeading"/>
      </w:pPr>
      <w:bookmarkStart w:id="179" w:name="_Toc106103977"/>
      <w:bookmarkStart w:id="180" w:name="_Toc106104205"/>
      <w:bookmarkStart w:id="181" w:name="_Toc106179733"/>
      <w:bookmarkStart w:id="182" w:name="_Toc106179961"/>
      <w:r>
        <w:rPr>
          <w:rStyle w:val="CharSchNo"/>
        </w:rPr>
        <w:lastRenderedPageBreak/>
        <w:t>Schedule 3</w:t>
      </w:r>
      <w:r>
        <w:t> — </w:t>
      </w:r>
      <w:r>
        <w:rPr>
          <w:rStyle w:val="CharSchText"/>
        </w:rPr>
        <w:t>Water supply charges for the Water Corporation</w:t>
      </w:r>
      <w:bookmarkEnd w:id="179"/>
      <w:bookmarkEnd w:id="180"/>
      <w:bookmarkEnd w:id="181"/>
      <w:bookmarkEnd w:id="182"/>
    </w:p>
    <w:p>
      <w:pPr>
        <w:pStyle w:val="yShoulderClause"/>
      </w:pPr>
      <w:r>
        <w:t>[r. 24, 27 and 31]</w:t>
      </w:r>
    </w:p>
    <w:p>
      <w:pPr>
        <w:pStyle w:val="yFootnoteheading"/>
      </w:pPr>
      <w:r>
        <w:tab/>
        <w:t>[Heading inserted: SL 2021/80 r. 8.]</w:t>
      </w:r>
    </w:p>
    <w:p>
      <w:pPr>
        <w:pStyle w:val="yHeading3"/>
      </w:pPr>
      <w:bookmarkStart w:id="183" w:name="_Toc106103978"/>
      <w:bookmarkStart w:id="184" w:name="_Toc106104206"/>
      <w:bookmarkStart w:id="185" w:name="_Toc106179734"/>
      <w:bookmarkStart w:id="186" w:name="_Toc106179962"/>
      <w:r>
        <w:rPr>
          <w:rStyle w:val="CharSDivNo"/>
        </w:rPr>
        <w:t>Division 1</w:t>
      </w:r>
      <w:r>
        <w:t> — </w:t>
      </w:r>
      <w:r>
        <w:rPr>
          <w:rStyle w:val="CharSDivText"/>
        </w:rPr>
        <w:t>Service charges</w:t>
      </w:r>
      <w:bookmarkEnd w:id="183"/>
      <w:bookmarkEnd w:id="184"/>
      <w:bookmarkEnd w:id="185"/>
      <w:bookmarkEnd w:id="186"/>
    </w:p>
    <w:p>
      <w:pPr>
        <w:pStyle w:val="yFootnoteheading"/>
      </w:pPr>
      <w:r>
        <w:tab/>
        <w:t>[Heading inserted: SL 2021/80 r. 8.]</w:t>
      </w:r>
    </w:p>
    <w:p>
      <w:pPr>
        <w:pStyle w:val="yHeading4"/>
      </w:pPr>
      <w:bookmarkStart w:id="187" w:name="_Toc106103979"/>
      <w:bookmarkStart w:id="188" w:name="_Toc106104207"/>
      <w:bookmarkStart w:id="189" w:name="_Toc106179735"/>
      <w:bookmarkStart w:id="190" w:name="_Toc106179963"/>
      <w:r>
        <w:t>Subdivision 1 — Preliminary</w:t>
      </w:r>
      <w:bookmarkEnd w:id="187"/>
      <w:bookmarkEnd w:id="188"/>
      <w:bookmarkEnd w:id="189"/>
      <w:bookmarkEnd w:id="190"/>
    </w:p>
    <w:p>
      <w:pPr>
        <w:pStyle w:val="yFootnoteheading"/>
      </w:pPr>
      <w:r>
        <w:tab/>
        <w:t>[Heading inserted: SL 2021/80 r. 8.]</w:t>
      </w:r>
    </w:p>
    <w:p>
      <w:pPr>
        <w:pStyle w:val="yHeading5"/>
      </w:pPr>
      <w:bookmarkStart w:id="191" w:name="_Toc106179964"/>
      <w:r>
        <w:t>1.</w:t>
      </w:r>
      <w:r>
        <w:tab/>
        <w:t>Service charges for 2021/22 and subsequent years</w:t>
      </w:r>
      <w:bookmarkEnd w:id="191"/>
    </w:p>
    <w:p>
      <w:pPr>
        <w:pStyle w:val="ySubsection"/>
      </w:pPr>
      <w:r>
        <w:tab/>
      </w:r>
      <w:r>
        <w:tab/>
        <w:t>The charges set out in this Division apply for water supply services provided in the 2021/22 financial year and each subsequent year.</w:t>
      </w:r>
    </w:p>
    <w:p>
      <w:pPr>
        <w:pStyle w:val="yHeading5"/>
      </w:pPr>
      <w:bookmarkStart w:id="192" w:name="_Toc106179965"/>
      <w:r>
        <w:t>2.</w:t>
      </w:r>
      <w:r>
        <w:tab/>
        <w:t>Table of meter</w:t>
      </w:r>
      <w:r>
        <w:noBreakHyphen/>
        <w:t>based charges</w:t>
      </w:r>
      <w:bookmarkEnd w:id="192"/>
    </w:p>
    <w:p>
      <w:pPr>
        <w:pStyle w:val="ySubsection"/>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noWrap/>
          </w:tcPr>
          <w:p>
            <w:pPr>
              <w:pStyle w:val="yTableNAm"/>
              <w:jc w:val="center"/>
              <w:rPr>
                <w:b/>
              </w:rPr>
            </w:pPr>
            <w:r>
              <w:rPr>
                <w:b/>
              </w:rPr>
              <w:t>Meter size</w:t>
            </w:r>
            <w:r>
              <w:rPr>
                <w:b/>
              </w:rPr>
              <w:br/>
              <w:t>mm</w:t>
            </w:r>
          </w:p>
        </w:tc>
        <w:tc>
          <w:tcPr>
            <w:tcW w:w="2292" w:type="dxa"/>
            <w:tcBorders>
              <w:top w:val="single" w:sz="4" w:space="0" w:color="auto"/>
              <w:bottom w:val="single" w:sz="4" w:space="0" w:color="auto"/>
            </w:tcBorders>
            <w:noWrap/>
          </w:tcPr>
          <w:p>
            <w:pPr>
              <w:pStyle w:val="yTableNAm"/>
              <w:jc w:val="center"/>
              <w:rPr>
                <w:b/>
              </w:rPr>
            </w:pPr>
            <w:r>
              <w:rPr>
                <w:b/>
              </w:rPr>
              <w:t>Charge</w:t>
            </w:r>
            <w:r>
              <w:rPr>
                <w:b/>
              </w:rPr>
              <w:br/>
              <w:t>$</w:t>
            </w:r>
          </w:p>
        </w:tc>
      </w:tr>
      <w:tr>
        <w:trPr>
          <w:cantSplit/>
          <w:jc w:val="center"/>
        </w:trPr>
        <w:tc>
          <w:tcPr>
            <w:tcW w:w="2292" w:type="dxa"/>
            <w:noWrap/>
          </w:tcPr>
          <w:p>
            <w:pPr>
              <w:pStyle w:val="yTableNAm"/>
              <w:jc w:val="center"/>
            </w:pPr>
            <w:r>
              <w:t>15, 20</w:t>
            </w:r>
          </w:p>
        </w:tc>
        <w:tc>
          <w:tcPr>
            <w:tcW w:w="2292" w:type="dxa"/>
            <w:noWrap/>
            <w:vAlign w:val="bottom"/>
          </w:tcPr>
          <w:p>
            <w:pPr>
              <w:pStyle w:val="yTableNAm"/>
              <w:jc w:val="center"/>
            </w:pPr>
            <w:r>
              <w:rPr>
                <w:szCs w:val="22"/>
              </w:rPr>
              <w:t>285.82</w:t>
            </w:r>
          </w:p>
        </w:tc>
      </w:tr>
      <w:tr>
        <w:trPr>
          <w:cantSplit/>
          <w:jc w:val="center"/>
        </w:trPr>
        <w:tc>
          <w:tcPr>
            <w:tcW w:w="2292" w:type="dxa"/>
            <w:noWrap/>
          </w:tcPr>
          <w:p>
            <w:pPr>
              <w:pStyle w:val="yTableNAm"/>
              <w:jc w:val="center"/>
            </w:pPr>
            <w:r>
              <w:t>25</w:t>
            </w:r>
          </w:p>
        </w:tc>
        <w:tc>
          <w:tcPr>
            <w:tcW w:w="2292" w:type="dxa"/>
            <w:noWrap/>
            <w:vAlign w:val="bottom"/>
          </w:tcPr>
          <w:p>
            <w:pPr>
              <w:pStyle w:val="yTableNAm"/>
              <w:jc w:val="center"/>
            </w:pPr>
            <w:r>
              <w:rPr>
                <w:szCs w:val="22"/>
              </w:rPr>
              <w:t>446.63</w:t>
            </w:r>
          </w:p>
        </w:tc>
      </w:tr>
      <w:tr>
        <w:trPr>
          <w:cantSplit/>
          <w:jc w:val="center"/>
        </w:trPr>
        <w:tc>
          <w:tcPr>
            <w:tcW w:w="2292" w:type="dxa"/>
            <w:noWrap/>
          </w:tcPr>
          <w:p>
            <w:pPr>
              <w:pStyle w:val="yTableNAm"/>
              <w:jc w:val="center"/>
            </w:pPr>
            <w:r>
              <w:t>30</w:t>
            </w:r>
          </w:p>
        </w:tc>
        <w:tc>
          <w:tcPr>
            <w:tcW w:w="2292" w:type="dxa"/>
            <w:noWrap/>
            <w:vAlign w:val="bottom"/>
          </w:tcPr>
          <w:p>
            <w:pPr>
              <w:pStyle w:val="yTableNAm"/>
              <w:jc w:val="center"/>
            </w:pPr>
            <w:r>
              <w:rPr>
                <w:szCs w:val="22"/>
              </w:rPr>
              <w:t>643.10</w:t>
            </w:r>
          </w:p>
        </w:tc>
      </w:tr>
      <w:tr>
        <w:trPr>
          <w:cantSplit/>
          <w:jc w:val="center"/>
        </w:trPr>
        <w:tc>
          <w:tcPr>
            <w:tcW w:w="2292" w:type="dxa"/>
            <w:noWrap/>
          </w:tcPr>
          <w:p>
            <w:pPr>
              <w:pStyle w:val="yTableNAm"/>
              <w:jc w:val="center"/>
            </w:pPr>
            <w:r>
              <w:t>35, 38, 40</w:t>
            </w:r>
          </w:p>
        </w:tc>
        <w:tc>
          <w:tcPr>
            <w:tcW w:w="2292" w:type="dxa"/>
            <w:noWrap/>
            <w:vAlign w:val="bottom"/>
          </w:tcPr>
          <w:p>
            <w:pPr>
              <w:pStyle w:val="yTableNAm"/>
              <w:jc w:val="center"/>
            </w:pPr>
            <w:r>
              <w:rPr>
                <w:szCs w:val="22"/>
              </w:rPr>
              <w:t>1</w:t>
            </w:r>
            <w:r>
              <w:t> </w:t>
            </w:r>
            <w:r>
              <w:rPr>
                <w:szCs w:val="22"/>
              </w:rPr>
              <w:t>143.37</w:t>
            </w:r>
          </w:p>
        </w:tc>
      </w:tr>
      <w:tr>
        <w:trPr>
          <w:cantSplit/>
          <w:jc w:val="center"/>
        </w:trPr>
        <w:tc>
          <w:tcPr>
            <w:tcW w:w="2292" w:type="dxa"/>
            <w:noWrap/>
          </w:tcPr>
          <w:p>
            <w:pPr>
              <w:pStyle w:val="yTableNAm"/>
              <w:jc w:val="center"/>
            </w:pPr>
            <w:r>
              <w:t>50</w:t>
            </w:r>
          </w:p>
        </w:tc>
        <w:tc>
          <w:tcPr>
            <w:tcW w:w="2292" w:type="dxa"/>
            <w:noWrap/>
            <w:vAlign w:val="bottom"/>
          </w:tcPr>
          <w:p>
            <w:pPr>
              <w:pStyle w:val="yTableNAm"/>
              <w:jc w:val="center"/>
            </w:pPr>
            <w:r>
              <w:rPr>
                <w:szCs w:val="22"/>
              </w:rPr>
              <w:t>1</w:t>
            </w:r>
            <w:r>
              <w:t> </w:t>
            </w:r>
            <w:r>
              <w:rPr>
                <w:szCs w:val="22"/>
              </w:rPr>
              <w:t>786.48</w:t>
            </w:r>
          </w:p>
        </w:tc>
      </w:tr>
      <w:tr>
        <w:trPr>
          <w:cantSplit/>
          <w:jc w:val="center"/>
        </w:trPr>
        <w:tc>
          <w:tcPr>
            <w:tcW w:w="2292" w:type="dxa"/>
            <w:noWrap/>
          </w:tcPr>
          <w:p>
            <w:pPr>
              <w:pStyle w:val="yTableNAm"/>
              <w:jc w:val="center"/>
            </w:pPr>
            <w:r>
              <w:t>70, 75, 80</w:t>
            </w:r>
          </w:p>
        </w:tc>
        <w:tc>
          <w:tcPr>
            <w:tcW w:w="2292" w:type="dxa"/>
            <w:noWrap/>
            <w:vAlign w:val="bottom"/>
          </w:tcPr>
          <w:p>
            <w:pPr>
              <w:pStyle w:val="yTableNAm"/>
              <w:jc w:val="center"/>
            </w:pPr>
            <w:r>
              <w:rPr>
                <w:szCs w:val="22"/>
              </w:rPr>
              <w:t>4 573.40</w:t>
            </w:r>
          </w:p>
        </w:tc>
      </w:tr>
      <w:tr>
        <w:trPr>
          <w:cantSplit/>
          <w:jc w:val="center"/>
        </w:trPr>
        <w:tc>
          <w:tcPr>
            <w:tcW w:w="2292" w:type="dxa"/>
            <w:noWrap/>
          </w:tcPr>
          <w:p>
            <w:pPr>
              <w:pStyle w:val="yTableNAm"/>
              <w:jc w:val="center"/>
            </w:pPr>
            <w:r>
              <w:t>100</w:t>
            </w:r>
          </w:p>
        </w:tc>
        <w:tc>
          <w:tcPr>
            <w:tcW w:w="2292" w:type="dxa"/>
            <w:noWrap/>
            <w:vAlign w:val="bottom"/>
          </w:tcPr>
          <w:p>
            <w:pPr>
              <w:pStyle w:val="yTableNAm"/>
              <w:jc w:val="center"/>
            </w:pPr>
            <w:r>
              <w:rPr>
                <w:szCs w:val="22"/>
              </w:rPr>
              <w:t>7 145.93</w:t>
            </w:r>
          </w:p>
        </w:tc>
      </w:tr>
      <w:tr>
        <w:trPr>
          <w:cantSplit/>
          <w:jc w:val="center"/>
        </w:trPr>
        <w:tc>
          <w:tcPr>
            <w:tcW w:w="2292" w:type="dxa"/>
            <w:noWrap/>
          </w:tcPr>
          <w:p>
            <w:pPr>
              <w:pStyle w:val="yTableNAm"/>
              <w:jc w:val="center"/>
            </w:pPr>
            <w:r>
              <w:t>140, 150</w:t>
            </w:r>
          </w:p>
        </w:tc>
        <w:tc>
          <w:tcPr>
            <w:tcW w:w="2292" w:type="dxa"/>
            <w:noWrap/>
            <w:vAlign w:val="bottom"/>
          </w:tcPr>
          <w:p>
            <w:pPr>
              <w:pStyle w:val="yTableNAm"/>
              <w:jc w:val="center"/>
            </w:pPr>
            <w:r>
              <w:rPr>
                <w:szCs w:val="22"/>
              </w:rPr>
              <w:t>16</w:t>
            </w:r>
            <w:r>
              <w:t> 078</w:t>
            </w:r>
            <w:r>
              <w:rPr>
                <w:szCs w:val="22"/>
              </w:rPr>
              <w:t>.34</w:t>
            </w:r>
          </w:p>
        </w:tc>
      </w:tr>
      <w:tr>
        <w:trPr>
          <w:cantSplit/>
          <w:jc w:val="center"/>
        </w:trPr>
        <w:tc>
          <w:tcPr>
            <w:tcW w:w="2292" w:type="dxa"/>
            <w:noWrap/>
          </w:tcPr>
          <w:p>
            <w:pPr>
              <w:pStyle w:val="yTableNAm"/>
              <w:jc w:val="center"/>
            </w:pPr>
            <w:r>
              <w:t>200</w:t>
            </w:r>
          </w:p>
        </w:tc>
        <w:tc>
          <w:tcPr>
            <w:tcW w:w="2292" w:type="dxa"/>
            <w:noWrap/>
            <w:vAlign w:val="bottom"/>
          </w:tcPr>
          <w:p>
            <w:pPr>
              <w:pStyle w:val="yTableNAm"/>
              <w:jc w:val="center"/>
            </w:pPr>
            <w:r>
              <w:rPr>
                <w:szCs w:val="22"/>
              </w:rPr>
              <w:t>28</w:t>
            </w:r>
            <w:r>
              <w:t> 583</w:t>
            </w:r>
            <w:r>
              <w:rPr>
                <w:szCs w:val="22"/>
              </w:rPr>
              <w:t>.71</w:t>
            </w:r>
          </w:p>
        </w:tc>
      </w:tr>
      <w:tr>
        <w:trPr>
          <w:cantSplit/>
          <w:jc w:val="center"/>
        </w:trPr>
        <w:tc>
          <w:tcPr>
            <w:tcW w:w="2292" w:type="dxa"/>
            <w:noWrap/>
          </w:tcPr>
          <w:p>
            <w:pPr>
              <w:pStyle w:val="yTableNAm"/>
              <w:jc w:val="center"/>
            </w:pPr>
            <w:r>
              <w:t>250</w:t>
            </w:r>
          </w:p>
        </w:tc>
        <w:tc>
          <w:tcPr>
            <w:tcW w:w="2292" w:type="dxa"/>
            <w:noWrap/>
            <w:vAlign w:val="bottom"/>
          </w:tcPr>
          <w:p>
            <w:pPr>
              <w:pStyle w:val="yTableNAm"/>
              <w:jc w:val="center"/>
            </w:pPr>
            <w:r>
              <w:rPr>
                <w:szCs w:val="22"/>
              </w:rPr>
              <w:t>44</w:t>
            </w:r>
            <w:r>
              <w:t> 662</w:t>
            </w:r>
            <w:r>
              <w:rPr>
                <w:szCs w:val="22"/>
              </w:rPr>
              <w:t>.05</w:t>
            </w:r>
          </w:p>
        </w:tc>
      </w:tr>
      <w:tr>
        <w:trPr>
          <w:cantSplit/>
          <w:jc w:val="center"/>
        </w:trPr>
        <w:tc>
          <w:tcPr>
            <w:tcW w:w="2292" w:type="dxa"/>
            <w:noWrap/>
          </w:tcPr>
          <w:p>
            <w:pPr>
              <w:pStyle w:val="yTableNAm"/>
              <w:keepNext/>
              <w:jc w:val="center"/>
            </w:pPr>
            <w:r>
              <w:lastRenderedPageBreak/>
              <w:t>300</w:t>
            </w:r>
          </w:p>
        </w:tc>
        <w:tc>
          <w:tcPr>
            <w:tcW w:w="2292" w:type="dxa"/>
            <w:noWrap/>
            <w:vAlign w:val="bottom"/>
          </w:tcPr>
          <w:p>
            <w:pPr>
              <w:pStyle w:val="yTableNAm"/>
              <w:jc w:val="center"/>
            </w:pPr>
            <w:r>
              <w:rPr>
                <w:szCs w:val="22"/>
              </w:rPr>
              <w:t>64</w:t>
            </w:r>
            <w:r>
              <w:t> 313</w:t>
            </w:r>
            <w:r>
              <w:rPr>
                <w:szCs w:val="22"/>
              </w:rPr>
              <w:t>.37</w:t>
            </w:r>
          </w:p>
        </w:tc>
      </w:tr>
      <w:tr>
        <w:trPr>
          <w:cantSplit/>
          <w:jc w:val="center"/>
        </w:trPr>
        <w:tc>
          <w:tcPr>
            <w:tcW w:w="2292" w:type="dxa"/>
            <w:tcBorders>
              <w:bottom w:val="single" w:sz="4" w:space="0" w:color="auto"/>
            </w:tcBorders>
            <w:noWrap/>
          </w:tcPr>
          <w:p>
            <w:pPr>
              <w:pStyle w:val="yTableNAm"/>
              <w:jc w:val="center"/>
            </w:pPr>
            <w:r>
              <w:t>350</w:t>
            </w:r>
          </w:p>
        </w:tc>
        <w:tc>
          <w:tcPr>
            <w:tcW w:w="2292" w:type="dxa"/>
            <w:tcBorders>
              <w:bottom w:val="single" w:sz="4" w:space="0" w:color="auto"/>
            </w:tcBorders>
            <w:noWrap/>
            <w:vAlign w:val="bottom"/>
          </w:tcPr>
          <w:p>
            <w:pPr>
              <w:pStyle w:val="yTableNAm"/>
              <w:jc w:val="center"/>
            </w:pPr>
            <w:r>
              <w:rPr>
                <w:szCs w:val="22"/>
              </w:rPr>
              <w:t>87</w:t>
            </w:r>
            <w:r>
              <w:t> </w:t>
            </w:r>
            <w:r>
              <w:rPr>
                <w:szCs w:val="22"/>
              </w:rPr>
              <w:t>537.68</w:t>
            </w:r>
          </w:p>
        </w:tc>
      </w:tr>
    </w:tbl>
    <w:p>
      <w:pPr>
        <w:pStyle w:val="yHeading4"/>
      </w:pPr>
      <w:bookmarkStart w:id="193" w:name="_Toc106103982"/>
      <w:bookmarkStart w:id="194" w:name="_Toc106104210"/>
      <w:bookmarkStart w:id="195" w:name="_Toc106179738"/>
      <w:bookmarkStart w:id="196" w:name="_Toc106179966"/>
      <w:r>
        <w:t>Subdivision 2 — Service charges that apply for land</w:t>
      </w:r>
      <w:bookmarkEnd w:id="193"/>
      <w:bookmarkEnd w:id="194"/>
      <w:bookmarkEnd w:id="195"/>
      <w:bookmarkEnd w:id="196"/>
    </w:p>
    <w:p>
      <w:pPr>
        <w:pStyle w:val="yFootnoteheading"/>
      </w:pPr>
      <w:r>
        <w:tab/>
        <w:t>[Heading inserted: SL 2021/80 r. 8.]</w:t>
      </w:r>
    </w:p>
    <w:p>
      <w:pPr>
        <w:pStyle w:val="yHeading5"/>
      </w:pPr>
      <w:bookmarkStart w:id="197" w:name="_Toc106179967"/>
      <w:r>
        <w:t>3.</w:t>
      </w:r>
      <w:r>
        <w:tab/>
        <w:t>Residential</w:t>
      </w:r>
      <w:bookmarkEnd w:id="197"/>
    </w:p>
    <w:p>
      <w:pPr>
        <w:pStyle w:val="ySubsection"/>
        <w:tabs>
          <w:tab w:val="right" w:leader="dot" w:pos="6804"/>
        </w:tabs>
      </w:pPr>
      <w:r>
        <w:tab/>
      </w:r>
      <w:r>
        <w:tab/>
        <w:t xml:space="preserve">For a residential property not covered by </w:t>
      </w:r>
      <w:r>
        <w:br/>
        <w:t xml:space="preserve">item 4, 5, 8, 9 or 10, the charge is </w:t>
      </w:r>
      <w:r>
        <w:tab/>
        <w:t>$268.98</w:t>
      </w:r>
    </w:p>
    <w:p>
      <w:pPr>
        <w:pStyle w:val="yHeading5"/>
      </w:pPr>
      <w:bookmarkStart w:id="198" w:name="_Toc106179968"/>
      <w:r>
        <w:t>4.</w:t>
      </w:r>
      <w:r>
        <w:tab/>
        <w:t>Metropolitan concessional</w:t>
      </w:r>
      <w:bookmarkEnd w:id="198"/>
    </w:p>
    <w:p>
      <w:pPr>
        <w:pStyle w:val="ySubsection"/>
      </w:pPr>
      <w:r>
        <w:tab/>
        <w:t>(1)</w:t>
      </w:r>
      <w:r>
        <w:tab/>
        <w:t>For land in the metropolitan area that is classified as aged home, community purpose or charitable purposes, 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199" w:name="_Toc106179969"/>
      <w:r>
        <w:t>5.</w:t>
      </w:r>
      <w:r>
        <w:tab/>
        <w:t>Strata</w:t>
      </w:r>
      <w:r>
        <w:noBreakHyphen/>
        <w:t>titled or long</w:t>
      </w:r>
      <w:r>
        <w:noBreakHyphen/>
        <w:t>term residential caravan bays</w:t>
      </w:r>
      <w:bookmarkEnd w:id="199"/>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w:t>
      </w:r>
      <w:r>
        <w:br/>
        <w:t xml:space="preserve">the charge is </w:t>
      </w:r>
      <w:r>
        <w:tab/>
        <w:t>$194.55</w:t>
      </w:r>
    </w:p>
    <w:p>
      <w:pPr>
        <w:pStyle w:val="yHeading5"/>
      </w:pPr>
      <w:bookmarkStart w:id="200" w:name="_Toc106179970"/>
      <w:r>
        <w:t>6.</w:t>
      </w:r>
      <w:r>
        <w:tab/>
        <w:t>Storage units or parking bays in strata titles scheme or community titles scheme</w:t>
      </w:r>
      <w:bookmarkEnd w:id="200"/>
      <w:r>
        <w:t xml:space="preserve"> </w:t>
      </w:r>
    </w:p>
    <w:p>
      <w:pPr>
        <w:pStyle w:val="ySubsection"/>
        <w:tabs>
          <w:tab w:val="right" w:leader="dot" w:pos="6804"/>
        </w:tabs>
      </w:pPr>
      <w:r>
        <w:tab/>
      </w:r>
      <w:r>
        <w:tab/>
        <w:t xml:space="preserve">For a lot that is used for storage purposes or </w:t>
      </w:r>
      <w:r>
        <w:br/>
        <w:t>as a parking bay, in a strata titles scheme or a</w:t>
      </w:r>
      <w:r>
        <w:br/>
        <w:t xml:space="preserve">community titles scheme, the charge is </w:t>
      </w:r>
      <w:r>
        <w:tab/>
        <w:t>$100.60</w:t>
      </w:r>
    </w:p>
    <w:p>
      <w:pPr>
        <w:pStyle w:val="yHeading5"/>
      </w:pPr>
      <w:bookmarkStart w:id="201" w:name="_Toc106179971"/>
      <w:r>
        <w:t>7.</w:t>
      </w:r>
      <w:r>
        <w:tab/>
        <w:t>Non</w:t>
      </w:r>
      <w:r>
        <w:noBreakHyphen/>
        <w:t>residential lots in strata titles scheme or community titles scheme that share a service</w:t>
      </w:r>
      <w:bookmarkEnd w:id="201"/>
      <w:r>
        <w:t xml:space="preserve"> </w:t>
      </w:r>
    </w:p>
    <w:p>
      <w:pPr>
        <w:pStyle w:val="ySubsection"/>
      </w:pPr>
      <w:r>
        <w:tab/>
      </w:r>
      <w:r>
        <w:tab/>
        <w:t>For land that —</w:t>
      </w:r>
    </w:p>
    <w:p>
      <w:pPr>
        <w:pStyle w:val="yIndenta"/>
      </w:pPr>
      <w:r>
        <w:tab/>
        <w:t>(a)</w:t>
      </w:r>
      <w:r>
        <w:tab/>
        <w:t>is contained in a lot in a strata titles scheme or a lot in a community titles scheme; and</w:t>
      </w:r>
    </w:p>
    <w:p>
      <w:pPr>
        <w:pStyle w:val="yIndenta"/>
      </w:pPr>
      <w:r>
        <w:lastRenderedPageBreak/>
        <w:tab/>
        <w:t>(b)</w:t>
      </w:r>
      <w:r>
        <w:tab/>
        <w:t>is classified as non</w:t>
      </w:r>
      <w:r>
        <w:noBreakHyphen/>
        <w:t>residential; and</w:t>
      </w:r>
    </w:p>
    <w:p>
      <w:pPr>
        <w:pStyle w:val="yIndenta"/>
      </w:pPr>
      <w:r>
        <w:tab/>
        <w:t>(c)</w:t>
      </w:r>
      <w:r>
        <w:tab/>
        <w:t>is not covered by item 5 or 6; and</w:t>
      </w:r>
    </w:p>
    <w:p>
      <w:pPr>
        <w:pStyle w:val="yIndenta"/>
      </w:pPr>
      <w:r>
        <w:tab/>
        <w:t>(d)</w:t>
      </w:r>
      <w:r>
        <w:tab/>
        <w:t xml:space="preserve">shares a water supply connection with </w:t>
      </w:r>
      <w:r>
        <w:br/>
        <w:t>other such land,</w:t>
      </w:r>
    </w:p>
    <w:p>
      <w:pPr>
        <w:pStyle w:val="ySubsection"/>
        <w:tabs>
          <w:tab w:val="right" w:leader="dot" w:pos="6804"/>
        </w:tabs>
      </w:pPr>
      <w:r>
        <w:tab/>
      </w:r>
      <w:r>
        <w:tab/>
        <w:t xml:space="preserve">the charge is </w:t>
      </w:r>
      <w:r>
        <w:tab/>
        <w:t>$285.82</w:t>
      </w:r>
    </w:p>
    <w:p>
      <w:pPr>
        <w:pStyle w:val="yHeading5"/>
      </w:pPr>
      <w:bookmarkStart w:id="202" w:name="_Toc106179972"/>
      <w:r>
        <w:t>8.</w:t>
      </w:r>
      <w:r>
        <w:tab/>
        <w:t>Community residential</w:t>
      </w:r>
      <w:bookmarkEnd w:id="202"/>
    </w:p>
    <w:p>
      <w:pPr>
        <w:pStyle w:val="ySubsection"/>
        <w:tabs>
          <w:tab w:val="right" w:leader="dot" w:pos="6804"/>
        </w:tabs>
      </w:pPr>
      <w:r>
        <w:tab/>
        <w:t>(1)</w:t>
      </w:r>
      <w:r>
        <w:tab/>
        <w:t xml:space="preserve">For land that is classified as community </w:t>
      </w:r>
      <w:r>
        <w:br/>
        <w:t xml:space="preserve">residential, the charge is, for each </w:t>
      </w:r>
      <w:r>
        <w:br/>
        <w:t xml:space="preserve">residential unit equivalent </w:t>
      </w:r>
      <w:r>
        <w:tab/>
        <w:t>$160.12</w:t>
      </w:r>
    </w:p>
    <w:p>
      <w:pPr>
        <w:pStyle w:val="ySubsection"/>
      </w:pPr>
      <w:r>
        <w:tab/>
        <w:t>(2)</w:t>
      </w:r>
      <w:r>
        <w:tab/>
        <w:t>The Water Corporation must determine, by reference to the anticipated water supply requirements of the communal property, the number of residential unit equivalents to which the communal property equates.</w:t>
      </w:r>
    </w:p>
    <w:p>
      <w:pPr>
        <w:pStyle w:val="yHeading5"/>
      </w:pPr>
      <w:bookmarkStart w:id="203" w:name="_Toc106179973"/>
      <w:r>
        <w:t>9.</w:t>
      </w:r>
      <w:r>
        <w:tab/>
        <w:t>Semi</w:t>
      </w:r>
      <w:r>
        <w:noBreakHyphen/>
        <w:t>rural residential</w:t>
      </w:r>
      <w:bookmarkEnd w:id="203"/>
    </w:p>
    <w:p>
      <w:pPr>
        <w:pStyle w:val="ySubsection"/>
        <w:tabs>
          <w:tab w:val="right" w:leader="dot" w:pos="6804"/>
        </w:tabs>
      </w:pPr>
      <w:r>
        <w:tab/>
      </w:r>
      <w:r>
        <w:tab/>
        <w:t>For a semi</w:t>
      </w:r>
      <w:r>
        <w:noBreakHyphen/>
        <w:t xml:space="preserve">rural residential property not </w:t>
      </w:r>
      <w:r>
        <w:br/>
        <w:t xml:space="preserve">covered by item 4, the charge is </w:t>
      </w:r>
      <w:r>
        <w:tab/>
        <w:t>$268.98</w:t>
      </w:r>
    </w:p>
    <w:p>
      <w:pPr>
        <w:pStyle w:val="yHeading5"/>
      </w:pPr>
      <w:bookmarkStart w:id="204" w:name="_Toc106179974"/>
      <w:r>
        <w:t>10.</w:t>
      </w:r>
      <w:r>
        <w:tab/>
        <w:t>Non</w:t>
      </w:r>
      <w:r>
        <w:noBreakHyphen/>
        <w:t>metropolitan concessional</w:t>
      </w:r>
      <w:bookmarkEnd w:id="204"/>
    </w:p>
    <w:p>
      <w:pPr>
        <w:pStyle w:val="ySubsection"/>
      </w:pPr>
      <w:r>
        <w:tab/>
        <w:t>(1)</w:t>
      </w:r>
      <w:r>
        <w:tab/>
        <w:t>For land in the non</w:t>
      </w:r>
      <w:r>
        <w:noBreakHyphen/>
        <w:t>metropolitan area that —</w:t>
      </w:r>
    </w:p>
    <w:p>
      <w:pPr>
        <w:pStyle w:val="yIndenta"/>
      </w:pPr>
      <w:r>
        <w:tab/>
        <w:t>(a)</w:t>
      </w:r>
      <w:r>
        <w:tab/>
        <w:t>is concessional land contained in a residential property; or</w:t>
      </w:r>
    </w:p>
    <w:p>
      <w:pPr>
        <w:pStyle w:val="yIndenta"/>
      </w:pPr>
      <w:r>
        <w:tab/>
        <w:t>(b)</w:t>
      </w:r>
      <w:r>
        <w:tab/>
        <w:t>is classified as charitable purposes, institutional public or local government and not contained in a residential property,</w:t>
      </w:r>
    </w:p>
    <w:p>
      <w:pPr>
        <w:pStyle w:val="ySubsection"/>
      </w:pPr>
      <w:r>
        <w:tab/>
      </w:r>
      <w:r>
        <w:tab/>
        <w:t>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205" w:name="_Toc106179975"/>
      <w:r>
        <w:t>11.</w:t>
      </w:r>
      <w:r>
        <w:tab/>
        <w:t>Non</w:t>
      </w:r>
      <w:r>
        <w:noBreakHyphen/>
        <w:t>residential or commercial residential (except storage units, parking bays and certain lots in strata titles scheme or community titles scheme)</w:t>
      </w:r>
      <w:bookmarkEnd w:id="205"/>
    </w:p>
    <w:p>
      <w:pPr>
        <w:pStyle w:val="ySubsection"/>
      </w:pPr>
      <w:r>
        <w:tab/>
        <w:t>(1)</w:t>
      </w:r>
      <w:r>
        <w:tab/>
        <w:t>For land that —</w:t>
      </w:r>
    </w:p>
    <w:p>
      <w:pPr>
        <w:pStyle w:val="yIndenta"/>
      </w:pPr>
      <w:r>
        <w:tab/>
        <w:t>(a)</w:t>
      </w:r>
      <w:r>
        <w:tab/>
        <w:t>is classified as non</w:t>
      </w:r>
      <w:r>
        <w:noBreakHyphen/>
        <w:t>residential or commercial residential; and</w:t>
      </w:r>
    </w:p>
    <w:p>
      <w:pPr>
        <w:pStyle w:val="yIndenta"/>
      </w:pPr>
      <w:r>
        <w:lastRenderedPageBreak/>
        <w:tab/>
        <w:t>(b)</w:t>
      </w:r>
      <w:r>
        <w:tab/>
        <w:t>is not contained in a residential property; and</w:t>
      </w:r>
    </w:p>
    <w:p>
      <w:pPr>
        <w:pStyle w:val="yIndenta"/>
      </w:pPr>
      <w:r>
        <w:tab/>
        <w:t>(c)</w:t>
      </w:r>
      <w:r>
        <w:tab/>
        <w:t>is not covered by item 5, 6 or 7,</w:t>
      </w:r>
    </w:p>
    <w:p>
      <w:pPr>
        <w:pStyle w:val="ySubsection"/>
      </w:pPr>
      <w:r>
        <w:tab/>
      </w:r>
      <w:r>
        <w:tab/>
        <w:t>the charge is the charge set out in the Table in item 2, according to the relevant meter size.</w:t>
      </w:r>
    </w:p>
    <w:p>
      <w:pPr>
        <w:pStyle w:val="ySubsection"/>
      </w:pPr>
      <w:r>
        <w:tab/>
        <w:t>(2)</w:t>
      </w:r>
      <w:r>
        <w:tab/>
        <w:t>Sub</w:t>
      </w:r>
      <w:r>
        <w:noBreakHyphen/>
        <w:t>item (1) does not apply to a connection covered by item 21.</w:t>
      </w:r>
    </w:p>
    <w:p>
      <w:pPr>
        <w:pStyle w:val="ySubsection"/>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pPr>
        <w:pStyle w:val="ySubsection"/>
      </w:pPr>
      <w:r>
        <w:tab/>
        <w:t>(4)</w:t>
      </w:r>
      <w:r>
        <w:tab/>
        <w:t>If land covered by sub</w:t>
      </w:r>
      <w:r>
        <w:noBreakHyphen/>
        <w:t>item (1) is not connected to the water supply works of the Water Corporation, the charge is to be calculated as if the land were connected and the connection metered through a 20 mm meter.</w:t>
      </w:r>
    </w:p>
    <w:p>
      <w:pPr>
        <w:pStyle w:val="yHeading5"/>
      </w:pPr>
      <w:bookmarkStart w:id="206" w:name="_Toc106179976"/>
      <w:r>
        <w:t>12.</w:t>
      </w:r>
      <w:r>
        <w:tab/>
        <w:t>Additional connections</w:t>
      </w:r>
      <w:bookmarkEnd w:id="206"/>
    </w:p>
    <w:p>
      <w:pPr>
        <w:pStyle w:val="ySubsection"/>
      </w:pPr>
      <w:r>
        <w:tab/>
        <w:t>(1)</w:t>
      </w:r>
      <w:r>
        <w:tab/>
        <w:t>For land supplied water through more than one water supply connection, the charge, for each additional connection, is —</w:t>
      </w:r>
    </w:p>
    <w:p>
      <w:pPr>
        <w:pStyle w:val="yIndenta"/>
      </w:pPr>
      <w:r>
        <w:tab/>
        <w:t>(a)</w:t>
      </w:r>
      <w:r>
        <w:tab/>
        <w:t>for land that is classified as non</w:t>
      </w:r>
      <w:r>
        <w:noBreakHyphen/>
        <w:t>residential or commercial residential, the charge set out in the Table in item 2, according to the relevant meter size; and</w:t>
      </w:r>
    </w:p>
    <w:p>
      <w:pPr>
        <w:pStyle w:val="yIndenta"/>
        <w:tabs>
          <w:tab w:val="right" w:leader="dot" w:pos="6804"/>
        </w:tabs>
      </w:pPr>
      <w:r>
        <w:tab/>
        <w:t>(b)</w:t>
      </w:r>
      <w:r>
        <w:tab/>
        <w:t xml:space="preserve">for land to which paragraph (a) </w:t>
      </w:r>
      <w:r>
        <w:br/>
        <w:t xml:space="preserve">does not apply </w:t>
      </w:r>
      <w:r>
        <w:tab/>
        <w:t>$268.98</w:t>
      </w:r>
    </w:p>
    <w:p>
      <w:pPr>
        <w:pStyle w:val="ySubsection"/>
      </w:pPr>
      <w:r>
        <w:tab/>
        <w:t>(2)</w:t>
      </w:r>
      <w:r>
        <w:tab/>
        <w:t>Sub</w:t>
      </w:r>
      <w:r>
        <w:noBreakHyphen/>
        <w:t>item (1) does not apply to —</w:t>
      </w:r>
    </w:p>
    <w:p>
      <w:pPr>
        <w:pStyle w:val="yIndenta"/>
      </w:pPr>
      <w:r>
        <w:tab/>
        <w:t>(a)</w:t>
      </w:r>
      <w:r>
        <w:tab/>
        <w:t>land covered by item 4 or 10; and</w:t>
      </w:r>
    </w:p>
    <w:p>
      <w:pPr>
        <w:pStyle w:val="yIndenta"/>
      </w:pPr>
      <w:r>
        <w:tab/>
        <w:t>(b)</w:t>
      </w:r>
      <w:r>
        <w:tab/>
        <w:t>a garden service connection; and</w:t>
      </w:r>
    </w:p>
    <w:p>
      <w:pPr>
        <w:pStyle w:val="yIndenta"/>
      </w:pPr>
      <w:r>
        <w:tab/>
        <w:t>(c)</w:t>
      </w:r>
      <w:r>
        <w:tab/>
        <w:t>a connection covered by item 13 or 21.</w:t>
      </w:r>
    </w:p>
    <w:p>
      <w:pPr>
        <w:pStyle w:val="ySubsection"/>
      </w:pPr>
      <w:r>
        <w:tab/>
        <w:t>(3)</w:t>
      </w:r>
      <w:r>
        <w:tab/>
        <w:t>The charge under sub</w:t>
      </w:r>
      <w:r>
        <w:noBreakHyphen/>
        <w:t>item (1) is in addition to any other charge applicable to the land under this Schedule.</w:t>
      </w:r>
    </w:p>
    <w:p>
      <w:pPr>
        <w:pStyle w:val="ySubsection"/>
      </w:pPr>
      <w:r>
        <w:tab/>
        <w:t>(4)</w:t>
      </w:r>
      <w:r>
        <w:tab/>
        <w:t>If a connection to which sub</w:t>
      </w:r>
      <w:r>
        <w:noBreakHyphen/>
        <w:t>item (1)(a) applies is not metered, the charge is to be calculated as if the connection were metered through a meter of a size equal to the diameter of the pipe making the connection.</w:t>
      </w:r>
    </w:p>
    <w:p>
      <w:pPr>
        <w:pStyle w:val="yHeading5"/>
      </w:pPr>
      <w:bookmarkStart w:id="207" w:name="_Toc106179977"/>
      <w:r>
        <w:lastRenderedPageBreak/>
        <w:t>13.</w:t>
      </w:r>
      <w:r>
        <w:tab/>
        <w:t>Farmland</w:t>
      </w:r>
      <w:bookmarkEnd w:id="207"/>
    </w:p>
    <w:p>
      <w:pPr>
        <w:pStyle w:val="ySubsection"/>
        <w:tabs>
          <w:tab w:val="right" w:leader="dot" w:pos="6804"/>
        </w:tabs>
      </w:pPr>
      <w:r>
        <w:tab/>
      </w:r>
      <w:r>
        <w:tab/>
        <w:t xml:space="preserve">For land that is classified as farmland, </w:t>
      </w:r>
      <w:r>
        <w:br/>
        <w:t xml:space="preserve">the charge per connection is </w:t>
      </w:r>
      <w:r>
        <w:tab/>
        <w:t>$285.82</w:t>
      </w:r>
    </w:p>
    <w:p>
      <w:pPr>
        <w:pStyle w:val="yHeading5"/>
      </w:pPr>
      <w:bookmarkStart w:id="208" w:name="_Toc106179978"/>
      <w:r>
        <w:t>14.</w:t>
      </w:r>
      <w:r>
        <w:tab/>
        <w:t>Vacant land</w:t>
      </w:r>
      <w:bookmarkEnd w:id="208"/>
    </w:p>
    <w:p>
      <w:pPr>
        <w:pStyle w:val="ySubsection"/>
        <w:tabs>
          <w:tab w:val="right" w:leader="dot" w:pos="6804"/>
        </w:tabs>
      </w:pPr>
      <w:r>
        <w:tab/>
      </w:r>
      <w:r>
        <w:tab/>
        <w:t xml:space="preserve">For land that is classified as vacant land, </w:t>
      </w:r>
      <w:r>
        <w:br/>
        <w:t>the charge is</w:t>
      </w:r>
      <w:r>
        <w:tab/>
        <w:t>$268.98</w:t>
      </w:r>
    </w:p>
    <w:p>
      <w:pPr>
        <w:pStyle w:val="yHeading5"/>
      </w:pPr>
      <w:bookmarkStart w:id="209" w:name="_Toc106179979"/>
      <w:r>
        <w:t>15.</w:t>
      </w:r>
      <w:r>
        <w:tab/>
        <w:t>Garden service connections</w:t>
      </w:r>
      <w:bookmarkEnd w:id="209"/>
    </w:p>
    <w:p>
      <w:pPr>
        <w:pStyle w:val="ySubsection"/>
      </w:pPr>
      <w:r>
        <w:tab/>
        <w:t>(1)</w:t>
      </w:r>
      <w:r>
        <w:tab/>
        <w:t xml:space="preserve">For a garden service connection for water supplied to land — </w:t>
      </w:r>
    </w:p>
    <w:p>
      <w:pPr>
        <w:pStyle w:val="yIndenta"/>
      </w:pPr>
      <w:r>
        <w:tab/>
        <w:t>(a)</w:t>
      </w:r>
      <w:r>
        <w:tab/>
        <w:t xml:space="preserve">in the suburb of Butler in the metropolitan area — </w:t>
      </w:r>
    </w:p>
    <w:p>
      <w:pPr>
        <w:pStyle w:val="yIndenti0"/>
        <w:tabs>
          <w:tab w:val="right" w:leader="dot" w:pos="6804"/>
        </w:tabs>
      </w:pPr>
      <w:r>
        <w:tab/>
        <w:t>(i)</w:t>
      </w:r>
      <w:r>
        <w:tab/>
        <w:t xml:space="preserve">for land with an area of less </w:t>
      </w:r>
      <w:r>
        <w:br/>
        <w:t xml:space="preserve">than 400 m2, the charge is </w:t>
      </w:r>
      <w:r>
        <w:tab/>
        <w:t>$83.78</w:t>
      </w:r>
    </w:p>
    <w:p>
      <w:pPr>
        <w:pStyle w:val="yIndenti0"/>
        <w:tabs>
          <w:tab w:val="right" w:leader="dot" w:pos="6804"/>
        </w:tabs>
      </w:pPr>
      <w:r>
        <w:tab/>
        <w:t>(ii)</w:t>
      </w:r>
      <w:r>
        <w:tab/>
        <w:t xml:space="preserve">for land with an area equal to </w:t>
      </w:r>
      <w:r>
        <w:br/>
        <w:t xml:space="preserve">or greater than 400 m2, </w:t>
      </w:r>
      <w:r>
        <w:br/>
        <w:t xml:space="preserve">the charge is </w:t>
      </w:r>
      <w:r>
        <w:tab/>
        <w:t>$167.57</w:t>
      </w:r>
    </w:p>
    <w:p>
      <w:pPr>
        <w:pStyle w:val="yIndenta"/>
      </w:pPr>
      <w:r>
        <w:tab/>
      </w:r>
      <w:r>
        <w:tab/>
        <w:t>and</w:t>
      </w:r>
    </w:p>
    <w:p>
      <w:pPr>
        <w:pStyle w:val="yIndenta"/>
        <w:tabs>
          <w:tab w:val="right" w:leader="dot" w:pos="6804"/>
        </w:tabs>
      </w:pPr>
      <w:r>
        <w:tab/>
        <w:t>(b)</w:t>
      </w:r>
      <w:r>
        <w:tab/>
        <w:t xml:space="preserve">in the suburb of Mulataga in the </w:t>
      </w:r>
      <w:r>
        <w:br/>
        <w:t xml:space="preserve">town of Karratha, the charge is </w:t>
      </w:r>
      <w:r>
        <w:tab/>
        <w:t>$54.53</w:t>
      </w:r>
    </w:p>
    <w:p>
      <w:pPr>
        <w:pStyle w:val="ySubsection"/>
      </w:pPr>
      <w:r>
        <w:tab/>
        <w:t>(2)</w:t>
      </w:r>
      <w:r>
        <w:tab/>
        <w:t>The charge under sub</w:t>
      </w:r>
      <w:r>
        <w:noBreakHyphen/>
        <w:t>item (1) is in addition to any other charge applicable to the land under this Schedule.</w:t>
      </w:r>
    </w:p>
    <w:p>
      <w:pPr>
        <w:pStyle w:val="yHeading5"/>
      </w:pPr>
      <w:bookmarkStart w:id="210" w:name="_Toc106179980"/>
      <w:r>
        <w:t>16.</w:t>
      </w:r>
      <w:r>
        <w:tab/>
        <w:t>Government trading organisations and non</w:t>
      </w:r>
      <w:r>
        <w:noBreakHyphen/>
        <w:t>commercial government property</w:t>
      </w:r>
      <w:bookmarkEnd w:id="210"/>
    </w:p>
    <w:p>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Subsection"/>
      </w:pPr>
      <w:r>
        <w:tab/>
        <w:t>(2)</w:t>
      </w:r>
      <w:r>
        <w:tab/>
        <w:t>This item does not apply to public land.</w:t>
      </w:r>
    </w:p>
    <w:p>
      <w:pPr>
        <w:pStyle w:val="ySubsection"/>
      </w:pPr>
      <w:r>
        <w:tab/>
        <w:t>(3)</w:t>
      </w:r>
      <w:r>
        <w:tab/>
        <w:t xml:space="preserve">For land to which this item applies — </w:t>
      </w:r>
    </w:p>
    <w:p>
      <w:pPr>
        <w:pStyle w:val="yIndenta"/>
      </w:pPr>
      <w:r>
        <w:tab/>
        <w:t>(a)</w:t>
      </w:r>
      <w:r>
        <w:tab/>
        <w:t>the charge referred to in sub</w:t>
      </w:r>
      <w:r>
        <w:noBreakHyphen/>
        <w:t>item (1) that would otherwise apply, does not; and</w:t>
      </w:r>
    </w:p>
    <w:p>
      <w:pPr>
        <w:pStyle w:val="yIndenta"/>
      </w:pPr>
      <w:r>
        <w:tab/>
        <w:t>(b)</w:t>
      </w:r>
      <w:r>
        <w:tab/>
        <w:t>the charge, per water supply connection, is the charge set out in the Table in item 2 according to the relevant meter size.</w:t>
      </w:r>
    </w:p>
    <w:p>
      <w:pPr>
        <w:pStyle w:val="ySubsection"/>
      </w:pPr>
      <w:r>
        <w:lastRenderedPageBreak/>
        <w:tab/>
        <w:t>(4)</w:t>
      </w:r>
      <w:r>
        <w:tab/>
        <w:t>If a connection to which sub</w:t>
      </w:r>
      <w:r>
        <w:noBreakHyphen/>
        <w:t>item (3)(b) applies is not metered, the charge is to be calculated as if the connection were metered through a 20 mm meter.</w:t>
      </w:r>
    </w:p>
    <w:p>
      <w:pPr>
        <w:pStyle w:val="yHeading5"/>
      </w:pPr>
      <w:bookmarkStart w:id="211" w:name="_Toc106179981"/>
      <w:r>
        <w:t>17.</w:t>
      </w:r>
      <w:r>
        <w:tab/>
        <w:t>Government trading organisations and non</w:t>
      </w:r>
      <w:r>
        <w:noBreakHyphen/>
        <w:t>commercial government property: on</w:t>
      </w:r>
      <w:r>
        <w:noBreakHyphen/>
        <w:t>supply to lessees or ships</w:t>
      </w:r>
      <w:bookmarkEnd w:id="211"/>
    </w:p>
    <w:p>
      <w:pPr>
        <w:pStyle w:val="ySubsection"/>
      </w:pPr>
      <w:r>
        <w:tab/>
        <w:t>(1)</w:t>
      </w:r>
      <w:r>
        <w:tab/>
        <w:t>This item applies to land held by a government trading organisation, or a public authority that holds non</w:t>
      </w:r>
      <w:r>
        <w:noBreakHyphen/>
        <w:t>commercial government property, if —</w:t>
      </w:r>
    </w:p>
    <w:p>
      <w:pPr>
        <w:pStyle w:val="yIndenta"/>
      </w:pPr>
      <w:r>
        <w:tab/>
        <w:t>(a)</w:t>
      </w:r>
      <w:r>
        <w:tab/>
        <w:t>the land is connected to the water supply works of the Water Corporation; and</w:t>
      </w:r>
    </w:p>
    <w:p>
      <w:pPr>
        <w:pStyle w:val="yIndenta"/>
      </w:pPr>
      <w:r>
        <w:tab/>
        <w:t>(b)</w:t>
      </w:r>
      <w:r>
        <w:tab/>
        <w:t>a meter is connected to the property water supply connection with which the Water Corporation supplies water to the land; and</w:t>
      </w:r>
    </w:p>
    <w:p>
      <w:pPr>
        <w:pStyle w:val="yIndenta"/>
      </w:pPr>
      <w:r>
        <w:tab/>
        <w:t>(c)</w:t>
      </w:r>
      <w:r>
        <w:tab/>
        <w:t>at least some of the water supplied through the meter referred to in paragraph (b) is supplied, through a meter, to one or more lessees of any of the land or to ships in port.</w:t>
      </w:r>
    </w:p>
    <w:p>
      <w:pPr>
        <w:pStyle w:val="ySubsection"/>
      </w:pPr>
      <w:r>
        <w:tab/>
        <w:t>(2)</w:t>
      </w:r>
      <w:r>
        <w:tab/>
        <w:t>For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Subsection"/>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4"/>
      </w:pPr>
      <w:bookmarkStart w:id="212" w:name="_Toc106103998"/>
      <w:bookmarkStart w:id="213" w:name="_Toc106104226"/>
      <w:bookmarkStart w:id="214" w:name="_Toc106179754"/>
      <w:bookmarkStart w:id="215" w:name="_Toc106179982"/>
      <w:r>
        <w:t>Subdivision 3 — Other service charges</w:t>
      </w:r>
      <w:bookmarkEnd w:id="212"/>
      <w:bookmarkEnd w:id="213"/>
      <w:bookmarkEnd w:id="214"/>
      <w:bookmarkEnd w:id="215"/>
    </w:p>
    <w:p>
      <w:pPr>
        <w:pStyle w:val="yFootnoteheading"/>
      </w:pPr>
      <w:r>
        <w:tab/>
        <w:t>[Heading inserted: SL 2021/80 r. 8.]</w:t>
      </w:r>
    </w:p>
    <w:p>
      <w:pPr>
        <w:pStyle w:val="yHeading5"/>
      </w:pPr>
      <w:bookmarkStart w:id="216" w:name="_Toc106179983"/>
      <w:r>
        <w:t>18.</w:t>
      </w:r>
      <w:r>
        <w:tab/>
        <w:t>Stock</w:t>
      </w:r>
      <w:bookmarkEnd w:id="216"/>
    </w:p>
    <w:p>
      <w:pPr>
        <w:pStyle w:val="ySubsection"/>
        <w:tabs>
          <w:tab w:val="right" w:leader="dot" w:pos="6804"/>
        </w:tabs>
      </w:pPr>
      <w:r>
        <w:tab/>
      </w:r>
      <w:r>
        <w:tab/>
        <w:t xml:space="preserve">For each water supply connection provided </w:t>
      </w:r>
      <w:r>
        <w:br/>
        <w:t xml:space="preserve">for the purpose of watering stock on land that </w:t>
      </w:r>
      <w:r>
        <w:br/>
        <w:t xml:space="preserve">is not covered by item 13, the charge is </w:t>
      </w:r>
      <w:r>
        <w:tab/>
        <w:t>$285.82</w:t>
      </w:r>
    </w:p>
    <w:p>
      <w:pPr>
        <w:pStyle w:val="yHeading5"/>
      </w:pPr>
      <w:bookmarkStart w:id="217" w:name="_Toc106179984"/>
      <w:r>
        <w:lastRenderedPageBreak/>
        <w:t>19.</w:t>
      </w:r>
      <w:r>
        <w:tab/>
        <w:t>Shipping</w:t>
      </w:r>
      <w:bookmarkEnd w:id="217"/>
    </w:p>
    <w:p>
      <w:pPr>
        <w:pStyle w:val="ySubsection"/>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218" w:name="_Toc106179985"/>
      <w:r>
        <w:t>20.</w:t>
      </w:r>
      <w:r>
        <w:tab/>
        <w:t>Local government standpipes</w:t>
      </w:r>
      <w:bookmarkEnd w:id="218"/>
    </w:p>
    <w:p>
      <w:pPr>
        <w:pStyle w:val="ySubsection"/>
        <w:tabs>
          <w:tab w:val="right" w:leader="dot" w:pos="6804"/>
        </w:tabs>
      </w:pPr>
      <w:r>
        <w:tab/>
      </w:r>
      <w:r>
        <w:tab/>
        <w:t xml:space="preserve">For each local government standpipe, </w:t>
      </w:r>
      <w:r>
        <w:br/>
        <w:t xml:space="preserve">the charge is </w:t>
      </w:r>
      <w:r>
        <w:tab/>
        <w:t>$285.82</w:t>
      </w:r>
    </w:p>
    <w:p>
      <w:pPr>
        <w:pStyle w:val="yHeading5"/>
      </w:pPr>
      <w:bookmarkStart w:id="219" w:name="_Toc106179986"/>
      <w:r>
        <w:t>21.</w:t>
      </w:r>
      <w:r>
        <w:tab/>
        <w:t>Fire service connections</w:t>
      </w:r>
      <w:bookmarkEnd w:id="219"/>
    </w:p>
    <w:p>
      <w:pPr>
        <w:pStyle w:val="ySubsection"/>
        <w:tabs>
          <w:tab w:val="right" w:leader="dot" w:pos="6804"/>
        </w:tabs>
      </w:pPr>
      <w:r>
        <w:tab/>
      </w:r>
      <w:r>
        <w:tab/>
        <w:t xml:space="preserve">For a fire service connection, the charge is </w:t>
      </w:r>
      <w:r>
        <w:tab/>
        <w:t>$285.82</w:t>
      </w:r>
    </w:p>
    <w:p>
      <w:pPr>
        <w:pStyle w:val="yFootnotesection"/>
      </w:pPr>
      <w:r>
        <w:tab/>
        <w:t>[Division 1 inserted: SL 2021/80 r. 8.]</w:t>
      </w:r>
    </w:p>
    <w:p>
      <w:pPr>
        <w:pStyle w:val="yHeading3"/>
      </w:pPr>
      <w:bookmarkStart w:id="220" w:name="_Toc106104003"/>
      <w:bookmarkStart w:id="221" w:name="_Toc106104231"/>
      <w:bookmarkStart w:id="222" w:name="_Toc106179759"/>
      <w:bookmarkStart w:id="223" w:name="_Toc106179987"/>
      <w:r>
        <w:rPr>
          <w:rStyle w:val="CharSDivNo"/>
        </w:rPr>
        <w:t>Division 2</w:t>
      </w:r>
      <w:r>
        <w:t> — </w:t>
      </w:r>
      <w:r>
        <w:rPr>
          <w:rStyle w:val="CharSDivText"/>
        </w:rPr>
        <w:t>Consumption charges</w:t>
      </w:r>
      <w:bookmarkEnd w:id="220"/>
      <w:bookmarkEnd w:id="221"/>
      <w:bookmarkEnd w:id="222"/>
      <w:bookmarkEnd w:id="223"/>
    </w:p>
    <w:p>
      <w:pPr>
        <w:pStyle w:val="yFootnoteheading"/>
      </w:pPr>
      <w:r>
        <w:tab/>
        <w:t>[Heading inserted: SL 2021/80 r. 8.]</w:t>
      </w:r>
    </w:p>
    <w:p>
      <w:pPr>
        <w:pStyle w:val="yHeading4"/>
      </w:pPr>
      <w:bookmarkStart w:id="224" w:name="_Toc106104004"/>
      <w:bookmarkStart w:id="225" w:name="_Toc106104232"/>
      <w:bookmarkStart w:id="226" w:name="_Toc106179760"/>
      <w:bookmarkStart w:id="227" w:name="_Toc106179988"/>
      <w:r>
        <w:t>Subdivision 1 — Preliminary</w:t>
      </w:r>
      <w:bookmarkEnd w:id="224"/>
      <w:bookmarkEnd w:id="225"/>
      <w:bookmarkEnd w:id="226"/>
      <w:bookmarkEnd w:id="227"/>
    </w:p>
    <w:p>
      <w:pPr>
        <w:pStyle w:val="yFootnoteheading"/>
      </w:pPr>
      <w:r>
        <w:tab/>
        <w:t>[Heading inserted: SL 2021/80 r. 8.]</w:t>
      </w:r>
    </w:p>
    <w:p>
      <w:pPr>
        <w:pStyle w:val="yHeading5"/>
      </w:pPr>
      <w:bookmarkStart w:id="228" w:name="_Toc106179989"/>
      <w:r>
        <w:t>22.</w:t>
      </w:r>
      <w:r>
        <w:tab/>
        <w:t>Consumption charges for 2021/22 and subsequent years</w:t>
      </w:r>
      <w:bookmarkEnd w:id="228"/>
    </w:p>
    <w:p>
      <w:pPr>
        <w:pStyle w:val="ySubsection"/>
      </w:pPr>
      <w:r>
        <w:tab/>
        <w:t>(1)</w:t>
      </w:r>
      <w:r>
        <w:tab/>
        <w:t>The charges set out in this Division apply for water supplied in the 2021/22 financial year and each subsequent year.</w:t>
      </w:r>
    </w:p>
    <w:p>
      <w:pPr>
        <w:pStyle w:val="ySubsection"/>
      </w:pPr>
      <w:r>
        <w:tab/>
        <w:t>(2)</w:t>
      </w:r>
      <w:r>
        <w:tab/>
        <w:t>Volumetric ranges in an item of this Division have effect by reference to the volume of water supplied in the current consumption year.</w:t>
      </w:r>
    </w:p>
    <w:p>
      <w:pPr>
        <w:pStyle w:val="yHeading5"/>
      </w:pPr>
      <w:bookmarkStart w:id="229" w:name="_Toc106179990"/>
      <w:r>
        <w:t>23.</w:t>
      </w:r>
      <w:r>
        <w:tab/>
        <w:t>Residential or non</w:t>
      </w:r>
      <w:r>
        <w:noBreakHyphen/>
        <w:t>residential class of town or area</w:t>
      </w:r>
      <w:bookmarkEnd w:id="229"/>
    </w:p>
    <w:p>
      <w:pPr>
        <w:pStyle w:val="ySubsection"/>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230" w:name="_Toc106179991"/>
      <w:r>
        <w:lastRenderedPageBreak/>
        <w:t>24.</w:t>
      </w:r>
      <w:r>
        <w:tab/>
        <w:t>Table of class</w:t>
      </w:r>
      <w:r>
        <w:noBreakHyphen/>
        <w:t>based charges</w:t>
      </w:r>
      <w:bookmarkEnd w:id="230"/>
    </w:p>
    <w:p>
      <w:pPr>
        <w:pStyle w:val="ySubsection"/>
        <w:keepNext/>
      </w:pPr>
      <w:r>
        <w:tab/>
      </w: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trHeight w:val="217"/>
          <w:tblHeader/>
        </w:trPr>
        <w:tc>
          <w:tcPr>
            <w:tcW w:w="1701" w:type="dxa"/>
            <w:tcBorders>
              <w:top w:val="single" w:sz="4" w:space="0" w:color="auto"/>
              <w:bottom w:val="single" w:sz="4" w:space="0" w:color="auto"/>
            </w:tcBorders>
            <w:noWrap/>
            <w:vAlign w:val="center"/>
          </w:tcPr>
          <w:p>
            <w:pPr>
              <w:pStyle w:val="yTableNAm"/>
              <w:jc w:val="center"/>
              <w:rPr>
                <w:b/>
              </w:rPr>
            </w:pPr>
            <w:r>
              <w:rPr>
                <w:b/>
              </w:rPr>
              <w:t>Class</w:t>
            </w:r>
          </w:p>
        </w:tc>
        <w:tc>
          <w:tcPr>
            <w:tcW w:w="1701" w:type="dxa"/>
            <w:tcBorders>
              <w:top w:val="single" w:sz="4" w:space="0" w:color="auto"/>
              <w:bottom w:val="single" w:sz="4" w:space="0" w:color="auto"/>
            </w:tcBorders>
            <w:noWrap/>
          </w:tcPr>
          <w:p>
            <w:pPr>
              <w:pStyle w:val="yTableNAm"/>
              <w:jc w:val="center"/>
              <w:rPr>
                <w:b/>
              </w:rPr>
            </w:pPr>
            <w:r>
              <w:rPr>
                <w:b/>
              </w:rPr>
              <w:t>Charge (cents)</w:t>
            </w:r>
          </w:p>
        </w:tc>
      </w:tr>
      <w:tr>
        <w:tc>
          <w:tcPr>
            <w:tcW w:w="1701" w:type="dxa"/>
            <w:tcBorders>
              <w:top w:val="single" w:sz="4" w:space="0" w:color="auto"/>
            </w:tcBorders>
            <w:noWrap/>
            <w:vAlign w:val="center"/>
          </w:tcPr>
          <w:p>
            <w:pPr>
              <w:pStyle w:val="yTableNAm"/>
              <w:jc w:val="center"/>
            </w:pPr>
            <w:r>
              <w:t>1</w:t>
            </w:r>
          </w:p>
        </w:tc>
        <w:tc>
          <w:tcPr>
            <w:tcW w:w="1701" w:type="dxa"/>
            <w:tcBorders>
              <w:top w:val="single" w:sz="4" w:space="0" w:color="auto"/>
            </w:tcBorders>
            <w:noWrap/>
            <w:vAlign w:val="bottom"/>
          </w:tcPr>
          <w:p>
            <w:pPr>
              <w:pStyle w:val="yTableNAm"/>
              <w:jc w:val="center"/>
            </w:pPr>
            <w:r>
              <w:rPr>
                <w:szCs w:val="22"/>
              </w:rPr>
              <w:t>272.9</w:t>
            </w:r>
          </w:p>
        </w:tc>
      </w:tr>
      <w:tr>
        <w:tc>
          <w:tcPr>
            <w:tcW w:w="1701" w:type="dxa"/>
            <w:noWrap/>
            <w:vAlign w:val="center"/>
          </w:tcPr>
          <w:p>
            <w:pPr>
              <w:pStyle w:val="yTableNAm"/>
              <w:jc w:val="center"/>
            </w:pPr>
            <w:r>
              <w:t>2</w:t>
            </w:r>
          </w:p>
        </w:tc>
        <w:tc>
          <w:tcPr>
            <w:tcW w:w="1701" w:type="dxa"/>
            <w:noWrap/>
            <w:vAlign w:val="bottom"/>
          </w:tcPr>
          <w:p>
            <w:pPr>
              <w:pStyle w:val="yTableNAm"/>
              <w:jc w:val="center"/>
            </w:pPr>
            <w:r>
              <w:rPr>
                <w:szCs w:val="22"/>
              </w:rPr>
              <w:t>297.4</w:t>
            </w:r>
          </w:p>
        </w:tc>
      </w:tr>
      <w:tr>
        <w:tc>
          <w:tcPr>
            <w:tcW w:w="1701" w:type="dxa"/>
            <w:noWrap/>
            <w:vAlign w:val="center"/>
          </w:tcPr>
          <w:p>
            <w:pPr>
              <w:pStyle w:val="yTableNAm"/>
              <w:jc w:val="center"/>
            </w:pPr>
            <w:r>
              <w:t>3</w:t>
            </w:r>
          </w:p>
        </w:tc>
        <w:tc>
          <w:tcPr>
            <w:tcW w:w="1701" w:type="dxa"/>
            <w:noWrap/>
            <w:vAlign w:val="bottom"/>
          </w:tcPr>
          <w:p>
            <w:pPr>
              <w:pStyle w:val="yTableNAm"/>
              <w:jc w:val="center"/>
            </w:pPr>
            <w:r>
              <w:rPr>
                <w:szCs w:val="22"/>
              </w:rPr>
              <w:t>323.4</w:t>
            </w:r>
          </w:p>
        </w:tc>
      </w:tr>
      <w:tr>
        <w:tc>
          <w:tcPr>
            <w:tcW w:w="1701" w:type="dxa"/>
            <w:noWrap/>
            <w:vAlign w:val="center"/>
          </w:tcPr>
          <w:p>
            <w:pPr>
              <w:pStyle w:val="yTableNAm"/>
              <w:jc w:val="center"/>
            </w:pPr>
            <w:r>
              <w:t>4</w:t>
            </w:r>
          </w:p>
        </w:tc>
        <w:tc>
          <w:tcPr>
            <w:tcW w:w="1701" w:type="dxa"/>
            <w:noWrap/>
            <w:vAlign w:val="bottom"/>
          </w:tcPr>
          <w:p>
            <w:pPr>
              <w:pStyle w:val="yTableNAm"/>
              <w:jc w:val="center"/>
            </w:pPr>
            <w:r>
              <w:rPr>
                <w:szCs w:val="22"/>
              </w:rPr>
              <w:t>352.4</w:t>
            </w:r>
          </w:p>
        </w:tc>
      </w:tr>
      <w:tr>
        <w:tc>
          <w:tcPr>
            <w:tcW w:w="1701" w:type="dxa"/>
            <w:noWrap/>
            <w:vAlign w:val="center"/>
          </w:tcPr>
          <w:p>
            <w:pPr>
              <w:pStyle w:val="yTableNAm"/>
              <w:jc w:val="center"/>
            </w:pPr>
            <w:r>
              <w:t>5</w:t>
            </w:r>
          </w:p>
        </w:tc>
        <w:tc>
          <w:tcPr>
            <w:tcW w:w="1701" w:type="dxa"/>
            <w:noWrap/>
            <w:vAlign w:val="bottom"/>
          </w:tcPr>
          <w:p>
            <w:pPr>
              <w:pStyle w:val="yTableNAm"/>
              <w:jc w:val="center"/>
            </w:pPr>
            <w:r>
              <w:rPr>
                <w:szCs w:val="22"/>
              </w:rPr>
              <w:t>383.8</w:t>
            </w:r>
          </w:p>
        </w:tc>
      </w:tr>
      <w:tr>
        <w:tc>
          <w:tcPr>
            <w:tcW w:w="1701" w:type="dxa"/>
            <w:noWrap/>
            <w:vAlign w:val="center"/>
          </w:tcPr>
          <w:p>
            <w:pPr>
              <w:pStyle w:val="yTableNAm"/>
              <w:jc w:val="center"/>
            </w:pPr>
            <w:r>
              <w:t>6</w:t>
            </w:r>
          </w:p>
        </w:tc>
        <w:tc>
          <w:tcPr>
            <w:tcW w:w="1701" w:type="dxa"/>
            <w:noWrap/>
            <w:vAlign w:val="bottom"/>
          </w:tcPr>
          <w:p>
            <w:pPr>
              <w:pStyle w:val="yTableNAm"/>
              <w:jc w:val="center"/>
            </w:pPr>
            <w:r>
              <w:rPr>
                <w:szCs w:val="22"/>
              </w:rPr>
              <w:t>417.8</w:t>
            </w:r>
          </w:p>
        </w:tc>
      </w:tr>
      <w:tr>
        <w:tc>
          <w:tcPr>
            <w:tcW w:w="1701" w:type="dxa"/>
            <w:noWrap/>
            <w:vAlign w:val="center"/>
          </w:tcPr>
          <w:p>
            <w:pPr>
              <w:pStyle w:val="yTableNAm"/>
              <w:jc w:val="center"/>
            </w:pPr>
            <w:r>
              <w:t>7</w:t>
            </w:r>
          </w:p>
        </w:tc>
        <w:tc>
          <w:tcPr>
            <w:tcW w:w="1701" w:type="dxa"/>
            <w:noWrap/>
            <w:vAlign w:val="bottom"/>
          </w:tcPr>
          <w:p>
            <w:pPr>
              <w:pStyle w:val="yTableNAm"/>
              <w:jc w:val="center"/>
            </w:pPr>
            <w:r>
              <w:rPr>
                <w:szCs w:val="22"/>
              </w:rPr>
              <w:t>455.1</w:t>
            </w:r>
          </w:p>
        </w:tc>
      </w:tr>
      <w:tr>
        <w:tc>
          <w:tcPr>
            <w:tcW w:w="1701" w:type="dxa"/>
            <w:noWrap/>
            <w:vAlign w:val="center"/>
          </w:tcPr>
          <w:p>
            <w:pPr>
              <w:pStyle w:val="yTableNAm"/>
              <w:jc w:val="center"/>
            </w:pPr>
            <w:r>
              <w:t>8</w:t>
            </w:r>
          </w:p>
        </w:tc>
        <w:tc>
          <w:tcPr>
            <w:tcW w:w="1701" w:type="dxa"/>
            <w:noWrap/>
            <w:vAlign w:val="bottom"/>
          </w:tcPr>
          <w:p>
            <w:pPr>
              <w:pStyle w:val="yTableNAm"/>
              <w:jc w:val="center"/>
            </w:pPr>
            <w:r>
              <w:rPr>
                <w:szCs w:val="22"/>
              </w:rPr>
              <w:t>495.5</w:t>
            </w:r>
          </w:p>
        </w:tc>
      </w:tr>
      <w:tr>
        <w:tc>
          <w:tcPr>
            <w:tcW w:w="1701" w:type="dxa"/>
            <w:noWrap/>
            <w:vAlign w:val="center"/>
          </w:tcPr>
          <w:p>
            <w:pPr>
              <w:pStyle w:val="yTableNAm"/>
              <w:jc w:val="center"/>
            </w:pPr>
            <w:r>
              <w:t>9</w:t>
            </w:r>
          </w:p>
        </w:tc>
        <w:tc>
          <w:tcPr>
            <w:tcW w:w="1701" w:type="dxa"/>
            <w:noWrap/>
            <w:vAlign w:val="bottom"/>
          </w:tcPr>
          <w:p>
            <w:pPr>
              <w:pStyle w:val="yTableNAm"/>
              <w:jc w:val="center"/>
            </w:pPr>
            <w:r>
              <w:rPr>
                <w:szCs w:val="22"/>
              </w:rPr>
              <w:t>539.6</w:t>
            </w:r>
          </w:p>
        </w:tc>
      </w:tr>
      <w:tr>
        <w:tc>
          <w:tcPr>
            <w:tcW w:w="1701" w:type="dxa"/>
            <w:noWrap/>
            <w:vAlign w:val="center"/>
          </w:tcPr>
          <w:p>
            <w:pPr>
              <w:pStyle w:val="yTableNAm"/>
              <w:jc w:val="center"/>
            </w:pPr>
            <w:r>
              <w:t>10</w:t>
            </w:r>
          </w:p>
        </w:tc>
        <w:tc>
          <w:tcPr>
            <w:tcW w:w="1701" w:type="dxa"/>
            <w:noWrap/>
            <w:vAlign w:val="bottom"/>
          </w:tcPr>
          <w:p>
            <w:pPr>
              <w:pStyle w:val="yTableNAm"/>
              <w:jc w:val="center"/>
            </w:pPr>
            <w:r>
              <w:rPr>
                <w:szCs w:val="22"/>
              </w:rPr>
              <w:t>587.6</w:t>
            </w:r>
          </w:p>
        </w:tc>
      </w:tr>
      <w:tr>
        <w:tc>
          <w:tcPr>
            <w:tcW w:w="1701" w:type="dxa"/>
            <w:noWrap/>
            <w:vAlign w:val="center"/>
          </w:tcPr>
          <w:p>
            <w:pPr>
              <w:pStyle w:val="yTableNAm"/>
              <w:jc w:val="center"/>
            </w:pPr>
            <w:r>
              <w:t>11</w:t>
            </w:r>
          </w:p>
        </w:tc>
        <w:tc>
          <w:tcPr>
            <w:tcW w:w="1701" w:type="dxa"/>
            <w:noWrap/>
            <w:vAlign w:val="bottom"/>
          </w:tcPr>
          <w:p>
            <w:pPr>
              <w:pStyle w:val="yTableNAm"/>
              <w:jc w:val="center"/>
            </w:pPr>
            <w:r>
              <w:rPr>
                <w:szCs w:val="22"/>
              </w:rPr>
              <w:t>639.7</w:t>
            </w:r>
          </w:p>
        </w:tc>
      </w:tr>
      <w:tr>
        <w:tc>
          <w:tcPr>
            <w:tcW w:w="1701" w:type="dxa"/>
            <w:noWrap/>
            <w:vAlign w:val="center"/>
          </w:tcPr>
          <w:p>
            <w:pPr>
              <w:pStyle w:val="yTableNAm"/>
              <w:jc w:val="center"/>
            </w:pPr>
            <w:r>
              <w:t>12</w:t>
            </w:r>
          </w:p>
        </w:tc>
        <w:tc>
          <w:tcPr>
            <w:tcW w:w="1701" w:type="dxa"/>
            <w:noWrap/>
            <w:vAlign w:val="bottom"/>
          </w:tcPr>
          <w:p>
            <w:pPr>
              <w:pStyle w:val="yTableNAm"/>
              <w:jc w:val="center"/>
            </w:pPr>
            <w:r>
              <w:rPr>
                <w:szCs w:val="22"/>
              </w:rPr>
              <w:t>696.7</w:t>
            </w:r>
          </w:p>
        </w:tc>
      </w:tr>
      <w:tr>
        <w:tc>
          <w:tcPr>
            <w:tcW w:w="1701" w:type="dxa"/>
            <w:noWrap/>
            <w:vAlign w:val="center"/>
          </w:tcPr>
          <w:p>
            <w:pPr>
              <w:pStyle w:val="yTableNAm"/>
              <w:jc w:val="center"/>
            </w:pPr>
            <w:r>
              <w:t>13</w:t>
            </w:r>
          </w:p>
        </w:tc>
        <w:tc>
          <w:tcPr>
            <w:tcW w:w="1701" w:type="dxa"/>
            <w:noWrap/>
            <w:vAlign w:val="bottom"/>
          </w:tcPr>
          <w:p>
            <w:pPr>
              <w:pStyle w:val="yTableNAm"/>
              <w:jc w:val="center"/>
            </w:pPr>
            <w:r>
              <w:rPr>
                <w:szCs w:val="22"/>
              </w:rPr>
              <w:t>758.7</w:t>
            </w:r>
          </w:p>
        </w:tc>
      </w:tr>
      <w:tr>
        <w:tc>
          <w:tcPr>
            <w:tcW w:w="1701" w:type="dxa"/>
            <w:noWrap/>
            <w:vAlign w:val="center"/>
          </w:tcPr>
          <w:p>
            <w:pPr>
              <w:pStyle w:val="yTableNAm"/>
              <w:keepNext/>
              <w:jc w:val="center"/>
            </w:pPr>
            <w:r>
              <w:t>14</w:t>
            </w:r>
          </w:p>
        </w:tc>
        <w:tc>
          <w:tcPr>
            <w:tcW w:w="1701" w:type="dxa"/>
            <w:noWrap/>
            <w:vAlign w:val="bottom"/>
          </w:tcPr>
          <w:p>
            <w:pPr>
              <w:pStyle w:val="yTableNAm"/>
              <w:keepNext/>
              <w:jc w:val="center"/>
            </w:pPr>
            <w:r>
              <w:rPr>
                <w:szCs w:val="22"/>
              </w:rPr>
              <w:t>826.3</w:t>
            </w:r>
          </w:p>
        </w:tc>
      </w:tr>
      <w:tr>
        <w:tc>
          <w:tcPr>
            <w:tcW w:w="1701" w:type="dxa"/>
            <w:tcBorders>
              <w:bottom w:val="single" w:sz="4" w:space="0" w:color="auto"/>
            </w:tcBorders>
            <w:noWrap/>
            <w:vAlign w:val="center"/>
          </w:tcPr>
          <w:p>
            <w:pPr>
              <w:pStyle w:val="yTableNAm"/>
              <w:jc w:val="center"/>
            </w:pPr>
            <w:r>
              <w:t>15</w:t>
            </w:r>
          </w:p>
        </w:tc>
        <w:tc>
          <w:tcPr>
            <w:tcW w:w="1701" w:type="dxa"/>
            <w:tcBorders>
              <w:bottom w:val="single" w:sz="4" w:space="0" w:color="auto"/>
            </w:tcBorders>
            <w:noWrap/>
            <w:vAlign w:val="bottom"/>
          </w:tcPr>
          <w:p>
            <w:pPr>
              <w:pStyle w:val="yTableNAm"/>
              <w:jc w:val="center"/>
            </w:pPr>
            <w:r>
              <w:rPr>
                <w:szCs w:val="22"/>
              </w:rPr>
              <w:t>899.5</w:t>
            </w:r>
          </w:p>
        </w:tc>
      </w:tr>
    </w:tbl>
    <w:p>
      <w:pPr>
        <w:pStyle w:val="yHeading4"/>
      </w:pPr>
      <w:bookmarkStart w:id="231" w:name="_Toc106104008"/>
      <w:bookmarkStart w:id="232" w:name="_Toc106104236"/>
      <w:bookmarkStart w:id="233" w:name="_Toc106179764"/>
      <w:bookmarkStart w:id="234" w:name="_Toc106179992"/>
      <w:r>
        <w:t>Subdivision 2 — Consumption charges that apply to land</w:t>
      </w:r>
      <w:bookmarkEnd w:id="231"/>
      <w:bookmarkEnd w:id="232"/>
      <w:bookmarkEnd w:id="233"/>
      <w:bookmarkEnd w:id="234"/>
    </w:p>
    <w:p>
      <w:pPr>
        <w:pStyle w:val="yFootnoteheading"/>
      </w:pPr>
      <w:r>
        <w:tab/>
        <w:t>[Heading inserted: SL 2021/80 r. 8.]</w:t>
      </w:r>
    </w:p>
    <w:p>
      <w:pPr>
        <w:pStyle w:val="yHeading5"/>
      </w:pPr>
      <w:bookmarkStart w:id="235" w:name="_Toc106179993"/>
      <w:r>
        <w:t>25.</w:t>
      </w:r>
      <w:r>
        <w:tab/>
        <w:t>Metropolitan residential and semi</w:t>
      </w:r>
      <w:r>
        <w:noBreakHyphen/>
        <w:t>rural residential</w:t>
      </w:r>
      <w:bookmarkEnd w:id="235"/>
    </w:p>
    <w:p>
      <w:pPr>
        <w:pStyle w:val="ySubsection"/>
      </w:pPr>
      <w:r>
        <w:tab/>
        <w:t>(1)</w:t>
      </w:r>
      <w:r>
        <w:tab/>
        <w:t xml:space="preserve">For each kilolitre of water supplied to land in the metropolitan area that is — </w:t>
      </w:r>
    </w:p>
    <w:p>
      <w:pPr>
        <w:pStyle w:val="yIndenta"/>
      </w:pPr>
      <w:r>
        <w:tab/>
        <w:t>(a)</w:t>
      </w:r>
      <w:r>
        <w:tab/>
        <w:t>a residential property; or</w:t>
      </w:r>
    </w:p>
    <w:p>
      <w:pPr>
        <w:pStyle w:val="yIndenta"/>
        <w:keepNext/>
      </w:pPr>
      <w:r>
        <w:lastRenderedPageBreak/>
        <w:tab/>
        <w:t>(b)</w:t>
      </w:r>
      <w:r>
        <w:tab/>
        <w:t>classified as vacant land but held for residential purposes; or</w:t>
      </w:r>
    </w:p>
    <w:p>
      <w:pPr>
        <w:pStyle w:val="yIndenta"/>
        <w:keepNext/>
      </w:pPr>
      <w:r>
        <w:tab/>
        <w:t>(c)</w:t>
      </w:r>
      <w:r>
        <w:tab/>
        <w:t>a semi</w:t>
      </w:r>
      <w:r>
        <w:noBreakHyphen/>
        <w:t>rural residential property,</w:t>
      </w:r>
    </w:p>
    <w:p>
      <w:pPr>
        <w:pStyle w:val="ySubsection"/>
        <w:keepNext/>
      </w:pPr>
      <w:r>
        <w:tab/>
      </w:r>
      <w:r>
        <w:tab/>
        <w:t xml:space="preserve">the charge is — </w:t>
      </w:r>
    </w:p>
    <w:p>
      <w:pPr>
        <w:pStyle w:val="yMiscellaneousBody"/>
        <w:keepNext/>
        <w:tabs>
          <w:tab w:val="right" w:leader="dot" w:pos="6804"/>
        </w:tabs>
        <w:ind w:left="1134" w:hanging="114"/>
      </w:pPr>
      <w:r>
        <w:tab/>
        <w:t xml:space="preserve">up to 150 kL </w:t>
      </w:r>
      <w:r>
        <w:tab/>
        <w:t>185.9 cents</w:t>
      </w:r>
    </w:p>
    <w:p>
      <w:pPr>
        <w:pStyle w:val="yMiscellaneousBody"/>
        <w:tabs>
          <w:tab w:val="right" w:leader="dot" w:pos="6804"/>
        </w:tabs>
        <w:ind w:left="1134" w:hanging="114"/>
      </w:pPr>
      <w:r>
        <w:tab/>
        <w:t xml:space="preserve">over 150 but not over 500 kL </w:t>
      </w:r>
      <w:r>
        <w:tab/>
        <w:t>247.7 cents</w:t>
      </w:r>
    </w:p>
    <w:p>
      <w:pPr>
        <w:pStyle w:val="yMiscellaneousBody"/>
        <w:tabs>
          <w:tab w:val="right" w:leader="dot" w:pos="6804"/>
        </w:tabs>
        <w:ind w:left="1134" w:hanging="114"/>
      </w:pPr>
      <w:r>
        <w:tab/>
        <w:t xml:space="preserve">over 500 kL </w:t>
      </w:r>
      <w:r>
        <w:tab/>
        <w:t>463.3 cents</w:t>
      </w:r>
    </w:p>
    <w:p>
      <w:pPr>
        <w:pStyle w:val="ySubsection"/>
      </w:pPr>
      <w:r>
        <w:tab/>
        <w:t>(2)</w:t>
      </w:r>
      <w:r>
        <w:tab/>
        <w:t>The charge under sub</w:t>
      </w:r>
      <w:r>
        <w:noBreakHyphen/>
        <w:t>item (1) does not apply to the supply of water for which a more specific charge is provided in this Subdivision or the supply of water through a garden service connection.</w:t>
      </w:r>
    </w:p>
    <w:p>
      <w:pPr>
        <w:pStyle w:val="yHeading5"/>
      </w:pPr>
      <w:bookmarkStart w:id="236" w:name="_Toc106179994"/>
      <w:r>
        <w:t>26.</w:t>
      </w:r>
      <w:r>
        <w:tab/>
        <w:t>Metropolitan non</w:t>
      </w:r>
      <w:r>
        <w:noBreakHyphen/>
        <w:t>residential</w:t>
      </w:r>
      <w:bookmarkEnd w:id="236"/>
    </w:p>
    <w:p>
      <w:pPr>
        <w:pStyle w:val="ySubsection"/>
      </w:pPr>
      <w:r>
        <w:tab/>
        <w:t>(1)</w:t>
      </w:r>
      <w:r>
        <w:tab/>
        <w:t>For each kilolitre of water supplied to land in the metropolitan area that is neither classified as residential nor classified as vacant land but held for residential purposes, the charge is —</w:t>
      </w:r>
    </w:p>
    <w:p>
      <w:pPr>
        <w:pStyle w:val="yIndenta"/>
      </w:pPr>
      <w:r>
        <w:tab/>
        <w:t>(a)</w:t>
      </w:r>
      <w:r>
        <w:tab/>
        <w:t>if the land is classified as commercial residential —</w:t>
      </w:r>
    </w:p>
    <w:p>
      <w:pPr>
        <w:pStyle w:val="yMiscellaneousBody"/>
        <w:tabs>
          <w:tab w:val="right" w:leader="dot" w:pos="6804"/>
        </w:tabs>
        <w:ind w:left="1560" w:firstLine="141"/>
      </w:pPr>
      <w:r>
        <w:t xml:space="preserve">up to 150 kL </w:t>
      </w:r>
      <w:r>
        <w:tab/>
        <w:t>185.9 cents</w:t>
      </w:r>
    </w:p>
    <w:p>
      <w:pPr>
        <w:pStyle w:val="yMiscellaneousBody"/>
        <w:tabs>
          <w:tab w:val="right" w:leader="dot" w:pos="6804"/>
        </w:tabs>
        <w:ind w:left="1560" w:firstLine="141"/>
      </w:pPr>
      <w:r>
        <w:t xml:space="preserve">over 150 kL </w:t>
      </w:r>
      <w:r>
        <w:tab/>
        <w:t>264.6 cents</w:t>
      </w:r>
    </w:p>
    <w:p>
      <w:pPr>
        <w:pStyle w:val="yIndenta"/>
        <w:tabs>
          <w:tab w:val="right" w:leader="dot" w:pos="6804"/>
        </w:tabs>
      </w:pPr>
      <w:r>
        <w:tab/>
        <w:t>(b)</w:t>
      </w:r>
      <w:r>
        <w:tab/>
        <w:t xml:space="preserve">if paragraph (a) does not apply </w:t>
      </w:r>
      <w:r>
        <w:tab/>
        <w:t>264.6</w:t>
      </w:r>
      <w:r>
        <w:rPr>
          <w:spacing w:val="-12"/>
        </w:rPr>
        <w:t xml:space="preserve"> </w:t>
      </w:r>
      <w:r>
        <w:rPr>
          <w:spacing w:val="-4"/>
        </w:rPr>
        <w:t>cents</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237" w:name="_Toc106179995"/>
      <w:r>
        <w:t>27.</w:t>
      </w:r>
      <w:r>
        <w:tab/>
        <w:t>Metropolitan non</w:t>
      </w:r>
      <w:r>
        <w:noBreakHyphen/>
        <w:t>residential concessional</w:t>
      </w:r>
      <w:bookmarkEnd w:id="237"/>
    </w:p>
    <w:p>
      <w:pPr>
        <w:pStyle w:val="ySubsection"/>
        <w:tabs>
          <w:tab w:val="right" w:leader="dot" w:pos="6804"/>
        </w:tabs>
      </w:pPr>
      <w:r>
        <w:tab/>
        <w:t>(1)</w:t>
      </w:r>
      <w:r>
        <w:tab/>
        <w:t xml:space="preserve">For each kilolitre of water supplied to </w:t>
      </w:r>
      <w:r>
        <w:br/>
        <w:t xml:space="preserve">concessional land that is in the metropolitan </w:t>
      </w:r>
      <w:r>
        <w:br/>
        <w:t xml:space="preserve">area and is not classified as residential, </w:t>
      </w:r>
      <w:r>
        <w:br/>
        <w:t xml:space="preserve">the charge is </w:t>
      </w:r>
      <w:r>
        <w:tab/>
        <w:t>264.6 cents</w:t>
      </w:r>
    </w:p>
    <w:p>
      <w:pPr>
        <w:pStyle w:val="ySubsection"/>
      </w:pPr>
      <w:r>
        <w:tab/>
        <w:t>(2)</w:t>
      </w:r>
      <w:r>
        <w:tab/>
        <w:t>Sub</w:t>
      </w:r>
      <w:r>
        <w:noBreakHyphen/>
        <w:t>item (1) does not apply if the supply of water is covered by item 38.</w:t>
      </w:r>
    </w:p>
    <w:p>
      <w:pPr>
        <w:pStyle w:val="yHeading5"/>
      </w:pPr>
      <w:bookmarkStart w:id="238" w:name="_Toc106179996"/>
      <w:r>
        <w:lastRenderedPageBreak/>
        <w:t>28.</w:t>
      </w:r>
      <w:r>
        <w:tab/>
        <w:t>Community residential</w:t>
      </w:r>
      <w:bookmarkEnd w:id="238"/>
    </w:p>
    <w:p>
      <w:pPr>
        <w:pStyle w:val="ySubsection"/>
        <w:keepNext/>
        <w:keepLines/>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Subsection"/>
        <w:keepNext/>
      </w:pPr>
      <w:r>
        <w:tab/>
        <w:t>(2)</w:t>
      </w:r>
      <w:r>
        <w:tab/>
        <w:t>For each kilolitre of water supplied to land in the metropolitan area that is classified as community residential, the charge is —</w:t>
      </w:r>
    </w:p>
    <w:p>
      <w:pPr>
        <w:pStyle w:val="yMiscellaneousBody"/>
        <w:tabs>
          <w:tab w:val="right" w:leader="dot" w:pos="6804"/>
        </w:tabs>
        <w:ind w:left="1560" w:hanging="114"/>
      </w:pPr>
      <w:r>
        <w:tab/>
        <w:t xml:space="preserve">up to 150 kL </w:t>
      </w:r>
      <w:r>
        <w:tab/>
        <w:t>93.0 cents</w:t>
      </w:r>
    </w:p>
    <w:p>
      <w:pPr>
        <w:pStyle w:val="yMiscellaneousBody"/>
        <w:tabs>
          <w:tab w:val="right" w:leader="dot" w:pos="6804"/>
        </w:tabs>
        <w:ind w:left="1560" w:hanging="114"/>
      </w:pPr>
      <w:r>
        <w:tab/>
        <w:t xml:space="preserve">over 150 kL but not over 500 kL </w:t>
      </w:r>
      <w:r>
        <w:tab/>
        <w:t>247.7 cents</w:t>
      </w:r>
    </w:p>
    <w:p>
      <w:pPr>
        <w:pStyle w:val="yMiscellaneousBody"/>
        <w:tabs>
          <w:tab w:val="right" w:leader="dot" w:pos="6804"/>
        </w:tabs>
        <w:ind w:left="1560" w:hanging="114"/>
      </w:pPr>
      <w:r>
        <w:tab/>
        <w:t xml:space="preserve">over 500 kL </w:t>
      </w:r>
      <w:r>
        <w:tab/>
        <w:t>463.3 cents</w:t>
      </w:r>
    </w:p>
    <w:p>
      <w:pPr>
        <w:pStyle w:val="ySubsection"/>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noWrap/>
          </w:tcPr>
          <w:p>
            <w:pPr>
              <w:pStyle w:val="yTableNAm"/>
              <w:keepNext/>
              <w:jc w:val="center"/>
              <w:rPr>
                <w:b/>
              </w:rPr>
            </w:pPr>
            <w:r>
              <w:rPr>
                <w:b/>
              </w:rPr>
              <w:br w:type="page"/>
              <w:t>Consumption (kL)</w:t>
            </w:r>
          </w:p>
        </w:tc>
        <w:tc>
          <w:tcPr>
            <w:tcW w:w="903" w:type="dxa"/>
            <w:tcBorders>
              <w:top w:val="single" w:sz="4" w:space="0" w:color="auto"/>
              <w:bottom w:val="single" w:sz="4" w:space="0" w:color="auto"/>
            </w:tcBorders>
            <w:noWrap/>
          </w:tcPr>
          <w:p>
            <w:pPr>
              <w:pStyle w:val="yTableNAm"/>
              <w:jc w:val="center"/>
              <w:rPr>
                <w:b/>
              </w:rPr>
            </w:pPr>
            <w:r>
              <w:rPr>
                <w:b/>
              </w:rPr>
              <w:t>Class 1 (cents)</w:t>
            </w:r>
          </w:p>
        </w:tc>
        <w:tc>
          <w:tcPr>
            <w:tcW w:w="992" w:type="dxa"/>
            <w:tcBorders>
              <w:top w:val="single" w:sz="4" w:space="0" w:color="auto"/>
              <w:bottom w:val="single" w:sz="4" w:space="0" w:color="auto"/>
            </w:tcBorders>
            <w:noWrap/>
          </w:tcPr>
          <w:p>
            <w:pPr>
              <w:pStyle w:val="yTableNAm"/>
              <w:jc w:val="center"/>
              <w:rPr>
                <w:b/>
              </w:rPr>
            </w:pPr>
            <w:r>
              <w:rPr>
                <w:b/>
              </w:rPr>
              <w:t>Class 2 (cents)</w:t>
            </w:r>
          </w:p>
        </w:tc>
        <w:tc>
          <w:tcPr>
            <w:tcW w:w="993" w:type="dxa"/>
            <w:tcBorders>
              <w:top w:val="single" w:sz="4" w:space="0" w:color="auto"/>
              <w:bottom w:val="single" w:sz="4" w:space="0" w:color="auto"/>
            </w:tcBorders>
            <w:noWrap/>
          </w:tcPr>
          <w:p>
            <w:pPr>
              <w:pStyle w:val="yTableNAm"/>
              <w:jc w:val="center"/>
              <w:rPr>
                <w:b/>
              </w:rPr>
            </w:pPr>
            <w:r>
              <w:rPr>
                <w:b/>
              </w:rPr>
              <w:t>Class 3 (cents)</w:t>
            </w:r>
          </w:p>
        </w:tc>
        <w:tc>
          <w:tcPr>
            <w:tcW w:w="992" w:type="dxa"/>
            <w:tcBorders>
              <w:top w:val="single" w:sz="4" w:space="0" w:color="auto"/>
              <w:bottom w:val="single" w:sz="4" w:space="0" w:color="auto"/>
            </w:tcBorders>
            <w:noWrap/>
          </w:tcPr>
          <w:p>
            <w:pPr>
              <w:pStyle w:val="yTableNAm"/>
              <w:jc w:val="center"/>
              <w:rPr>
                <w:b/>
              </w:rPr>
            </w:pPr>
            <w:r>
              <w:rPr>
                <w:b/>
              </w:rPr>
              <w:t>Class 4 (cents)</w:t>
            </w:r>
          </w:p>
        </w:tc>
        <w:tc>
          <w:tcPr>
            <w:tcW w:w="851"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pPr>
            <w:r>
              <w:t>Up to 150</w:t>
            </w:r>
          </w:p>
        </w:tc>
        <w:tc>
          <w:tcPr>
            <w:tcW w:w="903" w:type="dxa"/>
            <w:noWrap/>
            <w:vAlign w:val="bottom"/>
          </w:tcPr>
          <w:p>
            <w:pPr>
              <w:pStyle w:val="yTableNAm"/>
              <w:jc w:val="center"/>
            </w:pPr>
            <w:r>
              <w:t>71.0</w:t>
            </w:r>
          </w:p>
        </w:tc>
        <w:tc>
          <w:tcPr>
            <w:tcW w:w="992" w:type="dxa"/>
            <w:noWrap/>
            <w:vAlign w:val="bottom"/>
          </w:tcPr>
          <w:p>
            <w:pPr>
              <w:pStyle w:val="yTableNAm"/>
              <w:jc w:val="center"/>
            </w:pPr>
            <w:r>
              <w:t>93.0</w:t>
            </w:r>
          </w:p>
        </w:tc>
        <w:tc>
          <w:tcPr>
            <w:tcW w:w="993" w:type="dxa"/>
            <w:noWrap/>
            <w:vAlign w:val="bottom"/>
          </w:tcPr>
          <w:p>
            <w:pPr>
              <w:pStyle w:val="yTableNAm"/>
              <w:jc w:val="center"/>
            </w:pPr>
            <w:r>
              <w:t>93.0</w:t>
            </w:r>
          </w:p>
        </w:tc>
        <w:tc>
          <w:tcPr>
            <w:tcW w:w="992" w:type="dxa"/>
            <w:noWrap/>
            <w:vAlign w:val="bottom"/>
          </w:tcPr>
          <w:p>
            <w:pPr>
              <w:pStyle w:val="yTableNAm"/>
              <w:jc w:val="center"/>
            </w:pPr>
            <w:r>
              <w:t>93.0</w:t>
            </w:r>
          </w:p>
        </w:tc>
        <w:tc>
          <w:tcPr>
            <w:tcW w:w="851" w:type="dxa"/>
            <w:noWrap/>
            <w:vAlign w:val="bottom"/>
          </w:tcPr>
          <w:p>
            <w:pPr>
              <w:pStyle w:val="yTableNAm"/>
              <w:jc w:val="center"/>
            </w:pPr>
            <w:r>
              <w:t>93.0</w:t>
            </w:r>
          </w:p>
        </w:tc>
      </w:tr>
      <w:tr>
        <w:trPr>
          <w:cantSplit/>
        </w:trPr>
        <w:tc>
          <w:tcPr>
            <w:tcW w:w="1417" w:type="dxa"/>
            <w:noWrap/>
          </w:tcPr>
          <w:p>
            <w:pPr>
              <w:pStyle w:val="yTableNAm"/>
            </w:pPr>
            <w:r>
              <w:t>Over 150 but not over 300</w:t>
            </w:r>
          </w:p>
        </w:tc>
        <w:tc>
          <w:tcPr>
            <w:tcW w:w="903" w:type="dxa"/>
            <w:noWrap/>
            <w:vAlign w:val="bottom"/>
          </w:tcPr>
          <w:p>
            <w:pPr>
              <w:pStyle w:val="yTableNAm"/>
              <w:jc w:val="center"/>
            </w:pPr>
            <w:r>
              <w:t>94.5</w:t>
            </w:r>
          </w:p>
        </w:tc>
        <w:tc>
          <w:tcPr>
            <w:tcW w:w="992" w:type="dxa"/>
            <w:noWrap/>
            <w:vAlign w:val="bottom"/>
          </w:tcPr>
          <w:p>
            <w:pPr>
              <w:pStyle w:val="yTableNAm"/>
              <w:jc w:val="center"/>
            </w:pPr>
            <w:r>
              <w:t>123.9</w:t>
            </w:r>
          </w:p>
        </w:tc>
        <w:tc>
          <w:tcPr>
            <w:tcW w:w="993" w:type="dxa"/>
            <w:noWrap/>
            <w:vAlign w:val="bottom"/>
          </w:tcPr>
          <w:p>
            <w:pPr>
              <w:pStyle w:val="yTableNAm"/>
              <w:jc w:val="center"/>
            </w:pPr>
            <w:r>
              <w:t>123.9</w:t>
            </w:r>
          </w:p>
        </w:tc>
        <w:tc>
          <w:tcPr>
            <w:tcW w:w="992" w:type="dxa"/>
            <w:noWrap/>
            <w:vAlign w:val="bottom"/>
          </w:tcPr>
          <w:p>
            <w:pPr>
              <w:pStyle w:val="yTableNAm"/>
              <w:jc w:val="center"/>
            </w:pPr>
            <w:r>
              <w:t>123.9</w:t>
            </w:r>
          </w:p>
        </w:tc>
        <w:tc>
          <w:tcPr>
            <w:tcW w:w="851" w:type="dxa"/>
            <w:noWrap/>
            <w:vAlign w:val="bottom"/>
          </w:tcPr>
          <w:p>
            <w:pPr>
              <w:pStyle w:val="yTableNAm"/>
              <w:jc w:val="center"/>
            </w:pPr>
            <w:r>
              <w:t>123.9</w:t>
            </w:r>
          </w:p>
        </w:tc>
      </w:tr>
      <w:tr>
        <w:trPr>
          <w:cantSplit/>
        </w:trPr>
        <w:tc>
          <w:tcPr>
            <w:tcW w:w="1417" w:type="dxa"/>
            <w:noWrap/>
          </w:tcPr>
          <w:p>
            <w:pPr>
              <w:pStyle w:val="yTableNAm"/>
            </w:pPr>
            <w:r>
              <w:t>Over 300 but not over 400</w:t>
            </w:r>
          </w:p>
        </w:tc>
        <w:tc>
          <w:tcPr>
            <w:tcW w:w="903" w:type="dxa"/>
            <w:noWrap/>
            <w:vAlign w:val="bottom"/>
          </w:tcPr>
          <w:p>
            <w:pPr>
              <w:pStyle w:val="yTableNAm"/>
              <w:jc w:val="center"/>
            </w:pPr>
            <w:r>
              <w:t>108.4</w:t>
            </w:r>
          </w:p>
        </w:tc>
        <w:tc>
          <w:tcPr>
            <w:tcW w:w="992" w:type="dxa"/>
            <w:noWrap/>
            <w:vAlign w:val="bottom"/>
          </w:tcPr>
          <w:p>
            <w:pPr>
              <w:pStyle w:val="yTableNAm"/>
              <w:jc w:val="center"/>
            </w:pPr>
            <w:r>
              <w:t>149.2</w:t>
            </w:r>
          </w:p>
        </w:tc>
        <w:tc>
          <w:tcPr>
            <w:tcW w:w="993" w:type="dxa"/>
            <w:noWrap/>
            <w:vAlign w:val="bottom"/>
          </w:tcPr>
          <w:p>
            <w:pPr>
              <w:pStyle w:val="yTableNAm"/>
              <w:jc w:val="center"/>
            </w:pPr>
            <w:r>
              <w:t>198.7</w:t>
            </w:r>
          </w:p>
        </w:tc>
        <w:tc>
          <w:tcPr>
            <w:tcW w:w="992" w:type="dxa"/>
            <w:noWrap/>
            <w:vAlign w:val="bottom"/>
          </w:tcPr>
          <w:p>
            <w:pPr>
              <w:pStyle w:val="yTableNAm"/>
              <w:jc w:val="center"/>
            </w:pPr>
            <w:r>
              <w:t>233.6</w:t>
            </w:r>
          </w:p>
        </w:tc>
        <w:tc>
          <w:tcPr>
            <w:tcW w:w="851" w:type="dxa"/>
            <w:noWrap/>
            <w:vAlign w:val="bottom"/>
          </w:tcPr>
          <w:p>
            <w:pPr>
              <w:pStyle w:val="yTableNAm"/>
              <w:jc w:val="center"/>
            </w:pPr>
            <w:r>
              <w:t>274.9</w:t>
            </w:r>
          </w:p>
        </w:tc>
      </w:tr>
      <w:tr>
        <w:trPr>
          <w:cantSplit/>
        </w:trPr>
        <w:tc>
          <w:tcPr>
            <w:tcW w:w="1417" w:type="dxa"/>
            <w:noWrap/>
          </w:tcPr>
          <w:p>
            <w:pPr>
              <w:pStyle w:val="yTableNAm"/>
            </w:pPr>
            <w:r>
              <w:t>Over 400 but not over 550</w:t>
            </w:r>
          </w:p>
        </w:tc>
        <w:tc>
          <w:tcPr>
            <w:tcW w:w="903" w:type="dxa"/>
            <w:noWrap/>
            <w:vAlign w:val="bottom"/>
          </w:tcPr>
          <w:p>
            <w:pPr>
              <w:pStyle w:val="yTableNAm"/>
              <w:jc w:val="center"/>
            </w:pPr>
            <w:r>
              <w:t>216.8</w:t>
            </w:r>
          </w:p>
        </w:tc>
        <w:tc>
          <w:tcPr>
            <w:tcW w:w="992" w:type="dxa"/>
            <w:noWrap/>
            <w:vAlign w:val="bottom"/>
          </w:tcPr>
          <w:p>
            <w:pPr>
              <w:pStyle w:val="yTableNAm"/>
              <w:jc w:val="center"/>
            </w:pPr>
            <w:r>
              <w:t>298.3</w:t>
            </w:r>
          </w:p>
        </w:tc>
        <w:tc>
          <w:tcPr>
            <w:tcW w:w="993" w:type="dxa"/>
            <w:noWrap/>
            <w:vAlign w:val="bottom"/>
          </w:tcPr>
          <w:p>
            <w:pPr>
              <w:pStyle w:val="yTableNAm"/>
              <w:jc w:val="center"/>
            </w:pPr>
            <w:r>
              <w:t>397.4</w:t>
            </w:r>
          </w:p>
        </w:tc>
        <w:tc>
          <w:tcPr>
            <w:tcW w:w="992" w:type="dxa"/>
            <w:noWrap/>
            <w:vAlign w:val="bottom"/>
          </w:tcPr>
          <w:p>
            <w:pPr>
              <w:pStyle w:val="yTableNAm"/>
              <w:jc w:val="center"/>
            </w:pPr>
            <w:r>
              <w:t>467.2</w:t>
            </w:r>
          </w:p>
        </w:tc>
        <w:tc>
          <w:tcPr>
            <w:tcW w:w="851" w:type="dxa"/>
            <w:noWrap/>
            <w:vAlign w:val="bottom"/>
          </w:tcPr>
          <w:p>
            <w:pPr>
              <w:pStyle w:val="yTableNAm"/>
              <w:jc w:val="center"/>
            </w:pPr>
            <w:r>
              <w:t>549.7</w:t>
            </w:r>
          </w:p>
        </w:tc>
      </w:tr>
      <w:tr>
        <w:trPr>
          <w:cantSplit/>
        </w:trPr>
        <w:tc>
          <w:tcPr>
            <w:tcW w:w="1417" w:type="dxa"/>
            <w:tcBorders>
              <w:bottom w:val="single" w:sz="4" w:space="0" w:color="auto"/>
            </w:tcBorders>
            <w:noWrap/>
          </w:tcPr>
          <w:p>
            <w:pPr>
              <w:pStyle w:val="yTableNAm"/>
            </w:pPr>
            <w:r>
              <w:t>Over 550</w:t>
            </w:r>
          </w:p>
        </w:tc>
        <w:tc>
          <w:tcPr>
            <w:tcW w:w="903" w:type="dxa"/>
            <w:tcBorders>
              <w:bottom w:val="single" w:sz="4" w:space="0" w:color="auto"/>
            </w:tcBorders>
            <w:noWrap/>
            <w:vAlign w:val="bottom"/>
          </w:tcPr>
          <w:p>
            <w:pPr>
              <w:pStyle w:val="yTableNAm"/>
              <w:jc w:val="center"/>
            </w:pPr>
            <w:r>
              <w:t>253.2</w:t>
            </w:r>
          </w:p>
        </w:tc>
        <w:tc>
          <w:tcPr>
            <w:tcW w:w="992" w:type="dxa"/>
            <w:tcBorders>
              <w:bottom w:val="single" w:sz="4" w:space="0" w:color="auto"/>
            </w:tcBorders>
            <w:noWrap/>
            <w:vAlign w:val="bottom"/>
          </w:tcPr>
          <w:p>
            <w:pPr>
              <w:pStyle w:val="yTableNAm"/>
              <w:jc w:val="center"/>
            </w:pPr>
            <w:r>
              <w:t>380.5</w:t>
            </w:r>
          </w:p>
        </w:tc>
        <w:tc>
          <w:tcPr>
            <w:tcW w:w="993" w:type="dxa"/>
            <w:tcBorders>
              <w:bottom w:val="single" w:sz="4" w:space="0" w:color="auto"/>
            </w:tcBorders>
            <w:noWrap/>
            <w:vAlign w:val="bottom"/>
          </w:tcPr>
          <w:p>
            <w:pPr>
              <w:pStyle w:val="yTableNAm"/>
              <w:jc w:val="center"/>
            </w:pPr>
            <w:r>
              <w:t>506.6</w:t>
            </w:r>
          </w:p>
        </w:tc>
        <w:tc>
          <w:tcPr>
            <w:tcW w:w="992" w:type="dxa"/>
            <w:tcBorders>
              <w:bottom w:val="single" w:sz="4" w:space="0" w:color="auto"/>
            </w:tcBorders>
            <w:noWrap/>
            <w:vAlign w:val="bottom"/>
          </w:tcPr>
          <w:p>
            <w:pPr>
              <w:pStyle w:val="yTableNAm"/>
              <w:jc w:val="center"/>
            </w:pPr>
            <w:r>
              <w:t>700.8</w:t>
            </w:r>
          </w:p>
        </w:tc>
        <w:tc>
          <w:tcPr>
            <w:tcW w:w="851" w:type="dxa"/>
            <w:tcBorders>
              <w:bottom w:val="single" w:sz="4" w:space="0" w:color="auto"/>
            </w:tcBorders>
            <w:noWrap/>
            <w:vAlign w:val="bottom"/>
          </w:tcPr>
          <w:p>
            <w:pPr>
              <w:pStyle w:val="yTableNAm"/>
              <w:jc w:val="center"/>
            </w:pPr>
            <w:r>
              <w:t>945.2</w:t>
            </w:r>
          </w:p>
        </w:tc>
      </w:tr>
    </w:tbl>
    <w:p>
      <w:pPr>
        <w:pStyle w:val="ySubsection"/>
      </w:pPr>
      <w:r>
        <w:tab/>
        <w:t>(4)</w:t>
      </w:r>
      <w:r>
        <w:tab/>
        <w:t>Sub</w:t>
      </w:r>
      <w:r>
        <w:noBreakHyphen/>
        <w:t>item (3) applies unless the land is located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keepNext/>
      </w:pPr>
      <w:r>
        <w:lastRenderedPageBreak/>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90"/>
        <w:gridCol w:w="977"/>
        <w:gridCol w:w="978"/>
        <w:gridCol w:w="978"/>
        <w:gridCol w:w="980"/>
      </w:tblGrid>
      <w:tr>
        <w:trPr>
          <w:cantSplit/>
          <w:tblHeader/>
        </w:trPr>
        <w:tc>
          <w:tcPr>
            <w:tcW w:w="1405" w:type="dxa"/>
            <w:tcBorders>
              <w:top w:val="single" w:sz="4" w:space="0" w:color="auto"/>
              <w:bottom w:val="single" w:sz="4" w:space="0" w:color="auto"/>
            </w:tcBorders>
            <w:noWrap/>
          </w:tcPr>
          <w:p>
            <w:pPr>
              <w:pStyle w:val="yTableNAm"/>
              <w:jc w:val="center"/>
              <w:rPr>
                <w:b/>
              </w:rPr>
            </w:pPr>
            <w:r>
              <w:rPr>
                <w:b/>
              </w:rPr>
              <w:br w:type="page"/>
              <w:t>Consumption (kL)</w:t>
            </w:r>
          </w:p>
        </w:tc>
        <w:tc>
          <w:tcPr>
            <w:tcW w:w="890" w:type="dxa"/>
            <w:tcBorders>
              <w:top w:val="single" w:sz="4" w:space="0" w:color="auto"/>
              <w:bottom w:val="single" w:sz="4" w:space="0" w:color="auto"/>
            </w:tcBorders>
            <w:noWrap/>
          </w:tcPr>
          <w:p>
            <w:pPr>
              <w:pStyle w:val="yTableNAm"/>
              <w:jc w:val="center"/>
              <w:rPr>
                <w:b/>
              </w:rPr>
            </w:pPr>
            <w:r>
              <w:rPr>
                <w:b/>
              </w:rPr>
              <w:t>Class 1 (cents)</w:t>
            </w:r>
          </w:p>
        </w:tc>
        <w:tc>
          <w:tcPr>
            <w:tcW w:w="977" w:type="dxa"/>
            <w:tcBorders>
              <w:top w:val="single" w:sz="4" w:space="0" w:color="auto"/>
              <w:bottom w:val="single" w:sz="4" w:space="0" w:color="auto"/>
            </w:tcBorders>
            <w:noWrap/>
          </w:tcPr>
          <w:p>
            <w:pPr>
              <w:pStyle w:val="yTableNAm"/>
              <w:jc w:val="center"/>
              <w:rPr>
                <w:b/>
              </w:rPr>
            </w:pPr>
            <w:r>
              <w:rPr>
                <w:b/>
              </w:rPr>
              <w:t>Class 2 (cents)</w:t>
            </w:r>
          </w:p>
        </w:tc>
        <w:tc>
          <w:tcPr>
            <w:tcW w:w="978" w:type="dxa"/>
            <w:tcBorders>
              <w:top w:val="single" w:sz="4" w:space="0" w:color="auto"/>
              <w:bottom w:val="single" w:sz="4" w:space="0" w:color="auto"/>
            </w:tcBorders>
            <w:noWrap/>
          </w:tcPr>
          <w:p>
            <w:pPr>
              <w:pStyle w:val="yTableNAm"/>
              <w:jc w:val="center"/>
              <w:rPr>
                <w:b/>
              </w:rPr>
            </w:pPr>
            <w:r>
              <w:rPr>
                <w:b/>
              </w:rPr>
              <w:t>Class 3 (cents)</w:t>
            </w:r>
          </w:p>
        </w:tc>
        <w:tc>
          <w:tcPr>
            <w:tcW w:w="978" w:type="dxa"/>
            <w:tcBorders>
              <w:top w:val="single" w:sz="4" w:space="0" w:color="auto"/>
              <w:bottom w:val="single" w:sz="4" w:space="0" w:color="auto"/>
            </w:tcBorders>
            <w:noWrap/>
          </w:tcPr>
          <w:p>
            <w:pPr>
              <w:pStyle w:val="yTableNAm"/>
              <w:jc w:val="center"/>
              <w:rPr>
                <w:b/>
              </w:rPr>
            </w:pPr>
            <w:r>
              <w:rPr>
                <w:b/>
              </w:rPr>
              <w:t>Class 4 (cents)</w:t>
            </w:r>
          </w:p>
        </w:tc>
        <w:tc>
          <w:tcPr>
            <w:tcW w:w="980"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05" w:type="dxa"/>
            <w:noWrap/>
          </w:tcPr>
          <w:p>
            <w:pPr>
              <w:pStyle w:val="yTableNAm"/>
            </w:pPr>
            <w:r>
              <w:t>Up to 350</w:t>
            </w:r>
          </w:p>
        </w:tc>
        <w:tc>
          <w:tcPr>
            <w:tcW w:w="890" w:type="dxa"/>
            <w:noWrap/>
            <w:vAlign w:val="bottom"/>
          </w:tcPr>
          <w:p>
            <w:pPr>
              <w:pStyle w:val="yTableNAm"/>
              <w:jc w:val="center"/>
            </w:pPr>
            <w:r>
              <w:t>71.0</w:t>
            </w:r>
          </w:p>
        </w:tc>
        <w:tc>
          <w:tcPr>
            <w:tcW w:w="977" w:type="dxa"/>
            <w:noWrap/>
            <w:vAlign w:val="bottom"/>
          </w:tcPr>
          <w:p>
            <w:pPr>
              <w:pStyle w:val="yTableNAm"/>
              <w:jc w:val="center"/>
            </w:pPr>
            <w:r>
              <w:t>93.0</w:t>
            </w:r>
          </w:p>
        </w:tc>
        <w:tc>
          <w:tcPr>
            <w:tcW w:w="978" w:type="dxa"/>
            <w:noWrap/>
            <w:vAlign w:val="bottom"/>
          </w:tcPr>
          <w:p>
            <w:pPr>
              <w:pStyle w:val="yTableNAm"/>
              <w:jc w:val="center"/>
            </w:pPr>
            <w:r>
              <w:t>93.0</w:t>
            </w:r>
          </w:p>
        </w:tc>
        <w:tc>
          <w:tcPr>
            <w:tcW w:w="978" w:type="dxa"/>
            <w:noWrap/>
            <w:vAlign w:val="bottom"/>
          </w:tcPr>
          <w:p>
            <w:pPr>
              <w:pStyle w:val="yTableNAm"/>
              <w:jc w:val="center"/>
            </w:pPr>
            <w:r>
              <w:t>93.0</w:t>
            </w:r>
          </w:p>
        </w:tc>
        <w:tc>
          <w:tcPr>
            <w:tcW w:w="980" w:type="dxa"/>
            <w:noWrap/>
            <w:vAlign w:val="bottom"/>
          </w:tcPr>
          <w:p>
            <w:pPr>
              <w:pStyle w:val="yTableNAm"/>
              <w:jc w:val="center"/>
            </w:pPr>
            <w:r>
              <w:t>93.0</w:t>
            </w:r>
          </w:p>
        </w:tc>
      </w:tr>
      <w:tr>
        <w:trPr>
          <w:cantSplit/>
        </w:trPr>
        <w:tc>
          <w:tcPr>
            <w:tcW w:w="1405" w:type="dxa"/>
            <w:noWrap/>
          </w:tcPr>
          <w:p>
            <w:pPr>
              <w:pStyle w:val="yTableNAm"/>
            </w:pPr>
            <w:r>
              <w:t>Over 350 but not over 500</w:t>
            </w:r>
          </w:p>
        </w:tc>
        <w:tc>
          <w:tcPr>
            <w:tcW w:w="890" w:type="dxa"/>
            <w:noWrap/>
            <w:vAlign w:val="bottom"/>
          </w:tcPr>
          <w:p>
            <w:pPr>
              <w:pStyle w:val="yTableNAm"/>
              <w:jc w:val="center"/>
            </w:pPr>
            <w:r>
              <w:t>94.5</w:t>
            </w:r>
          </w:p>
        </w:tc>
        <w:tc>
          <w:tcPr>
            <w:tcW w:w="977" w:type="dxa"/>
            <w:noWrap/>
            <w:vAlign w:val="bottom"/>
          </w:tcPr>
          <w:p>
            <w:pPr>
              <w:pStyle w:val="yTableNAm"/>
              <w:jc w:val="center"/>
            </w:pPr>
            <w:r>
              <w:t>123.9</w:t>
            </w:r>
          </w:p>
        </w:tc>
        <w:tc>
          <w:tcPr>
            <w:tcW w:w="978" w:type="dxa"/>
            <w:noWrap/>
            <w:vAlign w:val="bottom"/>
          </w:tcPr>
          <w:p>
            <w:pPr>
              <w:pStyle w:val="yTableNAm"/>
              <w:jc w:val="center"/>
            </w:pPr>
            <w:r>
              <w:t>123.9</w:t>
            </w:r>
          </w:p>
        </w:tc>
        <w:tc>
          <w:tcPr>
            <w:tcW w:w="978" w:type="dxa"/>
            <w:noWrap/>
            <w:vAlign w:val="bottom"/>
          </w:tcPr>
          <w:p>
            <w:pPr>
              <w:pStyle w:val="yTableNAm"/>
              <w:jc w:val="center"/>
            </w:pPr>
            <w:r>
              <w:t>123.9</w:t>
            </w:r>
          </w:p>
        </w:tc>
        <w:tc>
          <w:tcPr>
            <w:tcW w:w="980" w:type="dxa"/>
            <w:noWrap/>
            <w:vAlign w:val="bottom"/>
          </w:tcPr>
          <w:p>
            <w:pPr>
              <w:pStyle w:val="yTableNAm"/>
              <w:jc w:val="center"/>
            </w:pPr>
            <w:r>
              <w:t>123.9</w:t>
            </w:r>
          </w:p>
        </w:tc>
      </w:tr>
      <w:tr>
        <w:trPr>
          <w:cantSplit/>
        </w:trPr>
        <w:tc>
          <w:tcPr>
            <w:tcW w:w="1405" w:type="dxa"/>
            <w:noWrap/>
          </w:tcPr>
          <w:p>
            <w:pPr>
              <w:pStyle w:val="yTableNAm"/>
            </w:pPr>
            <w:r>
              <w:t>Over 500 but not over 600</w:t>
            </w:r>
          </w:p>
        </w:tc>
        <w:tc>
          <w:tcPr>
            <w:tcW w:w="890" w:type="dxa"/>
            <w:noWrap/>
            <w:vAlign w:val="bottom"/>
          </w:tcPr>
          <w:p>
            <w:pPr>
              <w:pStyle w:val="yTableNAm"/>
              <w:jc w:val="center"/>
            </w:pPr>
            <w:r>
              <w:t>108.4</w:t>
            </w:r>
          </w:p>
        </w:tc>
        <w:tc>
          <w:tcPr>
            <w:tcW w:w="977" w:type="dxa"/>
            <w:noWrap/>
            <w:vAlign w:val="bottom"/>
          </w:tcPr>
          <w:p>
            <w:pPr>
              <w:pStyle w:val="yTableNAm"/>
              <w:jc w:val="center"/>
            </w:pPr>
            <w:r>
              <w:t>149.2</w:t>
            </w:r>
          </w:p>
        </w:tc>
        <w:tc>
          <w:tcPr>
            <w:tcW w:w="978" w:type="dxa"/>
            <w:noWrap/>
            <w:vAlign w:val="bottom"/>
          </w:tcPr>
          <w:p>
            <w:pPr>
              <w:pStyle w:val="yTableNAm"/>
              <w:jc w:val="center"/>
            </w:pPr>
            <w:r>
              <w:t>198.7</w:t>
            </w:r>
          </w:p>
        </w:tc>
        <w:tc>
          <w:tcPr>
            <w:tcW w:w="978" w:type="dxa"/>
            <w:noWrap/>
            <w:vAlign w:val="bottom"/>
          </w:tcPr>
          <w:p>
            <w:pPr>
              <w:pStyle w:val="yTableNAm"/>
              <w:jc w:val="center"/>
            </w:pPr>
            <w:r>
              <w:t>233.6</w:t>
            </w:r>
          </w:p>
        </w:tc>
        <w:tc>
          <w:tcPr>
            <w:tcW w:w="980" w:type="dxa"/>
            <w:noWrap/>
            <w:vAlign w:val="bottom"/>
          </w:tcPr>
          <w:p>
            <w:pPr>
              <w:pStyle w:val="yTableNAm"/>
              <w:jc w:val="center"/>
            </w:pPr>
            <w:r>
              <w:t>274.9</w:t>
            </w:r>
          </w:p>
        </w:tc>
      </w:tr>
      <w:tr>
        <w:trPr>
          <w:cantSplit/>
        </w:trPr>
        <w:tc>
          <w:tcPr>
            <w:tcW w:w="1405" w:type="dxa"/>
            <w:noWrap/>
          </w:tcPr>
          <w:p>
            <w:pPr>
              <w:pStyle w:val="yTableNAm"/>
            </w:pPr>
            <w:r>
              <w:t>Over 600 but not over 750</w:t>
            </w:r>
          </w:p>
        </w:tc>
        <w:tc>
          <w:tcPr>
            <w:tcW w:w="890" w:type="dxa"/>
            <w:noWrap/>
            <w:vAlign w:val="bottom"/>
          </w:tcPr>
          <w:p>
            <w:pPr>
              <w:pStyle w:val="yTableNAm"/>
              <w:jc w:val="center"/>
            </w:pPr>
            <w:r>
              <w:t>216.8</w:t>
            </w:r>
          </w:p>
        </w:tc>
        <w:tc>
          <w:tcPr>
            <w:tcW w:w="977" w:type="dxa"/>
            <w:noWrap/>
            <w:vAlign w:val="bottom"/>
          </w:tcPr>
          <w:p>
            <w:pPr>
              <w:pStyle w:val="yTableNAm"/>
              <w:jc w:val="center"/>
            </w:pPr>
            <w:r>
              <w:t>298.3</w:t>
            </w:r>
          </w:p>
        </w:tc>
        <w:tc>
          <w:tcPr>
            <w:tcW w:w="978" w:type="dxa"/>
            <w:noWrap/>
            <w:vAlign w:val="bottom"/>
          </w:tcPr>
          <w:p>
            <w:pPr>
              <w:pStyle w:val="yTableNAm"/>
              <w:jc w:val="center"/>
            </w:pPr>
            <w:r>
              <w:t>397.4</w:t>
            </w:r>
          </w:p>
        </w:tc>
        <w:tc>
          <w:tcPr>
            <w:tcW w:w="978" w:type="dxa"/>
            <w:noWrap/>
            <w:vAlign w:val="bottom"/>
          </w:tcPr>
          <w:p>
            <w:pPr>
              <w:pStyle w:val="yTableNAm"/>
              <w:jc w:val="center"/>
            </w:pPr>
            <w:r>
              <w:t>467.2</w:t>
            </w:r>
          </w:p>
        </w:tc>
        <w:tc>
          <w:tcPr>
            <w:tcW w:w="980"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750</w:t>
            </w:r>
          </w:p>
        </w:tc>
        <w:tc>
          <w:tcPr>
            <w:tcW w:w="890" w:type="dxa"/>
            <w:tcBorders>
              <w:bottom w:val="single" w:sz="4" w:space="0" w:color="auto"/>
            </w:tcBorders>
            <w:noWrap/>
            <w:vAlign w:val="bottom"/>
          </w:tcPr>
          <w:p>
            <w:pPr>
              <w:pStyle w:val="yTableNAm"/>
              <w:jc w:val="center"/>
            </w:pPr>
            <w:r>
              <w:t>253.2</w:t>
            </w:r>
          </w:p>
        </w:tc>
        <w:tc>
          <w:tcPr>
            <w:tcW w:w="977" w:type="dxa"/>
            <w:tcBorders>
              <w:bottom w:val="single" w:sz="4" w:space="0" w:color="auto"/>
            </w:tcBorders>
            <w:noWrap/>
            <w:vAlign w:val="bottom"/>
          </w:tcPr>
          <w:p>
            <w:pPr>
              <w:pStyle w:val="yTableNAm"/>
              <w:jc w:val="center"/>
            </w:pPr>
            <w:r>
              <w:t>380.5</w:t>
            </w:r>
          </w:p>
        </w:tc>
        <w:tc>
          <w:tcPr>
            <w:tcW w:w="978" w:type="dxa"/>
            <w:tcBorders>
              <w:bottom w:val="single" w:sz="4" w:space="0" w:color="auto"/>
            </w:tcBorders>
            <w:noWrap/>
            <w:vAlign w:val="bottom"/>
          </w:tcPr>
          <w:p>
            <w:pPr>
              <w:pStyle w:val="yTableNAm"/>
              <w:jc w:val="center"/>
            </w:pPr>
            <w:r>
              <w:t>506.6</w:t>
            </w:r>
          </w:p>
        </w:tc>
        <w:tc>
          <w:tcPr>
            <w:tcW w:w="978" w:type="dxa"/>
            <w:tcBorders>
              <w:bottom w:val="single" w:sz="4" w:space="0" w:color="auto"/>
            </w:tcBorders>
            <w:noWrap/>
            <w:vAlign w:val="bottom"/>
          </w:tcPr>
          <w:p>
            <w:pPr>
              <w:pStyle w:val="yTableNAm"/>
              <w:jc w:val="center"/>
            </w:pPr>
            <w:r>
              <w:t>700.8</w:t>
            </w:r>
          </w:p>
        </w:tc>
        <w:tc>
          <w:tcPr>
            <w:tcW w:w="980" w:type="dxa"/>
            <w:tcBorders>
              <w:bottom w:val="single" w:sz="4" w:space="0" w:color="auto"/>
            </w:tcBorders>
            <w:noWrap/>
            <w:vAlign w:val="bottom"/>
          </w:tcPr>
          <w:p>
            <w:pPr>
              <w:pStyle w:val="yTableNAm"/>
              <w:jc w:val="center"/>
            </w:pPr>
            <w:r>
              <w:t>945.2</w:t>
            </w:r>
          </w:p>
        </w:tc>
      </w:tr>
    </w:tbl>
    <w:p>
      <w:pPr>
        <w:pStyle w:val="yHeading5"/>
      </w:pPr>
      <w:bookmarkStart w:id="239" w:name="_Toc106179997"/>
      <w:r>
        <w:t>29.</w:t>
      </w:r>
      <w:r>
        <w:tab/>
        <w:t>Non</w:t>
      </w:r>
      <w:r>
        <w:noBreakHyphen/>
        <w:t>metropolitan residential</w:t>
      </w:r>
      <w:bookmarkEnd w:id="239"/>
    </w:p>
    <w:p>
      <w:pPr>
        <w:pStyle w:val="ySubsection"/>
      </w:pPr>
      <w:r>
        <w:tab/>
        <w:t>(1)</w:t>
      </w:r>
      <w:r>
        <w:tab/>
        <w:t>For each kilolitre of water supplied to land in the non</w:t>
      </w:r>
      <w:r>
        <w:noBreakHyphen/>
        <w:t xml:space="preserve">metropolitan area that is — </w:t>
      </w:r>
    </w:p>
    <w:p>
      <w:pPr>
        <w:pStyle w:val="yIndenta"/>
      </w:pPr>
      <w:r>
        <w:tab/>
        <w:t>(a)</w:t>
      </w:r>
      <w:r>
        <w:tab/>
        <w:t>a residential property; or</w:t>
      </w:r>
    </w:p>
    <w:p>
      <w:pPr>
        <w:pStyle w:val="yIndenta"/>
      </w:pPr>
      <w:r>
        <w:tab/>
        <w:t>(b)</w:t>
      </w:r>
      <w:r>
        <w:tab/>
        <w:t>classified as vacant land but held for residential purposes,</w:t>
      </w:r>
    </w:p>
    <w:p>
      <w:pPr>
        <w:pStyle w:val="ySubsection"/>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405"/>
        <w:gridCol w:w="889"/>
        <w:gridCol w:w="978"/>
        <w:gridCol w:w="978"/>
        <w:gridCol w:w="978"/>
        <w:gridCol w:w="980"/>
      </w:tblGrid>
      <w:tr>
        <w:trPr>
          <w:cantSplit/>
          <w:tblHeader/>
        </w:trPr>
        <w:tc>
          <w:tcPr>
            <w:tcW w:w="1405" w:type="dxa"/>
            <w:tcBorders>
              <w:top w:val="single" w:sz="4" w:space="0" w:color="auto"/>
              <w:bottom w:val="single" w:sz="4" w:space="0" w:color="auto"/>
            </w:tcBorders>
            <w:noWrap/>
          </w:tcPr>
          <w:p>
            <w:pPr>
              <w:pStyle w:val="yTableNAm"/>
              <w:keepNext/>
              <w:jc w:val="center"/>
              <w:rPr>
                <w:b/>
              </w:rPr>
            </w:pPr>
            <w:r>
              <w:rPr>
                <w:b/>
              </w:rPr>
              <w:br w:type="page"/>
              <w:t>Consumption (kL)</w:t>
            </w:r>
          </w:p>
        </w:tc>
        <w:tc>
          <w:tcPr>
            <w:tcW w:w="889" w:type="dxa"/>
            <w:tcBorders>
              <w:top w:val="single" w:sz="4" w:space="0" w:color="auto"/>
              <w:bottom w:val="single" w:sz="4" w:space="0" w:color="auto"/>
            </w:tcBorders>
            <w:noWrap/>
          </w:tcPr>
          <w:p>
            <w:pPr>
              <w:pStyle w:val="yTableNAm"/>
              <w:keepNext/>
              <w:jc w:val="center"/>
              <w:rPr>
                <w:b/>
              </w:rPr>
            </w:pPr>
            <w:r>
              <w:rPr>
                <w:b/>
              </w:rPr>
              <w:t>Class 1 (cents)</w:t>
            </w:r>
          </w:p>
        </w:tc>
        <w:tc>
          <w:tcPr>
            <w:tcW w:w="978" w:type="dxa"/>
            <w:tcBorders>
              <w:top w:val="single" w:sz="4" w:space="0" w:color="auto"/>
              <w:bottom w:val="single" w:sz="4" w:space="0" w:color="auto"/>
            </w:tcBorders>
            <w:noWrap/>
          </w:tcPr>
          <w:p>
            <w:pPr>
              <w:pStyle w:val="yTableNAm"/>
              <w:keepNext/>
              <w:jc w:val="center"/>
              <w:rPr>
                <w:b/>
              </w:rPr>
            </w:pPr>
            <w:r>
              <w:rPr>
                <w:b/>
              </w:rPr>
              <w:t>Class 2 (cents)</w:t>
            </w:r>
          </w:p>
        </w:tc>
        <w:tc>
          <w:tcPr>
            <w:tcW w:w="978" w:type="dxa"/>
            <w:tcBorders>
              <w:top w:val="single" w:sz="4" w:space="0" w:color="auto"/>
              <w:bottom w:val="single" w:sz="4" w:space="0" w:color="auto"/>
            </w:tcBorders>
            <w:noWrap/>
          </w:tcPr>
          <w:p>
            <w:pPr>
              <w:pStyle w:val="yTableNAm"/>
              <w:keepNext/>
              <w:jc w:val="center"/>
              <w:rPr>
                <w:b/>
              </w:rPr>
            </w:pPr>
            <w:r>
              <w:rPr>
                <w:b/>
              </w:rPr>
              <w:t>Class 3 (cents)</w:t>
            </w:r>
          </w:p>
        </w:tc>
        <w:tc>
          <w:tcPr>
            <w:tcW w:w="978" w:type="dxa"/>
            <w:tcBorders>
              <w:top w:val="single" w:sz="4" w:space="0" w:color="auto"/>
              <w:bottom w:val="single" w:sz="4" w:space="0" w:color="auto"/>
            </w:tcBorders>
            <w:noWrap/>
          </w:tcPr>
          <w:p>
            <w:pPr>
              <w:pStyle w:val="yTableNAm"/>
              <w:keepNext/>
              <w:jc w:val="center"/>
              <w:rPr>
                <w:b/>
              </w:rPr>
            </w:pPr>
            <w:r>
              <w:rPr>
                <w:b/>
              </w:rPr>
              <w:t>Class 4 (cents)</w:t>
            </w:r>
          </w:p>
        </w:tc>
        <w:tc>
          <w:tcPr>
            <w:tcW w:w="980" w:type="dxa"/>
            <w:tcBorders>
              <w:top w:val="single" w:sz="4" w:space="0" w:color="auto"/>
              <w:bottom w:val="single" w:sz="4" w:space="0" w:color="auto"/>
            </w:tcBorders>
            <w:noWrap/>
          </w:tcPr>
          <w:p>
            <w:pPr>
              <w:pStyle w:val="yTableNAm"/>
              <w:keepNext/>
              <w:jc w:val="center"/>
              <w:rPr>
                <w:b/>
              </w:rPr>
            </w:pPr>
            <w:r>
              <w:rPr>
                <w:b/>
              </w:rPr>
              <w:t>Class 5 (cents)</w:t>
            </w:r>
          </w:p>
        </w:tc>
      </w:tr>
      <w:tr>
        <w:trPr>
          <w:cantSplit/>
        </w:trPr>
        <w:tc>
          <w:tcPr>
            <w:tcW w:w="1405" w:type="dxa"/>
            <w:noWrap/>
          </w:tcPr>
          <w:p>
            <w:pPr>
              <w:pStyle w:val="yTableNAm"/>
            </w:pPr>
            <w:r>
              <w:t>Up to 150</w:t>
            </w:r>
          </w:p>
        </w:tc>
        <w:tc>
          <w:tcPr>
            <w:tcW w:w="889" w:type="dxa"/>
            <w:noWrap/>
            <w:vAlign w:val="bottom"/>
          </w:tcPr>
          <w:p>
            <w:pPr>
              <w:pStyle w:val="yTableNAm"/>
              <w:jc w:val="center"/>
            </w:pPr>
            <w:r>
              <w:rPr>
                <w:szCs w:val="22"/>
              </w:rPr>
              <w:t>141.9</w:t>
            </w:r>
          </w:p>
        </w:tc>
        <w:tc>
          <w:tcPr>
            <w:tcW w:w="978" w:type="dxa"/>
            <w:noWrap/>
            <w:vAlign w:val="bottom"/>
          </w:tcPr>
          <w:p>
            <w:pPr>
              <w:pStyle w:val="yTableNAm"/>
              <w:jc w:val="center"/>
            </w:pPr>
            <w:r>
              <w:rPr>
                <w:szCs w:val="22"/>
              </w:rPr>
              <w:t>185.9</w:t>
            </w:r>
          </w:p>
        </w:tc>
        <w:tc>
          <w:tcPr>
            <w:tcW w:w="978" w:type="dxa"/>
            <w:noWrap/>
            <w:vAlign w:val="bottom"/>
          </w:tcPr>
          <w:p>
            <w:pPr>
              <w:pStyle w:val="yTableNAm"/>
              <w:jc w:val="center"/>
            </w:pPr>
            <w:r>
              <w:rPr>
                <w:szCs w:val="22"/>
              </w:rPr>
              <w:t>185.9</w:t>
            </w:r>
          </w:p>
        </w:tc>
        <w:tc>
          <w:tcPr>
            <w:tcW w:w="978" w:type="dxa"/>
            <w:noWrap/>
            <w:vAlign w:val="bottom"/>
          </w:tcPr>
          <w:p>
            <w:pPr>
              <w:pStyle w:val="yTableNAm"/>
              <w:jc w:val="center"/>
            </w:pPr>
            <w:r>
              <w:rPr>
                <w:szCs w:val="22"/>
              </w:rPr>
              <w:t>185.9</w:t>
            </w:r>
          </w:p>
        </w:tc>
        <w:tc>
          <w:tcPr>
            <w:tcW w:w="980" w:type="dxa"/>
            <w:noWrap/>
            <w:vAlign w:val="bottom"/>
          </w:tcPr>
          <w:p>
            <w:pPr>
              <w:pStyle w:val="yTableNAm"/>
              <w:jc w:val="center"/>
            </w:pPr>
            <w:r>
              <w:rPr>
                <w:szCs w:val="22"/>
              </w:rPr>
              <w:t>185.9</w:t>
            </w:r>
          </w:p>
        </w:tc>
      </w:tr>
      <w:tr>
        <w:trPr>
          <w:cantSplit/>
        </w:trPr>
        <w:tc>
          <w:tcPr>
            <w:tcW w:w="1405" w:type="dxa"/>
            <w:noWrap/>
          </w:tcPr>
          <w:p>
            <w:pPr>
              <w:pStyle w:val="yTableNAm"/>
            </w:pPr>
            <w:r>
              <w:t>Over 150 but not over 300</w:t>
            </w:r>
          </w:p>
        </w:tc>
        <w:tc>
          <w:tcPr>
            <w:tcW w:w="889" w:type="dxa"/>
            <w:noWrap/>
            <w:vAlign w:val="bottom"/>
          </w:tcPr>
          <w:p>
            <w:pPr>
              <w:pStyle w:val="yTableNAm"/>
              <w:jc w:val="center"/>
            </w:pPr>
            <w:r>
              <w:rPr>
                <w:szCs w:val="22"/>
              </w:rPr>
              <w:t>188.9</w:t>
            </w:r>
          </w:p>
        </w:tc>
        <w:tc>
          <w:tcPr>
            <w:tcW w:w="978" w:type="dxa"/>
            <w:noWrap/>
            <w:vAlign w:val="bottom"/>
          </w:tcPr>
          <w:p>
            <w:pPr>
              <w:pStyle w:val="yTableNAm"/>
              <w:jc w:val="center"/>
            </w:pPr>
            <w:r>
              <w:rPr>
                <w:szCs w:val="22"/>
              </w:rPr>
              <w:t>247.7</w:t>
            </w:r>
          </w:p>
        </w:tc>
        <w:tc>
          <w:tcPr>
            <w:tcW w:w="978" w:type="dxa"/>
            <w:noWrap/>
            <w:vAlign w:val="bottom"/>
          </w:tcPr>
          <w:p>
            <w:pPr>
              <w:pStyle w:val="yTableNAm"/>
              <w:jc w:val="center"/>
            </w:pPr>
            <w:r>
              <w:rPr>
                <w:szCs w:val="22"/>
              </w:rPr>
              <w:t>247.7</w:t>
            </w:r>
          </w:p>
        </w:tc>
        <w:tc>
          <w:tcPr>
            <w:tcW w:w="978" w:type="dxa"/>
            <w:noWrap/>
            <w:vAlign w:val="bottom"/>
          </w:tcPr>
          <w:p>
            <w:pPr>
              <w:pStyle w:val="yTableNAm"/>
              <w:jc w:val="center"/>
            </w:pPr>
            <w:r>
              <w:rPr>
                <w:szCs w:val="22"/>
              </w:rPr>
              <w:t>247.7</w:t>
            </w:r>
          </w:p>
        </w:tc>
        <w:tc>
          <w:tcPr>
            <w:tcW w:w="980" w:type="dxa"/>
            <w:noWrap/>
            <w:vAlign w:val="bottom"/>
          </w:tcPr>
          <w:p>
            <w:pPr>
              <w:pStyle w:val="yTableNAm"/>
              <w:jc w:val="center"/>
            </w:pPr>
            <w:r>
              <w:rPr>
                <w:szCs w:val="22"/>
              </w:rPr>
              <w:t>247.7</w:t>
            </w:r>
          </w:p>
        </w:tc>
      </w:tr>
      <w:tr>
        <w:trPr>
          <w:cantSplit/>
        </w:trPr>
        <w:tc>
          <w:tcPr>
            <w:tcW w:w="1405" w:type="dxa"/>
            <w:noWrap/>
          </w:tcPr>
          <w:p>
            <w:pPr>
              <w:pStyle w:val="yTableNAm"/>
            </w:pPr>
            <w:r>
              <w:t>Over 300 but not over 550</w:t>
            </w:r>
          </w:p>
        </w:tc>
        <w:tc>
          <w:tcPr>
            <w:tcW w:w="889" w:type="dxa"/>
            <w:noWrap/>
            <w:vAlign w:val="bottom"/>
          </w:tcPr>
          <w:p>
            <w:pPr>
              <w:pStyle w:val="yTableNAm"/>
              <w:jc w:val="center"/>
            </w:pPr>
            <w:r>
              <w:t>216.8</w:t>
            </w:r>
          </w:p>
        </w:tc>
        <w:tc>
          <w:tcPr>
            <w:tcW w:w="978" w:type="dxa"/>
            <w:noWrap/>
            <w:vAlign w:val="bottom"/>
          </w:tcPr>
          <w:p>
            <w:pPr>
              <w:pStyle w:val="yTableNAm"/>
              <w:jc w:val="center"/>
            </w:pPr>
            <w:r>
              <w:t>298.3</w:t>
            </w:r>
          </w:p>
        </w:tc>
        <w:tc>
          <w:tcPr>
            <w:tcW w:w="978" w:type="dxa"/>
            <w:noWrap/>
            <w:vAlign w:val="bottom"/>
          </w:tcPr>
          <w:p>
            <w:pPr>
              <w:pStyle w:val="yTableNAm"/>
              <w:jc w:val="center"/>
            </w:pPr>
            <w:r>
              <w:t>397.4</w:t>
            </w:r>
          </w:p>
        </w:tc>
        <w:tc>
          <w:tcPr>
            <w:tcW w:w="978" w:type="dxa"/>
            <w:noWrap/>
            <w:vAlign w:val="bottom"/>
          </w:tcPr>
          <w:p>
            <w:pPr>
              <w:pStyle w:val="yTableNAm"/>
              <w:jc w:val="center"/>
            </w:pPr>
            <w:r>
              <w:t>467.2</w:t>
            </w:r>
          </w:p>
        </w:tc>
        <w:tc>
          <w:tcPr>
            <w:tcW w:w="980"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550</w:t>
            </w:r>
          </w:p>
        </w:tc>
        <w:tc>
          <w:tcPr>
            <w:tcW w:w="889" w:type="dxa"/>
            <w:tcBorders>
              <w:bottom w:val="single" w:sz="4" w:space="0" w:color="auto"/>
            </w:tcBorders>
            <w:noWrap/>
            <w:vAlign w:val="bottom"/>
          </w:tcPr>
          <w:p>
            <w:pPr>
              <w:pStyle w:val="yTableNAm"/>
              <w:jc w:val="center"/>
            </w:pPr>
            <w:r>
              <w:t>253.2</w:t>
            </w:r>
          </w:p>
        </w:tc>
        <w:tc>
          <w:tcPr>
            <w:tcW w:w="978" w:type="dxa"/>
            <w:tcBorders>
              <w:bottom w:val="single" w:sz="4" w:space="0" w:color="auto"/>
            </w:tcBorders>
            <w:noWrap/>
            <w:vAlign w:val="bottom"/>
          </w:tcPr>
          <w:p>
            <w:pPr>
              <w:pStyle w:val="yTableNAm"/>
              <w:jc w:val="center"/>
            </w:pPr>
            <w:r>
              <w:t>380.5</w:t>
            </w:r>
          </w:p>
        </w:tc>
        <w:tc>
          <w:tcPr>
            <w:tcW w:w="978" w:type="dxa"/>
            <w:tcBorders>
              <w:bottom w:val="single" w:sz="4" w:space="0" w:color="auto"/>
            </w:tcBorders>
            <w:noWrap/>
            <w:vAlign w:val="bottom"/>
          </w:tcPr>
          <w:p>
            <w:pPr>
              <w:pStyle w:val="yTableNAm"/>
              <w:jc w:val="center"/>
            </w:pPr>
            <w:r>
              <w:t>506.6</w:t>
            </w:r>
          </w:p>
        </w:tc>
        <w:tc>
          <w:tcPr>
            <w:tcW w:w="978" w:type="dxa"/>
            <w:tcBorders>
              <w:bottom w:val="single" w:sz="4" w:space="0" w:color="auto"/>
            </w:tcBorders>
            <w:noWrap/>
            <w:vAlign w:val="bottom"/>
          </w:tcPr>
          <w:p>
            <w:pPr>
              <w:pStyle w:val="yTableNAm"/>
              <w:jc w:val="center"/>
            </w:pPr>
            <w:r>
              <w:t>700.8</w:t>
            </w:r>
          </w:p>
        </w:tc>
        <w:tc>
          <w:tcPr>
            <w:tcW w:w="980" w:type="dxa"/>
            <w:tcBorders>
              <w:bottom w:val="single" w:sz="4" w:space="0" w:color="auto"/>
            </w:tcBorders>
            <w:noWrap/>
            <w:vAlign w:val="bottom"/>
          </w:tcPr>
          <w:p>
            <w:pPr>
              <w:pStyle w:val="yTableNAm"/>
              <w:jc w:val="center"/>
            </w:pPr>
            <w:r>
              <w:t>945.2</w:t>
            </w:r>
          </w:p>
        </w:tc>
      </w:tr>
    </w:tbl>
    <w:p>
      <w:pPr>
        <w:pStyle w:val="ySubsection"/>
      </w:pPr>
      <w:r>
        <w:tab/>
        <w:t>(2)</w:t>
      </w:r>
      <w:r>
        <w:tab/>
        <w:t>Sub</w:t>
      </w:r>
      <w:r>
        <w:noBreakHyphen/>
        <w:t xml:space="preserve">item (1) applies unless the land is located — </w:t>
      </w:r>
    </w:p>
    <w:p>
      <w:pPr>
        <w:pStyle w:val="yIndenta"/>
      </w:pPr>
      <w:r>
        <w:tab/>
        <w:t>(a)</w:t>
      </w:r>
      <w:r>
        <w:tab/>
        <w:t>in the town of Cue, Laverton, Leonora, Meekatharra, Menzies, Mount Magnet, Mullewa, Sandstone, Wiluna or Yalgoo; or</w:t>
      </w:r>
    </w:p>
    <w:p>
      <w:pPr>
        <w:pStyle w:val="yIndenta"/>
      </w:pPr>
      <w:r>
        <w:lastRenderedPageBreak/>
        <w:tab/>
        <w:t>(b)</w:t>
      </w:r>
      <w:r>
        <w:tab/>
        <w:t>north of 26°S Latitude,</w:t>
      </w:r>
    </w:p>
    <w:p>
      <w:pPr>
        <w:pStyle w:val="ySubsection"/>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75"/>
        <w:gridCol w:w="963"/>
        <w:gridCol w:w="963"/>
        <w:gridCol w:w="963"/>
        <w:gridCol w:w="1039"/>
      </w:tblGrid>
      <w:tr>
        <w:trPr>
          <w:cantSplit/>
          <w:tblHeader/>
        </w:trPr>
        <w:tc>
          <w:tcPr>
            <w:tcW w:w="1405" w:type="dxa"/>
            <w:tcBorders>
              <w:top w:val="single" w:sz="4" w:space="0" w:color="auto"/>
              <w:bottom w:val="single" w:sz="4" w:space="0" w:color="auto"/>
            </w:tcBorders>
            <w:noWrap/>
          </w:tcPr>
          <w:p>
            <w:pPr>
              <w:pStyle w:val="yTableNAm"/>
              <w:jc w:val="center"/>
              <w:rPr>
                <w:b/>
              </w:rPr>
            </w:pPr>
            <w:r>
              <w:rPr>
                <w:b/>
              </w:rPr>
              <w:br w:type="page"/>
              <w:t>Consumption (kL)</w:t>
            </w:r>
          </w:p>
        </w:tc>
        <w:tc>
          <w:tcPr>
            <w:tcW w:w="875" w:type="dxa"/>
            <w:tcBorders>
              <w:top w:val="single" w:sz="4" w:space="0" w:color="auto"/>
              <w:bottom w:val="single" w:sz="4" w:space="0" w:color="auto"/>
            </w:tcBorders>
            <w:noWrap/>
          </w:tcPr>
          <w:p>
            <w:pPr>
              <w:pStyle w:val="yTableNAm"/>
              <w:jc w:val="center"/>
              <w:rPr>
                <w:b/>
              </w:rPr>
            </w:pPr>
            <w:r>
              <w:rPr>
                <w:b/>
              </w:rPr>
              <w:t>Class 1 (cents)</w:t>
            </w:r>
          </w:p>
        </w:tc>
        <w:tc>
          <w:tcPr>
            <w:tcW w:w="963" w:type="dxa"/>
            <w:tcBorders>
              <w:top w:val="single" w:sz="4" w:space="0" w:color="auto"/>
              <w:bottom w:val="single" w:sz="4" w:space="0" w:color="auto"/>
            </w:tcBorders>
            <w:noWrap/>
          </w:tcPr>
          <w:p>
            <w:pPr>
              <w:pStyle w:val="yTableNAm"/>
              <w:jc w:val="center"/>
              <w:rPr>
                <w:b/>
              </w:rPr>
            </w:pPr>
            <w:r>
              <w:rPr>
                <w:b/>
              </w:rPr>
              <w:t>Class 2 (cents)</w:t>
            </w:r>
          </w:p>
        </w:tc>
        <w:tc>
          <w:tcPr>
            <w:tcW w:w="963" w:type="dxa"/>
            <w:tcBorders>
              <w:top w:val="single" w:sz="4" w:space="0" w:color="auto"/>
              <w:bottom w:val="single" w:sz="4" w:space="0" w:color="auto"/>
            </w:tcBorders>
            <w:noWrap/>
          </w:tcPr>
          <w:p>
            <w:pPr>
              <w:pStyle w:val="yTableNAm"/>
              <w:jc w:val="center"/>
              <w:rPr>
                <w:b/>
              </w:rPr>
            </w:pPr>
            <w:r>
              <w:rPr>
                <w:b/>
              </w:rPr>
              <w:t>Class 3 (cents)</w:t>
            </w:r>
          </w:p>
        </w:tc>
        <w:tc>
          <w:tcPr>
            <w:tcW w:w="963" w:type="dxa"/>
            <w:tcBorders>
              <w:top w:val="single" w:sz="4" w:space="0" w:color="auto"/>
              <w:bottom w:val="single" w:sz="4" w:space="0" w:color="auto"/>
            </w:tcBorders>
            <w:noWrap/>
          </w:tcPr>
          <w:p>
            <w:pPr>
              <w:pStyle w:val="yTableNAm"/>
              <w:jc w:val="center"/>
              <w:rPr>
                <w:b/>
              </w:rPr>
            </w:pPr>
            <w:r>
              <w:rPr>
                <w:b/>
              </w:rPr>
              <w:t>Class 4 (cents)</w:t>
            </w:r>
          </w:p>
        </w:tc>
        <w:tc>
          <w:tcPr>
            <w:tcW w:w="1039"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05" w:type="dxa"/>
            <w:noWrap/>
          </w:tcPr>
          <w:p>
            <w:pPr>
              <w:pStyle w:val="yTableNAm"/>
            </w:pPr>
            <w:r>
              <w:t>Up to 350</w:t>
            </w:r>
          </w:p>
        </w:tc>
        <w:tc>
          <w:tcPr>
            <w:tcW w:w="875" w:type="dxa"/>
            <w:noWrap/>
            <w:vAlign w:val="bottom"/>
          </w:tcPr>
          <w:p>
            <w:pPr>
              <w:pStyle w:val="yTableNAm"/>
              <w:jc w:val="center"/>
            </w:pPr>
            <w:r>
              <w:rPr>
                <w:szCs w:val="22"/>
              </w:rPr>
              <w:t>141.9</w:t>
            </w:r>
          </w:p>
        </w:tc>
        <w:tc>
          <w:tcPr>
            <w:tcW w:w="963" w:type="dxa"/>
            <w:noWrap/>
            <w:vAlign w:val="bottom"/>
          </w:tcPr>
          <w:p>
            <w:pPr>
              <w:pStyle w:val="yTableNAm"/>
              <w:jc w:val="center"/>
            </w:pPr>
            <w:r>
              <w:rPr>
                <w:szCs w:val="22"/>
              </w:rPr>
              <w:t>185.9</w:t>
            </w:r>
          </w:p>
        </w:tc>
        <w:tc>
          <w:tcPr>
            <w:tcW w:w="963" w:type="dxa"/>
            <w:noWrap/>
            <w:vAlign w:val="bottom"/>
          </w:tcPr>
          <w:p>
            <w:pPr>
              <w:pStyle w:val="yTableNAm"/>
              <w:jc w:val="center"/>
            </w:pPr>
            <w:r>
              <w:rPr>
                <w:szCs w:val="22"/>
              </w:rPr>
              <w:t>185.9</w:t>
            </w:r>
          </w:p>
        </w:tc>
        <w:tc>
          <w:tcPr>
            <w:tcW w:w="963" w:type="dxa"/>
            <w:noWrap/>
            <w:vAlign w:val="bottom"/>
          </w:tcPr>
          <w:p>
            <w:pPr>
              <w:pStyle w:val="yTableNAm"/>
              <w:jc w:val="center"/>
            </w:pPr>
            <w:r>
              <w:rPr>
                <w:szCs w:val="22"/>
              </w:rPr>
              <w:t>185.9</w:t>
            </w:r>
          </w:p>
        </w:tc>
        <w:tc>
          <w:tcPr>
            <w:tcW w:w="1039" w:type="dxa"/>
            <w:noWrap/>
            <w:vAlign w:val="bottom"/>
          </w:tcPr>
          <w:p>
            <w:pPr>
              <w:pStyle w:val="yTableNAm"/>
              <w:jc w:val="center"/>
            </w:pPr>
            <w:r>
              <w:rPr>
                <w:szCs w:val="22"/>
              </w:rPr>
              <w:t>185.9</w:t>
            </w:r>
          </w:p>
        </w:tc>
      </w:tr>
      <w:tr>
        <w:trPr>
          <w:cantSplit/>
        </w:trPr>
        <w:tc>
          <w:tcPr>
            <w:tcW w:w="1405" w:type="dxa"/>
            <w:noWrap/>
          </w:tcPr>
          <w:p>
            <w:pPr>
              <w:pStyle w:val="yTableNAm"/>
            </w:pPr>
            <w:r>
              <w:t>Over 350 but not over 500</w:t>
            </w:r>
          </w:p>
        </w:tc>
        <w:tc>
          <w:tcPr>
            <w:tcW w:w="875" w:type="dxa"/>
            <w:noWrap/>
            <w:vAlign w:val="bottom"/>
          </w:tcPr>
          <w:p>
            <w:pPr>
              <w:pStyle w:val="yTableNAm"/>
              <w:jc w:val="center"/>
            </w:pPr>
            <w:r>
              <w:rPr>
                <w:szCs w:val="22"/>
              </w:rPr>
              <w:t>188.9</w:t>
            </w:r>
          </w:p>
        </w:tc>
        <w:tc>
          <w:tcPr>
            <w:tcW w:w="963" w:type="dxa"/>
            <w:noWrap/>
            <w:vAlign w:val="bottom"/>
          </w:tcPr>
          <w:p>
            <w:pPr>
              <w:pStyle w:val="yTableNAm"/>
              <w:jc w:val="center"/>
            </w:pPr>
            <w:r>
              <w:rPr>
                <w:szCs w:val="22"/>
              </w:rPr>
              <w:t>247.7</w:t>
            </w:r>
          </w:p>
        </w:tc>
        <w:tc>
          <w:tcPr>
            <w:tcW w:w="963" w:type="dxa"/>
            <w:noWrap/>
            <w:vAlign w:val="bottom"/>
          </w:tcPr>
          <w:p>
            <w:pPr>
              <w:pStyle w:val="yTableNAm"/>
              <w:jc w:val="center"/>
            </w:pPr>
            <w:r>
              <w:rPr>
                <w:szCs w:val="22"/>
              </w:rPr>
              <w:t>247.7</w:t>
            </w:r>
          </w:p>
        </w:tc>
        <w:tc>
          <w:tcPr>
            <w:tcW w:w="963" w:type="dxa"/>
            <w:noWrap/>
            <w:vAlign w:val="bottom"/>
          </w:tcPr>
          <w:p>
            <w:pPr>
              <w:pStyle w:val="yTableNAm"/>
              <w:jc w:val="center"/>
            </w:pPr>
            <w:r>
              <w:rPr>
                <w:szCs w:val="22"/>
              </w:rPr>
              <w:t>247.7</w:t>
            </w:r>
          </w:p>
        </w:tc>
        <w:tc>
          <w:tcPr>
            <w:tcW w:w="1039" w:type="dxa"/>
            <w:noWrap/>
            <w:vAlign w:val="bottom"/>
          </w:tcPr>
          <w:p>
            <w:pPr>
              <w:pStyle w:val="yTableNAm"/>
              <w:jc w:val="center"/>
            </w:pPr>
            <w:r>
              <w:rPr>
                <w:szCs w:val="22"/>
              </w:rPr>
              <w:t>247.7</w:t>
            </w:r>
          </w:p>
        </w:tc>
      </w:tr>
      <w:tr>
        <w:trPr>
          <w:cantSplit/>
        </w:trPr>
        <w:tc>
          <w:tcPr>
            <w:tcW w:w="1405" w:type="dxa"/>
            <w:noWrap/>
          </w:tcPr>
          <w:p>
            <w:pPr>
              <w:pStyle w:val="yTableNAm"/>
              <w:keepNext/>
              <w:keepLines/>
            </w:pPr>
            <w:r>
              <w:t>Over 500 but not over 750</w:t>
            </w:r>
          </w:p>
        </w:tc>
        <w:tc>
          <w:tcPr>
            <w:tcW w:w="875" w:type="dxa"/>
            <w:noWrap/>
            <w:vAlign w:val="bottom"/>
          </w:tcPr>
          <w:p>
            <w:pPr>
              <w:pStyle w:val="yTableNAm"/>
              <w:jc w:val="center"/>
            </w:pPr>
            <w:r>
              <w:t>216.8</w:t>
            </w:r>
          </w:p>
        </w:tc>
        <w:tc>
          <w:tcPr>
            <w:tcW w:w="963" w:type="dxa"/>
            <w:noWrap/>
            <w:vAlign w:val="bottom"/>
          </w:tcPr>
          <w:p>
            <w:pPr>
              <w:pStyle w:val="yTableNAm"/>
              <w:jc w:val="center"/>
            </w:pPr>
            <w:r>
              <w:t>298.3</w:t>
            </w:r>
          </w:p>
        </w:tc>
        <w:tc>
          <w:tcPr>
            <w:tcW w:w="963" w:type="dxa"/>
            <w:noWrap/>
            <w:vAlign w:val="bottom"/>
          </w:tcPr>
          <w:p>
            <w:pPr>
              <w:pStyle w:val="yTableNAm"/>
              <w:jc w:val="center"/>
            </w:pPr>
            <w:r>
              <w:t>397.4</w:t>
            </w:r>
          </w:p>
        </w:tc>
        <w:tc>
          <w:tcPr>
            <w:tcW w:w="963" w:type="dxa"/>
            <w:noWrap/>
            <w:vAlign w:val="bottom"/>
          </w:tcPr>
          <w:p>
            <w:pPr>
              <w:pStyle w:val="yTableNAm"/>
              <w:jc w:val="center"/>
            </w:pPr>
            <w:r>
              <w:t>467.2</w:t>
            </w:r>
          </w:p>
        </w:tc>
        <w:tc>
          <w:tcPr>
            <w:tcW w:w="1039"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750</w:t>
            </w:r>
          </w:p>
        </w:tc>
        <w:tc>
          <w:tcPr>
            <w:tcW w:w="875" w:type="dxa"/>
            <w:tcBorders>
              <w:bottom w:val="single" w:sz="4" w:space="0" w:color="auto"/>
            </w:tcBorders>
            <w:noWrap/>
            <w:vAlign w:val="bottom"/>
          </w:tcPr>
          <w:p>
            <w:pPr>
              <w:pStyle w:val="yTableNAm"/>
              <w:jc w:val="center"/>
            </w:pPr>
            <w:r>
              <w:t>253.2</w:t>
            </w:r>
          </w:p>
        </w:tc>
        <w:tc>
          <w:tcPr>
            <w:tcW w:w="963" w:type="dxa"/>
            <w:tcBorders>
              <w:bottom w:val="single" w:sz="4" w:space="0" w:color="auto"/>
            </w:tcBorders>
            <w:noWrap/>
            <w:vAlign w:val="bottom"/>
          </w:tcPr>
          <w:p>
            <w:pPr>
              <w:pStyle w:val="yTableNAm"/>
              <w:jc w:val="center"/>
            </w:pPr>
            <w:r>
              <w:t>380.5</w:t>
            </w:r>
          </w:p>
        </w:tc>
        <w:tc>
          <w:tcPr>
            <w:tcW w:w="963" w:type="dxa"/>
            <w:tcBorders>
              <w:bottom w:val="single" w:sz="4" w:space="0" w:color="auto"/>
            </w:tcBorders>
            <w:noWrap/>
            <w:vAlign w:val="bottom"/>
          </w:tcPr>
          <w:p>
            <w:pPr>
              <w:pStyle w:val="yTableNAm"/>
              <w:jc w:val="center"/>
            </w:pPr>
            <w:r>
              <w:t>506.6</w:t>
            </w:r>
          </w:p>
        </w:tc>
        <w:tc>
          <w:tcPr>
            <w:tcW w:w="963" w:type="dxa"/>
            <w:tcBorders>
              <w:bottom w:val="single" w:sz="4" w:space="0" w:color="auto"/>
            </w:tcBorders>
            <w:noWrap/>
            <w:vAlign w:val="bottom"/>
          </w:tcPr>
          <w:p>
            <w:pPr>
              <w:pStyle w:val="yTableNAm"/>
              <w:jc w:val="center"/>
            </w:pPr>
            <w:r>
              <w:t>700.8</w:t>
            </w:r>
          </w:p>
        </w:tc>
        <w:tc>
          <w:tcPr>
            <w:tcW w:w="1039" w:type="dxa"/>
            <w:tcBorders>
              <w:bottom w:val="single" w:sz="4" w:space="0" w:color="auto"/>
            </w:tcBorders>
            <w:noWrap/>
            <w:vAlign w:val="bottom"/>
          </w:tcPr>
          <w:p>
            <w:pPr>
              <w:pStyle w:val="yTableNAm"/>
              <w:jc w:val="center"/>
            </w:pPr>
            <w:r>
              <w:t>945.2</w:t>
            </w:r>
          </w:p>
        </w:tc>
      </w:tr>
    </w:tbl>
    <w:p>
      <w:pPr>
        <w:pStyle w:val="ySubsection"/>
      </w:pPr>
      <w:r>
        <w:tab/>
        <w:t>(3)</w:t>
      </w:r>
      <w:r>
        <w:tab/>
        <w:t>A charge under sub</w:t>
      </w:r>
      <w:r>
        <w:noBreakHyphen/>
        <w:t>item (1) or (2) does not apply to the supply of water for which a more specific charge is provided in this Subdivision.</w:t>
      </w:r>
    </w:p>
    <w:p>
      <w:pPr>
        <w:pStyle w:val="yHeading5"/>
      </w:pPr>
      <w:bookmarkStart w:id="240" w:name="_Toc106179998"/>
      <w:r>
        <w:t>30.</w:t>
      </w:r>
      <w:r>
        <w:tab/>
        <w:t>Non</w:t>
      </w:r>
      <w:r>
        <w:noBreakHyphen/>
        <w:t>metropolitan non</w:t>
      </w:r>
      <w:r>
        <w:noBreakHyphen/>
        <w:t>residential</w:t>
      </w:r>
      <w:bookmarkEnd w:id="240"/>
    </w:p>
    <w:p>
      <w:pPr>
        <w:pStyle w:val="ySubsection"/>
      </w:pPr>
      <w:r>
        <w:tab/>
        <w:t>(1)</w:t>
      </w:r>
      <w:r>
        <w:tab/>
        <w:t xml:space="preserve">For each kilolitre of water supplied to land </w:t>
      </w:r>
      <w:r>
        <w:br/>
        <w:t>in the non</w:t>
      </w:r>
      <w:r>
        <w:noBreakHyphen/>
        <w:t xml:space="preserve">metropolitan area that is neither </w:t>
      </w:r>
      <w:r>
        <w:br/>
        <w:t xml:space="preserve">classified as residential nor classified as </w:t>
      </w:r>
      <w:r>
        <w:br/>
        <w:t xml:space="preserve">vacant land but held for residential purposes, </w:t>
      </w:r>
      <w:r>
        <w:br/>
        <w:t>the charge is —</w:t>
      </w:r>
    </w:p>
    <w:p>
      <w:pPr>
        <w:pStyle w:val="yIndenta"/>
        <w:tabs>
          <w:tab w:val="right" w:leader="dot" w:pos="6804"/>
        </w:tabs>
      </w:pPr>
      <w:r>
        <w:tab/>
        <w:t>(a)</w:t>
      </w:r>
      <w:r>
        <w:tab/>
        <w:t xml:space="preserve">if the land is classified as local </w:t>
      </w:r>
      <w:r>
        <w:br/>
        <w:t xml:space="preserve">government, institutional public </w:t>
      </w:r>
      <w:r>
        <w:br/>
        <w:t>or charitable purposes</w:t>
      </w:r>
      <w:r>
        <w:tab/>
        <w:t>272.9 cents</w:t>
      </w:r>
    </w:p>
    <w:p>
      <w:pPr>
        <w:pStyle w:val="yIndenta"/>
        <w:tabs>
          <w:tab w:val="right" w:leader="dot" w:pos="6804"/>
        </w:tabs>
      </w:pPr>
      <w:r>
        <w:tab/>
        <w:t>(b)</w:t>
      </w:r>
      <w:r>
        <w:tab/>
        <w:t xml:space="preserve">if the land is classified as farmland </w:t>
      </w:r>
      <w:r>
        <w:tab/>
        <w:t>272.9 cents</w:t>
      </w:r>
    </w:p>
    <w:p>
      <w:pPr>
        <w:pStyle w:val="yIndenta"/>
      </w:pPr>
      <w:r>
        <w:tab/>
        <w:t>(c)</w:t>
      </w:r>
      <w:r>
        <w:tab/>
        <w:t xml:space="preserve">if the land is classified as mining — </w:t>
      </w:r>
      <w:r>
        <w:br/>
        <w:t xml:space="preserve">the 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classes </w:t>
      </w:r>
      <w:r>
        <w:br/>
        <w:t>14 and 15 were 899.5 cents;</w:t>
      </w:r>
    </w:p>
    <w:p>
      <w:pPr>
        <w:pStyle w:val="yIndenta"/>
        <w:keepNext/>
        <w:keepLines/>
      </w:pPr>
      <w:r>
        <w:lastRenderedPageBreak/>
        <w:tab/>
        <w:t>(d)</w:t>
      </w:r>
      <w:r>
        <w:tab/>
        <w:t xml:space="preserve">if the land is classified as </w:t>
      </w:r>
      <w:r>
        <w:br/>
        <w:t>non</w:t>
      </w:r>
      <w:r>
        <w:noBreakHyphen/>
        <w:t xml:space="preserve">residential or vacant </w:t>
      </w:r>
      <w:r>
        <w:br/>
        <w:t xml:space="preserve">land — the charge applicable in the </w:t>
      </w:r>
      <w:r>
        <w:br/>
        <w:t xml:space="preserve">Table in item 24 according to the </w:t>
      </w:r>
      <w:r>
        <w:br/>
        <w:t>non</w:t>
      </w:r>
      <w:r>
        <w:noBreakHyphen/>
        <w:t xml:space="preserve">residential class of the town or </w:t>
      </w:r>
      <w:r>
        <w:br/>
        <w:t>area in which the land is located;</w:t>
      </w:r>
    </w:p>
    <w:p>
      <w:pPr>
        <w:pStyle w:val="yIndenta"/>
      </w:pPr>
      <w:r>
        <w:tab/>
        <w:t>(e)</w:t>
      </w:r>
      <w:r>
        <w:tab/>
        <w:t>if the land is classified as commercial residential —</w:t>
      </w:r>
    </w:p>
    <w:p>
      <w:pPr>
        <w:pStyle w:val="yMiscellaneousBody"/>
        <w:keepNext/>
        <w:tabs>
          <w:tab w:val="left" w:pos="1701"/>
          <w:tab w:val="left" w:pos="2552"/>
          <w:tab w:val="right" w:leader="dot" w:pos="6804"/>
        </w:tabs>
        <w:ind w:firstLine="1843"/>
      </w:pPr>
      <w:r>
        <w:t xml:space="preserve">up to 150 kL </w:t>
      </w:r>
      <w:r>
        <w:tab/>
        <w:t>185.9 cents</w:t>
      </w:r>
    </w:p>
    <w:p>
      <w:pPr>
        <w:pStyle w:val="yMiscellaneousBody"/>
        <w:keepNext/>
        <w:tabs>
          <w:tab w:val="left" w:pos="1701"/>
          <w:tab w:val="left" w:pos="2552"/>
          <w:tab w:val="right" w:leader="dot" w:pos="6804"/>
        </w:tabs>
        <w:ind w:left="1843"/>
      </w:pPr>
      <w:r>
        <w:t>over 150 kL — the charge applicable in the Table in item 24 according to the non</w:t>
      </w:r>
      <w:r>
        <w:noBreakHyphen/>
        <w:t>residential class of the town or area in which the land is located.</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241" w:name="_Toc106179999"/>
      <w:r>
        <w:t>31.</w:t>
      </w:r>
      <w:r>
        <w:tab/>
        <w:t>Strata</w:t>
      </w:r>
      <w:r>
        <w:noBreakHyphen/>
        <w:t>titled or long</w:t>
      </w:r>
      <w:r>
        <w:noBreakHyphen/>
        <w:t>term residential caravan bays</w:t>
      </w:r>
      <w:bookmarkEnd w:id="241"/>
    </w:p>
    <w:p>
      <w:pPr>
        <w:pStyle w:val="ySubsection"/>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keepNext/>
        <w:tabs>
          <w:tab w:val="left" w:pos="993"/>
          <w:tab w:val="right" w:leader="dot" w:pos="6804"/>
        </w:tabs>
      </w:pPr>
      <w:r>
        <w:tab/>
        <w:t xml:space="preserve">up to 150 kL </w:t>
      </w:r>
      <w:r>
        <w:tab/>
      </w:r>
      <w:r>
        <w:rPr>
          <w:szCs w:val="22"/>
        </w:rPr>
        <w:t>185.9</w:t>
      </w:r>
      <w:r>
        <w:t xml:space="preserve"> cents</w:t>
      </w:r>
    </w:p>
    <w:p>
      <w:pPr>
        <w:pStyle w:val="yMiscellaneousBody"/>
        <w:keepNext/>
        <w:tabs>
          <w:tab w:val="left" w:pos="993"/>
          <w:tab w:val="right" w:leader="dot" w:pos="6804"/>
        </w:tabs>
      </w:pPr>
      <w:r>
        <w:tab/>
        <w:t xml:space="preserve">over 150 kL </w:t>
      </w:r>
      <w:r>
        <w:tab/>
        <w:t>264.6 cents</w:t>
      </w:r>
    </w:p>
    <w:p>
      <w:pPr>
        <w:pStyle w:val="ySubsection"/>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keepNext/>
        <w:tabs>
          <w:tab w:val="left" w:pos="993"/>
          <w:tab w:val="right" w:leader="dot" w:pos="6804"/>
        </w:tabs>
      </w:pPr>
      <w:r>
        <w:tab/>
        <w:t xml:space="preserve">up to 150 kL </w:t>
      </w:r>
      <w:r>
        <w:tab/>
        <w:t xml:space="preserve"> </w:t>
      </w:r>
      <w:r>
        <w:rPr>
          <w:szCs w:val="22"/>
        </w:rPr>
        <w:t>185.9</w:t>
      </w:r>
      <w:r>
        <w:t xml:space="preserve"> cents</w:t>
      </w:r>
    </w:p>
    <w:p>
      <w:pPr>
        <w:pStyle w:val="yMiscellaneousBody"/>
        <w:tabs>
          <w:tab w:val="left" w:pos="993"/>
        </w:tabs>
        <w:ind w:left="993" w:hanging="993"/>
      </w:pPr>
      <w:r>
        <w:tab/>
        <w:t>over 150 kL — the charge applicable in the Table in item 24 according to the residential class of the town or area in which the bay is located.</w:t>
      </w:r>
    </w:p>
    <w:p>
      <w:pPr>
        <w:pStyle w:val="ySubsection"/>
      </w:pPr>
      <w:r>
        <w:tab/>
        <w:t>(3)</w:t>
      </w:r>
      <w:r>
        <w:tab/>
        <w:t>Sub</w:t>
      </w:r>
      <w:r>
        <w:noBreakHyphen/>
        <w:t>items (1) and (2) do not apply to long</w:t>
      </w:r>
      <w:r>
        <w:noBreakHyphen/>
        <w:t>term residential caravan bays referred to in regulation 27(2)(a).</w:t>
      </w:r>
    </w:p>
    <w:p>
      <w:pPr>
        <w:pStyle w:val="yHeading5"/>
      </w:pPr>
      <w:bookmarkStart w:id="242" w:name="_Toc106180000"/>
      <w:r>
        <w:lastRenderedPageBreak/>
        <w:t>32.</w:t>
      </w:r>
      <w:r>
        <w:tab/>
        <w:t>Government trading organisations and non</w:t>
      </w:r>
      <w:r>
        <w:noBreakHyphen/>
        <w:t>commercial government property</w:t>
      </w:r>
      <w:bookmarkEnd w:id="242"/>
    </w:p>
    <w:p>
      <w:pPr>
        <w:pStyle w:val="ySubsection"/>
        <w:keepNext/>
        <w:keepLines/>
      </w:pPr>
      <w:r>
        <w:tab/>
        <w:t>(1)</w:t>
      </w:r>
      <w:r>
        <w:tab/>
        <w:t>This item applies to land held by a government trading organisation, or a public authority that holds non</w:t>
      </w:r>
      <w:r>
        <w:noBreakHyphen/>
        <w:t>commercial government property, in respect of which a water service charge set out in item 27 or 30(1)(a) would, but for this item, apply.</w:t>
      </w:r>
    </w:p>
    <w:p>
      <w:pPr>
        <w:pStyle w:val="ySubsection"/>
      </w:pPr>
      <w:r>
        <w:tab/>
        <w:t>(2)</w:t>
      </w:r>
      <w:r>
        <w:tab/>
        <w:t>This item does not apply to public land or land classified as vacant land.</w:t>
      </w:r>
    </w:p>
    <w:p>
      <w:pPr>
        <w:pStyle w:val="ySubsection"/>
      </w:pPr>
      <w:r>
        <w:tab/>
        <w:t>(3)</w:t>
      </w:r>
      <w:r>
        <w:tab/>
        <w:t>For land to which this item applies, the charge under sub</w:t>
      </w:r>
      <w:r>
        <w:noBreakHyphen/>
        <w:t>item (4) or (5) applies instead of the charge referred to in sub</w:t>
      </w:r>
      <w:r>
        <w:noBreakHyphen/>
        <w:t>item (1).</w:t>
      </w:r>
    </w:p>
    <w:p>
      <w:pPr>
        <w:pStyle w:val="ySubsection"/>
        <w:tabs>
          <w:tab w:val="right" w:leader="dot" w:pos="6804"/>
        </w:tabs>
      </w:pPr>
      <w:r>
        <w:tab/>
        <w:t>(4)</w:t>
      </w:r>
      <w:r>
        <w:tab/>
        <w:t xml:space="preserve">For each kilolitre of water supplied to land </w:t>
      </w:r>
      <w:r>
        <w:br/>
        <w:t xml:space="preserve">in the metropolitan area, the charge is </w:t>
      </w:r>
      <w:r>
        <w:tab/>
        <w:t>264.6 cents</w:t>
      </w:r>
    </w:p>
    <w:p>
      <w:pPr>
        <w:pStyle w:val="ySubsection"/>
      </w:pPr>
      <w:r>
        <w:tab/>
        <w:t>(5)</w:t>
      </w:r>
      <w:r>
        <w:tab/>
        <w:t xml:space="preserve">For each kilolitre of water supplied to land </w:t>
      </w:r>
      <w:r>
        <w:br/>
        <w:t>in the non</w:t>
      </w:r>
      <w:r>
        <w:noBreakHyphen/>
        <w:t xml:space="preserve">metropolitan area, the charge is </w:t>
      </w:r>
      <w:r>
        <w:br/>
        <w:t xml:space="preserve">the charge applicable in the Table in item 24 </w:t>
      </w:r>
      <w:r>
        <w:br/>
        <w:t>according to the non</w:t>
      </w:r>
      <w:r>
        <w:noBreakHyphen/>
        <w:t xml:space="preserve">residential class of the </w:t>
      </w:r>
      <w:r>
        <w:br/>
        <w:t>town or area in which the land is located.</w:t>
      </w:r>
    </w:p>
    <w:p>
      <w:pPr>
        <w:pStyle w:val="yHeading5"/>
      </w:pPr>
      <w:bookmarkStart w:id="243" w:name="_Toc106180001"/>
      <w:r>
        <w:t>33.</w:t>
      </w:r>
      <w:r>
        <w:tab/>
        <w:t>Coral Bay desalinated</w:t>
      </w:r>
      <w:bookmarkEnd w:id="243"/>
    </w:p>
    <w:p>
      <w:pPr>
        <w:pStyle w:val="ySubsection"/>
        <w:tabs>
          <w:tab w:val="right" w:leader="dot" w:pos="6804"/>
        </w:tabs>
      </w:pPr>
      <w:r>
        <w:tab/>
      </w:r>
      <w:r>
        <w:tab/>
        <w:t xml:space="preserve">For each kilolitre of desalinated water </w:t>
      </w:r>
      <w:r>
        <w:br/>
        <w:t xml:space="preserve">supplied to land in Coral Bay that is not </w:t>
      </w:r>
      <w:r>
        <w:br/>
        <w:t>classified as residential, the charge is</w:t>
      </w:r>
      <w:r>
        <w:tab/>
        <w:t>764.4 cents</w:t>
      </w:r>
    </w:p>
    <w:p>
      <w:pPr>
        <w:pStyle w:val="yHeading5"/>
      </w:pPr>
      <w:bookmarkStart w:id="244" w:name="_Toc106180002"/>
      <w:r>
        <w:t>34.</w:t>
      </w:r>
      <w:r>
        <w:tab/>
        <w:t>Denham desalinated</w:t>
      </w:r>
      <w:bookmarkEnd w:id="244"/>
    </w:p>
    <w:p>
      <w:pPr>
        <w:pStyle w:val="ySubsection"/>
      </w:pPr>
      <w:r>
        <w:tab/>
        <w:t>(1)</w:t>
      </w:r>
      <w:r>
        <w:tab/>
        <w:t>For each kilolitre of desalinated water supplied, in a charge period, to land in Denham that is classified as residential, the charge is —</w:t>
      </w:r>
    </w:p>
    <w:p>
      <w:pPr>
        <w:pStyle w:val="yMiscellaneousBody"/>
        <w:tabs>
          <w:tab w:val="left" w:pos="993"/>
          <w:tab w:val="right" w:leader="dot" w:pos="6804"/>
        </w:tabs>
        <w:ind w:left="993" w:hanging="426"/>
      </w:pPr>
      <w:r>
        <w:tab/>
        <w:t xml:space="preserve">up to quota </w:t>
      </w:r>
      <w:r>
        <w:tab/>
      </w:r>
      <w:r>
        <w:rPr>
          <w:szCs w:val="22"/>
        </w:rPr>
        <w:t>68.9</w:t>
      </w:r>
      <w:r>
        <w:t xml:space="preserve"> cents</w:t>
      </w:r>
    </w:p>
    <w:p>
      <w:pPr>
        <w:pStyle w:val="yMiscellaneousBody"/>
        <w:tabs>
          <w:tab w:val="left" w:pos="993"/>
          <w:tab w:val="right" w:leader="dot" w:pos="6804"/>
        </w:tabs>
        <w:ind w:left="993" w:hanging="426"/>
      </w:pPr>
      <w:r>
        <w:tab/>
        <w:t xml:space="preserve">over quota but by not more than the </w:t>
      </w:r>
      <w:r>
        <w:br/>
        <w:t xml:space="preserve">shoulder amount </w:t>
      </w:r>
      <w:r>
        <w:tab/>
        <w:t>506.9 cents</w:t>
      </w:r>
    </w:p>
    <w:p>
      <w:pPr>
        <w:pStyle w:val="yMiscellaneousBody"/>
        <w:tabs>
          <w:tab w:val="left" w:pos="993"/>
          <w:tab w:val="right" w:leader="dot" w:pos="6804"/>
        </w:tabs>
        <w:ind w:left="993" w:hanging="426"/>
      </w:pPr>
      <w:r>
        <w:tab/>
        <w:t xml:space="preserve">over quota by more than the shoulder </w:t>
      </w:r>
      <w:r>
        <w:br/>
        <w:t>amount</w:t>
      </w:r>
      <w:r>
        <w:tab/>
        <w:t>1 579.4 cents</w:t>
      </w:r>
    </w:p>
    <w:p>
      <w:pPr>
        <w:pStyle w:val="ySubsection"/>
        <w:keepNext/>
      </w:pPr>
      <w:r>
        <w:lastRenderedPageBreak/>
        <w:tab/>
        <w:t>(2)</w:t>
      </w:r>
      <w:r>
        <w:tab/>
        <w:t>In sub</w:t>
      </w:r>
      <w:r>
        <w:noBreakHyphen/>
        <w:t xml:space="preserve">item (1) — </w:t>
      </w:r>
    </w:p>
    <w:p>
      <w:pPr>
        <w:pStyle w:val="yIndenta"/>
        <w:keepNext/>
      </w:pPr>
      <w:r>
        <w:tab/>
        <w:t>(a)</w:t>
      </w:r>
      <w:r>
        <w:tab/>
        <w:t>the quota for the charge period is 18 kL plus 4 kL for each resident on the land in excess of 4 residents; and</w:t>
      </w:r>
    </w:p>
    <w:p>
      <w:pPr>
        <w:pStyle w:val="yIndenta"/>
      </w:pPr>
      <w:r>
        <w:tab/>
        <w:t>(b)</w:t>
      </w:r>
      <w:r>
        <w:tab/>
        <w:t>the shoulder amount for the charge period is 3 kL plus 1 kL for each resident on the land in excess of 4 residents.</w:t>
      </w:r>
    </w:p>
    <w:p>
      <w:pPr>
        <w:pStyle w:val="ySubsection"/>
      </w:pPr>
      <w:r>
        <w:tab/>
        <w:t>(3)</w:t>
      </w:r>
      <w:r>
        <w:tab/>
        <w:t xml:space="preserve">For each kilolitre of desalinated water </w:t>
      </w:r>
      <w:r>
        <w:br/>
        <w:t xml:space="preserve">supplied to land in Denham that is not </w:t>
      </w:r>
      <w:r>
        <w:br/>
        <w:t>classified as residential, the charge is —</w:t>
      </w:r>
    </w:p>
    <w:p>
      <w:pPr>
        <w:pStyle w:val="yMiscellaneousBody"/>
        <w:tabs>
          <w:tab w:val="right" w:leader="dot" w:pos="6804"/>
        </w:tabs>
        <w:ind w:left="993" w:hanging="426"/>
      </w:pPr>
      <w:r>
        <w:tab/>
        <w:t xml:space="preserve">up to quota </w:t>
      </w:r>
      <w:r>
        <w:tab/>
        <w:t xml:space="preserve"> 70.3 cents</w:t>
      </w:r>
    </w:p>
    <w:p>
      <w:pPr>
        <w:pStyle w:val="yMiscellaneousBody"/>
        <w:tabs>
          <w:tab w:val="right" w:leader="dot" w:pos="6804"/>
        </w:tabs>
        <w:ind w:left="993" w:hanging="426"/>
      </w:pPr>
      <w:r>
        <w:tab/>
        <w:t xml:space="preserve">over quota </w:t>
      </w:r>
      <w:r>
        <w:tab/>
        <w:t xml:space="preserve"> 1 610.9 cents</w:t>
      </w:r>
    </w:p>
    <w:p>
      <w:pPr>
        <w:pStyle w:val="ySubsection"/>
      </w:pPr>
      <w:r>
        <w:tab/>
        <w:t>(4)</w:t>
      </w:r>
      <w:r>
        <w:tab/>
        <w:t>In sub</w:t>
      </w:r>
      <w:r>
        <w:noBreakHyphen/>
        <w:t>item (3), the quota for the land for the current consumption year is 108 kL or a greater amount specified for the land for the year by the Water Corporation.</w:t>
      </w:r>
    </w:p>
    <w:p>
      <w:pPr>
        <w:pStyle w:val="yHeading5"/>
      </w:pPr>
      <w:bookmarkStart w:id="245" w:name="_Toc106180003"/>
      <w:r>
        <w:t>35.</w:t>
      </w:r>
      <w:r>
        <w:tab/>
        <w:t>Garden service connection in Mulataga, Karratha</w:t>
      </w:r>
      <w:bookmarkEnd w:id="245"/>
    </w:p>
    <w:p>
      <w:pPr>
        <w:pStyle w:val="ySubsection"/>
        <w:tabs>
          <w:tab w:val="right" w:leader="dot" w:pos="6804"/>
        </w:tabs>
      </w:pPr>
      <w:r>
        <w:tab/>
      </w:r>
      <w:r>
        <w:tab/>
        <w:t xml:space="preserve">For each kilolitre of water supplied </w:t>
      </w:r>
      <w:r>
        <w:br/>
        <w:t xml:space="preserve">through a garden service connection </w:t>
      </w:r>
      <w:r>
        <w:br/>
        <w:t xml:space="preserve">in the suburb of Mulataga in the town </w:t>
      </w:r>
      <w:r>
        <w:br/>
        <w:t xml:space="preserve">of Karratha, the charge is </w:t>
      </w:r>
      <w:r>
        <w:tab/>
        <w:t>185.9 cents</w:t>
      </w:r>
    </w:p>
    <w:p>
      <w:pPr>
        <w:pStyle w:val="yHeading4"/>
      </w:pPr>
      <w:bookmarkStart w:id="246" w:name="_Toc106104020"/>
      <w:bookmarkStart w:id="247" w:name="_Toc106104248"/>
      <w:bookmarkStart w:id="248" w:name="_Toc106179776"/>
      <w:bookmarkStart w:id="249" w:name="_Toc106180004"/>
      <w:r>
        <w:t>Subdivision 3 — Other consumption charges</w:t>
      </w:r>
      <w:bookmarkEnd w:id="246"/>
      <w:bookmarkEnd w:id="247"/>
      <w:bookmarkEnd w:id="248"/>
      <w:bookmarkEnd w:id="249"/>
    </w:p>
    <w:p>
      <w:pPr>
        <w:pStyle w:val="yFootnoteheading"/>
      </w:pPr>
      <w:r>
        <w:tab/>
        <w:t>[Heading inserted: SL 2021/80 r. 8.]</w:t>
      </w:r>
    </w:p>
    <w:p>
      <w:pPr>
        <w:pStyle w:val="yHeading5"/>
      </w:pPr>
      <w:bookmarkStart w:id="250" w:name="_Toc106180005"/>
      <w:r>
        <w:t>36.</w:t>
      </w:r>
      <w:r>
        <w:tab/>
        <w:t>Local government standpipes</w:t>
      </w:r>
      <w:bookmarkEnd w:id="250"/>
    </w:p>
    <w:p>
      <w:pPr>
        <w:pStyle w:val="ySubsection"/>
        <w:tabs>
          <w:tab w:val="right" w:leader="dot" w:pos="6804"/>
        </w:tabs>
      </w:pPr>
      <w:r>
        <w:tab/>
      </w:r>
      <w:r>
        <w:tab/>
        <w:t xml:space="preserve">For each kilolitre of water supplied </w:t>
      </w:r>
      <w:r>
        <w:br/>
        <w:t xml:space="preserve">through a local government standpipe, </w:t>
      </w:r>
      <w:r>
        <w:br/>
        <w:t xml:space="preserve">the charge is </w:t>
      </w:r>
      <w:r>
        <w:tab/>
        <w:t>272.9 cents</w:t>
      </w:r>
    </w:p>
    <w:p>
      <w:pPr>
        <w:pStyle w:val="yHeading5"/>
      </w:pPr>
      <w:bookmarkStart w:id="251" w:name="_Toc106180006"/>
      <w:r>
        <w:t>37.</w:t>
      </w:r>
      <w:r>
        <w:tab/>
        <w:t>Shipping</w:t>
      </w:r>
      <w:bookmarkEnd w:id="251"/>
    </w:p>
    <w:p>
      <w:pPr>
        <w:pStyle w:val="ySubsection"/>
      </w:pPr>
      <w:r>
        <w:tab/>
      </w:r>
      <w:r>
        <w:tab/>
        <w:t>For each kilolitre of water supplied for the purpose of being taken on board any ship in port —</w:t>
      </w:r>
    </w:p>
    <w:p>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t>264.6 cents</w:t>
      </w:r>
    </w:p>
    <w:p>
      <w:pPr>
        <w:pStyle w:val="yIndenta"/>
        <w:keepNext/>
        <w:keepLines/>
        <w:rPr>
          <w:szCs w:val="22"/>
        </w:rPr>
      </w:pPr>
      <w:r>
        <w:rPr>
          <w:szCs w:val="22"/>
        </w:rPr>
        <w:lastRenderedPageBreak/>
        <w:tab/>
        <w:t>(b)</w:t>
      </w:r>
      <w:r>
        <w:rPr>
          <w:szCs w:val="22"/>
        </w:rPr>
        <w:tab/>
        <w:t>for a port in the non</w:t>
      </w:r>
      <w:r>
        <w:rPr>
          <w:szCs w:val="22"/>
        </w:rPr>
        <w:noBreakHyphen/>
        <w:t>metropolitan area, the charge is the charge applicable in the Table in item 24 according to the non</w:t>
      </w:r>
      <w:r>
        <w:rPr>
          <w:szCs w:val="22"/>
        </w:rPr>
        <w:noBreakHyphen/>
        <w:t>residential class of the town or area in which the port is located.</w:t>
      </w:r>
    </w:p>
    <w:p>
      <w:pPr>
        <w:pStyle w:val="yHeading5"/>
      </w:pPr>
      <w:bookmarkStart w:id="252" w:name="_Toc106180007"/>
      <w:r>
        <w:t>38.</w:t>
      </w:r>
      <w:r>
        <w:tab/>
        <w:t>Stock</w:t>
      </w:r>
      <w:bookmarkEnd w:id="252"/>
    </w:p>
    <w:p>
      <w:pPr>
        <w:pStyle w:val="ySubsection"/>
        <w:tabs>
          <w:tab w:val="right" w:leader="dot" w:pos="6804"/>
        </w:tabs>
      </w:pPr>
      <w:r>
        <w:tab/>
      </w:r>
      <w:r>
        <w:tab/>
        <w:t xml:space="preserve">For each kilolitre of water supplied through </w:t>
      </w:r>
      <w:r>
        <w:br/>
        <w:t xml:space="preserve">a water supply connection solely for the </w:t>
      </w:r>
      <w:r>
        <w:br/>
        <w:t xml:space="preserve">purpose of watering stock, the charge is </w:t>
      </w:r>
      <w:r>
        <w:tab/>
        <w:t>272.9 cents</w:t>
      </w:r>
    </w:p>
    <w:p>
      <w:pPr>
        <w:pStyle w:val="yHeading5"/>
      </w:pPr>
      <w:bookmarkStart w:id="253" w:name="_Toc106180008"/>
      <w:r>
        <w:t>39.</w:t>
      </w:r>
      <w:r>
        <w:tab/>
        <w:t>Hydrant standpipes</w:t>
      </w:r>
      <w:bookmarkEnd w:id="253"/>
    </w:p>
    <w:p>
      <w:pPr>
        <w:pStyle w:val="ySubsection"/>
        <w:tabs>
          <w:tab w:val="right" w:leader="dot" w:pos="6804"/>
        </w:tabs>
      </w:pPr>
      <w:r>
        <w:tab/>
      </w:r>
      <w:r>
        <w:tab/>
        <w:t xml:space="preserve">For each kilolitre of water supplied </w:t>
      </w:r>
      <w:r>
        <w:br/>
        <w:t xml:space="preserve">through a hydrant standpipe, the charge is </w:t>
      </w:r>
      <w:r>
        <w:tab/>
        <w:t>264.6 cents</w:t>
      </w:r>
    </w:p>
    <w:p>
      <w:pPr>
        <w:pStyle w:val="yFootnotesection"/>
      </w:pPr>
      <w:r>
        <w:tab/>
        <w:t>[Division 2 inserted: SL 2021/80 r. 8.]</w:t>
      </w:r>
    </w:p>
    <w:p>
      <w:pPr>
        <w:pStyle w:val="yScheduleHeading"/>
      </w:pPr>
      <w:bookmarkStart w:id="254" w:name="_Toc106104025"/>
      <w:bookmarkStart w:id="255" w:name="_Toc106104253"/>
      <w:bookmarkStart w:id="256" w:name="_Toc106179781"/>
      <w:bookmarkStart w:id="257" w:name="_Toc106180009"/>
      <w:r>
        <w:rPr>
          <w:rStyle w:val="CharSchNo"/>
        </w:rPr>
        <w:lastRenderedPageBreak/>
        <w:t>Schedule 4</w:t>
      </w:r>
      <w:r>
        <w:t> — </w:t>
      </w:r>
      <w:r>
        <w:rPr>
          <w:rStyle w:val="CharSchText"/>
        </w:rPr>
        <w:t>Sewerage charges for the Water Corporation</w:t>
      </w:r>
      <w:bookmarkEnd w:id="254"/>
      <w:bookmarkEnd w:id="255"/>
      <w:bookmarkEnd w:id="256"/>
      <w:bookmarkEnd w:id="257"/>
    </w:p>
    <w:p>
      <w:pPr>
        <w:pStyle w:val="yShoulderClause"/>
      </w:pPr>
      <w:r>
        <w:t>[r. 24, 39 and 41]</w:t>
      </w:r>
    </w:p>
    <w:p>
      <w:pPr>
        <w:pStyle w:val="yFootnoteheading"/>
      </w:pPr>
      <w:r>
        <w:tab/>
        <w:t>[Heading inserted: SL 2021/80 r. 8.]</w:t>
      </w:r>
    </w:p>
    <w:p>
      <w:pPr>
        <w:pStyle w:val="yHeading3"/>
      </w:pPr>
      <w:bookmarkStart w:id="258" w:name="_Toc106104026"/>
      <w:bookmarkStart w:id="259" w:name="_Toc106104254"/>
      <w:bookmarkStart w:id="260" w:name="_Toc106179782"/>
      <w:bookmarkStart w:id="261" w:name="_Toc106180010"/>
      <w:r>
        <w:rPr>
          <w:rStyle w:val="CharSDivNo"/>
        </w:rPr>
        <w:t>Division 1</w:t>
      </w:r>
      <w:r>
        <w:t> — </w:t>
      </w:r>
      <w:r>
        <w:rPr>
          <w:rStyle w:val="CharSDivText"/>
        </w:rPr>
        <w:t>Service charges</w:t>
      </w:r>
      <w:bookmarkEnd w:id="258"/>
      <w:bookmarkEnd w:id="259"/>
      <w:bookmarkEnd w:id="260"/>
      <w:bookmarkEnd w:id="261"/>
    </w:p>
    <w:p>
      <w:pPr>
        <w:pStyle w:val="yFootnoteheading"/>
      </w:pPr>
      <w:r>
        <w:tab/>
        <w:t>[Heading inserted: SL 2021/80 r. 8.]</w:t>
      </w:r>
    </w:p>
    <w:p>
      <w:pPr>
        <w:pStyle w:val="yHeading5"/>
      </w:pPr>
      <w:bookmarkStart w:id="262" w:name="_Toc106180011"/>
      <w:r>
        <w:t>1.</w:t>
      </w:r>
      <w:r>
        <w:tab/>
        <w:t>Service charges for 2021/22 and subsequent years</w:t>
      </w:r>
      <w:bookmarkEnd w:id="262"/>
    </w:p>
    <w:p>
      <w:pPr>
        <w:pStyle w:val="ySubsection"/>
      </w:pPr>
      <w:r>
        <w:tab/>
      </w:r>
      <w:r>
        <w:tab/>
        <w:t xml:space="preserve">The charges set out in this Division apply for sewerage services provided in the </w:t>
      </w:r>
      <w:r>
        <w:rPr>
          <w:szCs w:val="22"/>
        </w:rPr>
        <w:t>2021/22</w:t>
      </w:r>
      <w:r>
        <w:t> financial year and each subsequent year.</w:t>
      </w:r>
    </w:p>
    <w:p>
      <w:pPr>
        <w:pStyle w:val="yHeading5"/>
      </w:pPr>
      <w:bookmarkStart w:id="263" w:name="_Toc106180012"/>
      <w:r>
        <w:t>2.</w:t>
      </w:r>
      <w:r>
        <w:tab/>
        <w:t>Metropolitan residential</w:t>
      </w:r>
      <w:bookmarkEnd w:id="263"/>
    </w:p>
    <w:p>
      <w:pPr>
        <w:pStyle w:val="ySubsection"/>
      </w:pPr>
      <w:r>
        <w:tab/>
        <w:t>(1)</w:t>
      </w:r>
      <w:r>
        <w:tab/>
        <w:t>For each residential property in the metropolitan area that —</w:t>
      </w:r>
    </w:p>
    <w:p>
      <w:pPr>
        <w:pStyle w:val="yIndenta"/>
      </w:pPr>
      <w:r>
        <w:tab/>
        <w:t>(a)</w:t>
      </w:r>
      <w:r>
        <w:tab/>
        <w:t>is not covered by item 4 or 5; and</w:t>
      </w:r>
    </w:p>
    <w:p>
      <w:pPr>
        <w:pStyle w:val="yIndenta"/>
      </w:pPr>
      <w:r>
        <w:tab/>
        <w:t>(b)</w:t>
      </w:r>
      <w:r>
        <w:tab/>
        <w:t>is not a caravan park or a nursing home,</w:t>
      </w:r>
    </w:p>
    <w:p>
      <w:pPr>
        <w:pStyle w:val="ySubsection"/>
      </w:pPr>
      <w:r>
        <w:tab/>
      </w:r>
      <w:r>
        <w:tab/>
        <w:t>the charge is —</w:t>
      </w:r>
    </w:p>
    <w:p>
      <w:pPr>
        <w:pStyle w:val="yMiscellaneousBody"/>
        <w:tabs>
          <w:tab w:val="left" w:pos="1134"/>
          <w:tab w:val="right" w:leader="dot" w:pos="6804"/>
        </w:tabs>
        <w:ind w:left="1701" w:right="283" w:hanging="1134"/>
      </w:pPr>
      <w:r>
        <w:tab/>
        <w:t xml:space="preserve">up to $16 400 GRV </w:t>
      </w:r>
      <w:r>
        <w:tab/>
        <w:t xml:space="preserve"> 5.135 cents/$</w:t>
      </w:r>
    </w:p>
    <w:p>
      <w:pPr>
        <w:pStyle w:val="yMiscellaneousBody"/>
        <w:tabs>
          <w:tab w:val="left" w:pos="1134"/>
          <w:tab w:val="right" w:leader="dot" w:pos="6804"/>
        </w:tabs>
        <w:spacing w:before="0"/>
        <w:ind w:left="1701" w:right="283" w:hanging="1134"/>
        <w:jc w:val="right"/>
      </w:pPr>
      <w:r>
        <w:t>of GRV</w:t>
      </w:r>
    </w:p>
    <w:p>
      <w:pPr>
        <w:pStyle w:val="yMiscellaneousBody"/>
        <w:tabs>
          <w:tab w:val="left" w:pos="1134"/>
          <w:tab w:val="right" w:leader="dot" w:pos="6804"/>
        </w:tabs>
        <w:ind w:left="1701" w:right="283" w:hanging="1134"/>
      </w:pPr>
      <w:r>
        <w:tab/>
        <w:t xml:space="preserve">over $16 400 GRV </w:t>
      </w:r>
      <w:r>
        <w:tab/>
        <w:t xml:space="preserve"> 3.791 cents/$</w:t>
      </w:r>
    </w:p>
    <w:p>
      <w:pPr>
        <w:pStyle w:val="yMiscellaneousBody"/>
        <w:tabs>
          <w:tab w:val="left" w:pos="1134"/>
          <w:tab w:val="right" w:leader="dot" w:pos="6804"/>
        </w:tabs>
        <w:spacing w:before="0"/>
        <w:ind w:left="1701"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$446.78</w:t>
      </w:r>
    </w:p>
    <w:p>
      <w:pPr>
        <w:pStyle w:val="yHeading5"/>
      </w:pPr>
      <w:bookmarkStart w:id="264" w:name="_Toc106180013"/>
      <w:r>
        <w:t>3.</w:t>
      </w:r>
      <w:r>
        <w:tab/>
        <w:t>Metropolitan vacant land</w:t>
      </w:r>
      <w:bookmarkEnd w:id="264"/>
    </w:p>
    <w:p>
      <w:pPr>
        <w:pStyle w:val="ySubsection"/>
        <w:tabs>
          <w:tab w:val="right" w:leader="dot" w:pos="6804"/>
        </w:tabs>
      </w:pPr>
      <w:r>
        <w:tab/>
        <w:t>(1)</w:t>
      </w:r>
      <w:r>
        <w:tab/>
        <w:t xml:space="preserve">For land in the metropolitan area that is </w:t>
      </w:r>
      <w:r>
        <w:br/>
        <w:t xml:space="preserve">classified as vacant land, the charge is </w:t>
      </w:r>
      <w:r>
        <w:tab/>
        <w:t xml:space="preserve"> 2.502 cents/$</w:t>
      </w:r>
    </w:p>
    <w:p>
      <w:pPr>
        <w:pStyle w:val="ySubsection"/>
        <w:spacing w:before="0"/>
        <w:ind w:right="283"/>
        <w:jc w:val="right"/>
      </w:pPr>
      <w:r>
        <w:t>of GRV</w:t>
      </w:r>
    </w:p>
    <w:p>
      <w:pPr>
        <w:pStyle w:val="ySubsection"/>
        <w:tabs>
          <w:tab w:val="right" w:leader="dot" w:pos="6804"/>
        </w:tabs>
      </w:pPr>
      <w:r>
        <w:tab/>
        <w:t>(2)</w:t>
      </w:r>
      <w:r>
        <w:tab/>
        <w:t xml:space="preserve">The minimum charge under this item is </w:t>
      </w:r>
      <w:r>
        <w:tab/>
        <w:t xml:space="preserve"> </w:t>
      </w:r>
      <w:r>
        <w:rPr>
          <w:szCs w:val="22"/>
        </w:rPr>
        <w:t>$335.93</w:t>
      </w:r>
    </w:p>
    <w:p>
      <w:pPr>
        <w:pStyle w:val="yHeading5"/>
      </w:pPr>
      <w:bookmarkStart w:id="265" w:name="_Toc106180014"/>
      <w:r>
        <w:t>4.</w:t>
      </w:r>
      <w:r>
        <w:tab/>
        <w:t>Metropolitan concessional</w:t>
      </w:r>
      <w:bookmarkEnd w:id="265"/>
    </w:p>
    <w:p>
      <w:pPr>
        <w:pStyle w:val="ySubsection"/>
      </w:pPr>
      <w:r>
        <w:tab/>
      </w:r>
      <w:r>
        <w:tab/>
        <w:t>For land in the metropolitan area that is classified as —</w:t>
      </w:r>
    </w:p>
    <w:p>
      <w:pPr>
        <w:pStyle w:val="yIndenta"/>
      </w:pPr>
      <w:r>
        <w:tab/>
        <w:t>(a)</w:t>
      </w:r>
      <w:r>
        <w:tab/>
        <w:t>aged home; or</w:t>
      </w:r>
    </w:p>
    <w:p>
      <w:pPr>
        <w:pStyle w:val="yIndenta"/>
      </w:pPr>
      <w:r>
        <w:lastRenderedPageBreak/>
        <w:tab/>
        <w:t>(b)</w:t>
      </w:r>
      <w:r>
        <w:tab/>
        <w:t xml:space="preserve">charitable purposes or community </w:t>
      </w:r>
      <w:r>
        <w:br/>
        <w:t>purpose,</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keepNext/>
              <w:jc w:val="center"/>
              <w:rPr>
                <w:b/>
              </w:rPr>
            </w:pPr>
          </w:p>
        </w:tc>
        <w:tc>
          <w:tcPr>
            <w:tcW w:w="1343" w:type="dxa"/>
            <w:tcBorders>
              <w:top w:val="single" w:sz="4" w:space="0" w:color="auto"/>
            </w:tcBorders>
            <w:noWrap/>
          </w:tcPr>
          <w:p>
            <w:pPr>
              <w:pStyle w:val="yTableNAm"/>
              <w:keepNext/>
              <w:jc w:val="center"/>
              <w:rPr>
                <w:b/>
              </w:rPr>
            </w:pPr>
            <w:r>
              <w:rPr>
                <w:b/>
              </w:rPr>
              <w:t>Charge</w:t>
            </w:r>
          </w:p>
        </w:tc>
        <w:tc>
          <w:tcPr>
            <w:tcW w:w="2125" w:type="dxa"/>
            <w:gridSpan w:val="2"/>
            <w:tcBorders>
              <w:top w:val="single" w:sz="4" w:space="0" w:color="auto"/>
              <w:bottom w:val="single" w:sz="4" w:space="0" w:color="auto"/>
            </w:tcBorders>
            <w:noWrap/>
          </w:tcPr>
          <w:p>
            <w:pPr>
              <w:pStyle w:val="yTableNAm"/>
              <w:keepNext/>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1343" w:type="dxa"/>
            <w:noWrap/>
            <w:vAlign w:val="bottom"/>
          </w:tcPr>
          <w:p>
            <w:pPr>
              <w:pStyle w:val="yTableNAm"/>
            </w:pPr>
            <w:r>
              <w:t>$1 072.88</w:t>
            </w:r>
          </w:p>
        </w:tc>
        <w:tc>
          <w:tcPr>
            <w:tcW w:w="1133" w:type="dxa"/>
            <w:noWrap/>
          </w:tcPr>
          <w:p>
            <w:pPr>
              <w:pStyle w:val="yTableNAm"/>
            </w:pPr>
            <w:r>
              <w:t>73.133</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$459.25</w:t>
            </w:r>
          </w:p>
        </w:tc>
        <w:tc>
          <w:tcPr>
            <w:tcW w:w="1133" w:type="dxa"/>
            <w:noWrap/>
          </w:tcPr>
          <w:p>
            <w:pPr>
              <w:pStyle w:val="yTableNAm"/>
            </w:pPr>
            <w:r>
              <w:t>72.385</w:t>
            </w:r>
          </w:p>
        </w:tc>
        <w:tc>
          <w:tcPr>
            <w:tcW w:w="992" w:type="dxa"/>
            <w:noWrap/>
          </w:tcPr>
          <w:p>
            <w:pPr>
              <w:pStyle w:val="yTableNAm"/>
            </w:pPr>
            <w:r>
              <w:t>37.235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$613.32</w:t>
            </w:r>
          </w:p>
        </w:tc>
        <w:tc>
          <w:tcPr>
            <w:tcW w:w="1133" w:type="dxa"/>
            <w:noWrap/>
          </w:tcPr>
          <w:p>
            <w:pPr>
              <w:pStyle w:val="yTableNAm"/>
            </w:pPr>
            <w:r>
              <w:t>79.322</w:t>
            </w:r>
          </w:p>
        </w:tc>
        <w:tc>
          <w:tcPr>
            <w:tcW w:w="992" w:type="dxa"/>
            <w:noWrap/>
          </w:tcPr>
          <w:p>
            <w:pPr>
              <w:pStyle w:val="yTableNAm"/>
            </w:pPr>
            <w:r>
              <w:t>53.002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rPr>
                <w:vertAlign w:val="superscript"/>
              </w:rPr>
              <w:tab/>
            </w:r>
            <w:r>
              <w:t>and subsequent fixtures</w:t>
            </w:r>
          </w:p>
        </w:tc>
        <w:tc>
          <w:tcPr>
            <w:tcW w:w="1343" w:type="dxa"/>
            <w:tcBorders>
              <w:bottom w:val="single" w:sz="4" w:space="0" w:color="auto"/>
            </w:tcBorders>
            <w:noWrap/>
          </w:tcPr>
          <w:p>
            <w:pPr>
              <w:pStyle w:val="yTableNAm"/>
            </w:pPr>
            <w:r>
              <w:t>$666.95</w:t>
            </w:r>
          </w:p>
        </w:tc>
        <w:tc>
          <w:tcPr>
            <w:tcW w:w="1133" w:type="dxa"/>
            <w:tcBorders>
              <w:bottom w:val="single" w:sz="4" w:space="0" w:color="auto"/>
            </w:tcBorders>
            <w:noWrap/>
          </w:tcPr>
          <w:p>
            <w:pPr>
              <w:pStyle w:val="yTableNAm"/>
            </w:pPr>
            <w:r>
              <w:t>80.985</w:t>
            </w:r>
          </w:p>
        </w:tc>
        <w:tc>
          <w:tcPr>
            <w:tcW w:w="992" w:type="dxa"/>
            <w:tcBorders>
              <w:bottom w:val="single" w:sz="4" w:space="0" w:color="auto"/>
            </w:tcBorders>
            <w:noWrap/>
          </w:tcPr>
          <w:p>
            <w:pPr>
              <w:pStyle w:val="yTableNAm"/>
            </w:pPr>
            <w:r>
              <w:t>56.781</w:t>
            </w:r>
          </w:p>
        </w:tc>
      </w:tr>
    </w:tbl>
    <w:p>
      <w:pPr>
        <w:pStyle w:val="yHeading5"/>
      </w:pPr>
      <w:bookmarkStart w:id="266" w:name="_Toc106180015"/>
      <w:r>
        <w:t>5.</w:t>
      </w:r>
      <w:r>
        <w:tab/>
        <w:t>Strata</w:t>
      </w:r>
      <w:r>
        <w:noBreakHyphen/>
        <w:t>titled caravan bay</w:t>
      </w:r>
      <w:bookmarkEnd w:id="266"/>
    </w:p>
    <w:p>
      <w:pPr>
        <w:pStyle w:val="ySubsection"/>
        <w:tabs>
          <w:tab w:val="right" w:leader="dot" w:pos="6804"/>
        </w:tabs>
      </w:pPr>
      <w:r>
        <w:rPr>
          <w:szCs w:val="22"/>
        </w:rPr>
        <w:tab/>
      </w:r>
      <w:r>
        <w:rPr>
          <w:szCs w:val="22"/>
        </w:rPr>
        <w:tab/>
        <w:t xml:space="preserve">For a </w:t>
      </w:r>
      <w:r>
        <w:t>strata</w:t>
      </w:r>
      <w:r>
        <w:rPr>
          <w:szCs w:val="22"/>
        </w:rPr>
        <w:noBreakHyphen/>
        <w:t xml:space="preserve">titled </w:t>
      </w:r>
      <w:r>
        <w:t>caravan</w:t>
      </w:r>
      <w:r>
        <w:rPr>
          <w:szCs w:val="22"/>
        </w:rPr>
        <w:t xml:space="preserve"> bay or a park home, </w:t>
      </w:r>
      <w:r>
        <w:rPr>
          <w:szCs w:val="22"/>
        </w:rPr>
        <w:br/>
        <w:t>the charge is</w:t>
      </w:r>
      <w:r>
        <w:rPr>
          <w:szCs w:val="22"/>
        </w:rPr>
        <w:tab/>
        <w:t>$343.08</w:t>
      </w:r>
    </w:p>
    <w:p>
      <w:pPr>
        <w:pStyle w:val="yHeading5"/>
      </w:pPr>
      <w:bookmarkStart w:id="267" w:name="_Toc106180016"/>
      <w:r>
        <w:t>6.</w:t>
      </w:r>
      <w:r>
        <w:tab/>
        <w:t>Storage units or parking bays in strata titles scheme or community titles scheme</w:t>
      </w:r>
      <w:bookmarkEnd w:id="267"/>
      <w:r>
        <w:t xml:space="preserve"> </w:t>
      </w:r>
    </w:p>
    <w:p>
      <w:pPr>
        <w:pStyle w:val="ySubsection"/>
        <w:tabs>
          <w:tab w:val="right" w:leader="dot" w:pos="6804"/>
        </w:tabs>
      </w:pPr>
      <w:r>
        <w:rPr>
          <w:szCs w:val="22"/>
        </w:rPr>
        <w:tab/>
      </w:r>
      <w:r>
        <w:rPr>
          <w:szCs w:val="22"/>
        </w:rPr>
        <w:tab/>
        <w:t xml:space="preserve">For a lot that is used for storage purposes or </w:t>
      </w:r>
      <w:r>
        <w:rPr>
          <w:szCs w:val="22"/>
        </w:rPr>
        <w:br/>
        <w:t>as a parking bay, in a strata titles scheme or a</w:t>
      </w:r>
      <w:r>
        <w:rPr>
          <w:szCs w:val="22"/>
        </w:rPr>
        <w:br/>
        <w:t xml:space="preserve">community titles scheme, the </w:t>
      </w:r>
      <w:r>
        <w:t>charge</w:t>
      </w:r>
      <w:r>
        <w:rPr>
          <w:szCs w:val="22"/>
        </w:rPr>
        <w:t xml:space="preserve"> is </w:t>
      </w:r>
      <w:r>
        <w:rPr>
          <w:szCs w:val="22"/>
        </w:rPr>
        <w:tab/>
        <w:t xml:space="preserve"> $106.33</w:t>
      </w:r>
    </w:p>
    <w:p>
      <w:pPr>
        <w:pStyle w:val="yHeading5"/>
      </w:pPr>
      <w:bookmarkStart w:id="268" w:name="_Toc106180017"/>
      <w:r>
        <w:t>7.</w:t>
      </w:r>
      <w:r>
        <w:tab/>
        <w:t>Land from which trade waste is discharged into sewer</w:t>
      </w:r>
      <w:bookmarkEnd w:id="268"/>
    </w:p>
    <w:p>
      <w:pPr>
        <w:pStyle w:val="ySubsection"/>
        <w:tabs>
          <w:tab w:val="right" w:leader="dot" w:pos="6804"/>
        </w:tabs>
      </w:pPr>
      <w:r>
        <w:tab/>
        <w:t>(1)</w:t>
      </w:r>
      <w:r>
        <w:tab/>
        <w:t xml:space="preserve">For land from which there is a discharge </w:t>
      </w:r>
      <w:r>
        <w:br/>
        <w:t xml:space="preserve">of trade waste into a sewer of the Water </w:t>
      </w:r>
      <w:r>
        <w:br/>
        <w:t xml:space="preserve">Corporation under an approval of the Water </w:t>
      </w:r>
      <w:r>
        <w:br/>
        <w:t xml:space="preserve">Corporation, the charge, for the period for </w:t>
      </w:r>
      <w:r>
        <w:br/>
        <w:t xml:space="preserve">which the approval has effect, is </w:t>
      </w:r>
      <w:r>
        <w:tab/>
        <w:t xml:space="preserve"> </w:t>
      </w:r>
      <w:r>
        <w:rPr>
          <w:szCs w:val="22"/>
        </w:rPr>
        <w:t>$235.45</w:t>
      </w:r>
    </w:p>
    <w:p>
      <w:pPr>
        <w:pStyle w:val="ySubsection"/>
      </w:pPr>
      <w:r>
        <w:tab/>
        <w:t>(2)</w:t>
      </w:r>
      <w:r>
        <w:tab/>
        <w:t>The charge under this item is in addition to any other charge applicable to the land under this Schedule.</w:t>
      </w:r>
    </w:p>
    <w:p>
      <w:pPr>
        <w:pStyle w:val="yHeading5"/>
      </w:pPr>
      <w:bookmarkStart w:id="269" w:name="_Toc106180018"/>
      <w:r>
        <w:lastRenderedPageBreak/>
        <w:t>8.</w:t>
      </w:r>
      <w:r>
        <w:tab/>
        <w:t>Land from which trade waste is discharged into sewer through grease arrestor</w:t>
      </w:r>
      <w:bookmarkEnd w:id="269"/>
    </w:p>
    <w:p>
      <w:pPr>
        <w:pStyle w:val="ySubsection"/>
      </w:pPr>
      <w:r>
        <w:tab/>
        <w:t>(1)</w:t>
      </w:r>
      <w:r>
        <w:tab/>
        <w:t xml:space="preserve">For land from which there is a discharge of trade waste into a sewer of the </w:t>
      </w:r>
      <w:r>
        <w:rPr>
          <w:szCs w:val="22"/>
        </w:rPr>
        <w:t>Water</w:t>
      </w:r>
      <w:r>
        <w:t xml:space="preserve"> Corporation through one or more grease arrestors under an approval of the Water Corporation, the charge, for the period for which the approval has effect, is $94.07 for each grease arrestor.</w:t>
      </w:r>
    </w:p>
    <w:p>
      <w:pPr>
        <w:pStyle w:val="ySubsection"/>
      </w:pPr>
      <w:r>
        <w:tab/>
        <w:t>(2)</w:t>
      </w:r>
      <w:r>
        <w:tab/>
        <w:t>The charge under this item is in addition to any other charge applicable to the land under this Schedule.</w:t>
      </w:r>
    </w:p>
    <w:p>
      <w:pPr>
        <w:pStyle w:val="yHeading5"/>
      </w:pPr>
      <w:bookmarkStart w:id="270" w:name="_Toc106180019"/>
      <w:r>
        <w:t>9.</w:t>
      </w:r>
      <w:r>
        <w:tab/>
        <w:t>Trade waste discharged from open area</w:t>
      </w:r>
      <w:bookmarkEnd w:id="270"/>
    </w:p>
    <w:p>
      <w:pPr>
        <w:pStyle w:val="ySubsection"/>
        <w:tabs>
          <w:tab w:val="right" w:leader="dot" w:pos="6804"/>
        </w:tabs>
      </w:pPr>
      <w:r>
        <w:tab/>
        <w:t>(1)</w:t>
      </w:r>
      <w:r>
        <w:tab/>
        <w:t xml:space="preserve">For land from which there is a discharge </w:t>
      </w:r>
      <w:r>
        <w:br/>
        <w:t xml:space="preserve">of trade waste from an open area under </w:t>
      </w:r>
      <w:r>
        <w:br/>
        <w:t xml:space="preserve">an approval of the Water Corporation, </w:t>
      </w:r>
      <w:r>
        <w:br/>
        <w:t xml:space="preserve">the charge, for the period for which the </w:t>
      </w:r>
      <w:r>
        <w:br/>
        <w:t xml:space="preserve">approval has effect, is </w:t>
      </w:r>
      <w:r>
        <w:tab/>
        <w:t xml:space="preserve"> </w:t>
      </w:r>
      <w:r>
        <w:rPr>
          <w:szCs w:val="22"/>
        </w:rPr>
        <w:t>$1.64</w:t>
      </w:r>
      <w:r>
        <w:t>/m</w:t>
      </w:r>
      <w:r>
        <w:rPr>
          <w:vertAlign w:val="superscript"/>
        </w:rPr>
        <w:t>2</w:t>
      </w:r>
    </w:p>
    <w:p>
      <w:pPr>
        <w:pStyle w:val="ySubsection"/>
        <w:spacing w:before="0"/>
        <w:ind w:right="283"/>
        <w:jc w:val="right"/>
      </w:pPr>
      <w:r>
        <w:t>of open area</w:t>
      </w:r>
    </w:p>
    <w:p>
      <w:pPr>
        <w:pStyle w:val="ySubsection"/>
      </w:pPr>
      <w:r>
        <w:tab/>
        <w:t>(2)</w:t>
      </w:r>
      <w:r>
        <w:tab/>
        <w:t>The charge under this item is in addition to any other charge applicable to the land under this Schedule.</w:t>
      </w:r>
    </w:p>
    <w:p>
      <w:pPr>
        <w:pStyle w:val="yHeading5"/>
      </w:pPr>
      <w:bookmarkStart w:id="271" w:name="_Toc106180020"/>
      <w:r>
        <w:t>10.</w:t>
      </w:r>
      <w:r>
        <w:tab/>
        <w:t>Non</w:t>
      </w:r>
      <w:r>
        <w:noBreakHyphen/>
        <w:t>metropolitan concessional</w:t>
      </w:r>
      <w:bookmarkEnd w:id="271"/>
    </w:p>
    <w:p>
      <w:pPr>
        <w:pStyle w:val="ySubsection"/>
      </w:pPr>
      <w:r>
        <w:tab/>
      </w:r>
      <w:r>
        <w:tab/>
        <w:t>For land in the non</w:t>
      </w:r>
      <w:r>
        <w:noBreakHyphen/>
        <w:t>metropolitan area that is classified as —</w:t>
      </w:r>
    </w:p>
    <w:p>
      <w:pPr>
        <w:pStyle w:val="yIndenta"/>
      </w:pPr>
      <w:r>
        <w:tab/>
        <w:t>(a)</w:t>
      </w:r>
      <w:r>
        <w:tab/>
        <w:t>community residential; or</w:t>
      </w:r>
    </w:p>
    <w:p>
      <w:pPr>
        <w:pStyle w:val="yIndenta"/>
      </w:pPr>
      <w:r>
        <w:tab/>
        <w:t>(b)</w:t>
      </w:r>
      <w:r>
        <w:tab/>
        <w:t>aged home, charitable purposes, community purpose, institutional public or local government,</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jc w:val="center"/>
              <w:rPr>
                <w:b/>
              </w:rPr>
            </w:pPr>
          </w:p>
        </w:tc>
        <w:tc>
          <w:tcPr>
            <w:tcW w:w="1343" w:type="dxa"/>
            <w:tcBorders>
              <w:top w:val="single" w:sz="4" w:space="0" w:color="auto"/>
            </w:tcBorders>
            <w:noWrap/>
          </w:tcPr>
          <w:p>
            <w:pPr>
              <w:pStyle w:val="yTableNAm"/>
              <w:jc w:val="center"/>
              <w:rPr>
                <w:b/>
              </w:rPr>
            </w:pPr>
            <w:r>
              <w:rPr>
                <w:b/>
              </w:rPr>
              <w:t>Charge</w:t>
            </w:r>
          </w:p>
        </w:tc>
        <w:tc>
          <w:tcPr>
            <w:tcW w:w="2125" w:type="dxa"/>
            <w:gridSpan w:val="2"/>
            <w:tcBorders>
              <w:top w:val="single" w:sz="4" w:space="0" w:color="auto"/>
              <w:bottom w:val="single" w:sz="4" w:space="0" w:color="auto"/>
            </w:tcBorders>
            <w:noWrap/>
          </w:tcPr>
          <w:p>
            <w:pPr>
              <w:pStyle w:val="yTableNAm"/>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tab/>
              <w:t>fixture</w:t>
            </w:r>
          </w:p>
        </w:tc>
        <w:tc>
          <w:tcPr>
            <w:tcW w:w="1343" w:type="dxa"/>
            <w:noWrap/>
            <w:vAlign w:val="bottom"/>
          </w:tcPr>
          <w:p>
            <w:pPr>
              <w:pStyle w:val="yTableNAm"/>
            </w:pPr>
            <w:r>
              <w:t>$1 072.88</w:t>
            </w:r>
          </w:p>
        </w:tc>
        <w:tc>
          <w:tcPr>
            <w:tcW w:w="1133" w:type="dxa"/>
            <w:noWrap/>
          </w:tcPr>
          <w:p>
            <w:pPr>
              <w:pStyle w:val="yTableNAm"/>
            </w:pPr>
            <w:r>
              <w:t>88.552</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$459.25</w:t>
            </w:r>
          </w:p>
        </w:tc>
        <w:tc>
          <w:tcPr>
            <w:tcW w:w="1133" w:type="dxa"/>
            <w:noWrap/>
          </w:tcPr>
          <w:p>
            <w:pPr>
              <w:pStyle w:val="yTableNAm"/>
            </w:pPr>
            <w:r>
              <w:t>73.256</w:t>
            </w:r>
          </w:p>
        </w:tc>
        <w:tc>
          <w:tcPr>
            <w:tcW w:w="992" w:type="dxa"/>
            <w:noWrap/>
          </w:tcPr>
          <w:p>
            <w:pPr>
              <w:pStyle w:val="yTableNAm"/>
            </w:pPr>
            <w:r>
              <w:t>72.385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$613.32</w:t>
            </w:r>
          </w:p>
        </w:tc>
        <w:tc>
          <w:tcPr>
            <w:tcW w:w="1133" w:type="dxa"/>
            <w:noWrap/>
          </w:tcPr>
          <w:p>
            <w:pPr>
              <w:pStyle w:val="yTableNAm"/>
            </w:pPr>
            <w:r>
              <w:t>79.975</w:t>
            </w:r>
          </w:p>
        </w:tc>
        <w:tc>
          <w:tcPr>
            <w:tcW w:w="992" w:type="dxa"/>
            <w:noWrap/>
          </w:tcPr>
          <w:p>
            <w:pPr>
              <w:pStyle w:val="yTableNAm"/>
            </w:pPr>
            <w:r>
              <w:t>79.322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lastRenderedPageBreak/>
              <w:t>4</w:t>
            </w:r>
            <w:r>
              <w:rPr>
                <w:vertAlign w:val="superscript"/>
              </w:rPr>
              <w:t>th</w:t>
            </w:r>
            <w:r>
              <w:t xml:space="preserve"> </w:t>
            </w:r>
            <w:r>
              <w:tab/>
              <w:t>and subsequent fixtures</w:t>
            </w:r>
          </w:p>
        </w:tc>
        <w:tc>
          <w:tcPr>
            <w:tcW w:w="1343" w:type="dxa"/>
            <w:tcBorders>
              <w:bottom w:val="single" w:sz="4" w:space="0" w:color="auto"/>
            </w:tcBorders>
            <w:noWrap/>
          </w:tcPr>
          <w:p>
            <w:pPr>
              <w:pStyle w:val="yTableNAm"/>
            </w:pPr>
            <w:r>
              <w:t>$666.95</w:t>
            </w:r>
          </w:p>
        </w:tc>
        <w:tc>
          <w:tcPr>
            <w:tcW w:w="1133" w:type="dxa"/>
            <w:tcBorders>
              <w:bottom w:val="single" w:sz="4" w:space="0" w:color="auto"/>
            </w:tcBorders>
            <w:noWrap/>
          </w:tcPr>
          <w:p>
            <w:pPr>
              <w:pStyle w:val="yTableNAm"/>
            </w:pPr>
            <w:r>
              <w:t>81.585</w:t>
            </w:r>
          </w:p>
        </w:tc>
        <w:tc>
          <w:tcPr>
            <w:tcW w:w="992" w:type="dxa"/>
            <w:tcBorders>
              <w:bottom w:val="single" w:sz="4" w:space="0" w:color="auto"/>
            </w:tcBorders>
            <w:noWrap/>
          </w:tcPr>
          <w:p>
            <w:pPr>
              <w:pStyle w:val="yTableNAm"/>
            </w:pPr>
            <w:r>
              <w:t>80.985</w:t>
            </w:r>
          </w:p>
        </w:tc>
      </w:tr>
    </w:tbl>
    <w:p>
      <w:pPr>
        <w:pStyle w:val="yHeading5"/>
      </w:pPr>
      <w:bookmarkStart w:id="272" w:name="_Toc106180021"/>
      <w:r>
        <w:t>11.</w:t>
      </w:r>
      <w:r>
        <w:tab/>
        <w:t>Non</w:t>
      </w:r>
      <w:r>
        <w:noBreakHyphen/>
        <w:t>metropolitan</w:t>
      </w:r>
      <w:bookmarkEnd w:id="272"/>
    </w:p>
    <w:p>
      <w:pPr>
        <w:pStyle w:val="ySubsection"/>
      </w:pPr>
      <w:r>
        <w:tab/>
        <w:t>(1)</w:t>
      </w:r>
      <w:r>
        <w:tab/>
        <w:t>For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Subsection"/>
      </w:pPr>
      <w:r>
        <w:tab/>
        <w:t>(2)</w:t>
      </w:r>
      <w:r>
        <w:tab/>
        <w:t>Sub</w:t>
      </w:r>
      <w:r>
        <w:noBreakHyphen/>
        <w:t>item (1) does not apply to land covered by any other item in this Division (other than item 7, 8 or 9) or by Division 2.</w:t>
      </w:r>
    </w:p>
    <w:p>
      <w:pPr>
        <w:pStyle w:val="ySubsection"/>
      </w:pPr>
      <w:r>
        <w:tab/>
        <w:t>(3)</w:t>
      </w:r>
      <w:r>
        <w:tab/>
        <w:t>The minimum charge under this item is —</w:t>
      </w:r>
    </w:p>
    <w:p>
      <w:pPr>
        <w:pStyle w:val="yIndenta"/>
        <w:tabs>
          <w:tab w:val="right" w:leader="dot" w:pos="6804"/>
        </w:tabs>
      </w:pPr>
      <w:r>
        <w:tab/>
        <w:t>(a)</w:t>
      </w:r>
      <w:r>
        <w:tab/>
        <w:t xml:space="preserve">for land that is classified as residential </w:t>
      </w:r>
      <w:r>
        <w:tab/>
        <w:t xml:space="preserve"> $446.78</w:t>
      </w:r>
    </w:p>
    <w:p>
      <w:pPr>
        <w:pStyle w:val="yIndenta"/>
        <w:tabs>
          <w:tab w:val="right" w:leader="dot" w:pos="6804"/>
        </w:tabs>
      </w:pPr>
      <w:r>
        <w:tab/>
        <w:t>(b)</w:t>
      </w:r>
      <w:r>
        <w:tab/>
        <w:t xml:space="preserve">for land that is classified as vacant land </w:t>
      </w:r>
      <w:r>
        <w:tab/>
        <w:t xml:space="preserve"> $294.00</w:t>
      </w:r>
    </w:p>
    <w:p>
      <w:pPr>
        <w:pStyle w:val="yIndenta"/>
        <w:tabs>
          <w:tab w:val="right" w:leader="dot" w:pos="6804"/>
        </w:tabs>
      </w:pPr>
      <w:r>
        <w:tab/>
        <w:t>(c)</w:t>
      </w:r>
      <w:r>
        <w:tab/>
        <w:t xml:space="preserve">for other land </w:t>
      </w:r>
      <w:r>
        <w:tab/>
        <w:t xml:space="preserve"> $1 072.88</w:t>
      </w:r>
    </w:p>
    <w:p>
      <w:pPr>
        <w:pStyle w:val="ySubsection"/>
        <w:tabs>
          <w:tab w:val="right" w:leader="dot" w:pos="6804"/>
        </w:tabs>
      </w:pPr>
      <w:r>
        <w:tab/>
        <w:t>(4)</w:t>
      </w:r>
      <w:r>
        <w:tab/>
        <w:t xml:space="preserve">The maximum charge under this item for </w:t>
      </w:r>
      <w:r>
        <w:br/>
        <w:t xml:space="preserve">land that is classified as residential or </w:t>
      </w:r>
      <w:r>
        <w:br/>
        <w:t xml:space="preserve">classified as vacant land but held for </w:t>
      </w:r>
      <w:r>
        <w:br/>
        <w:t xml:space="preserve">residential purposes is </w:t>
      </w:r>
      <w:r>
        <w:tab/>
        <w:t xml:space="preserve"> </w:t>
      </w:r>
      <w:r>
        <w:rPr>
          <w:szCs w:val="22"/>
        </w:rPr>
        <w:t>$1 219.76</w:t>
      </w:r>
    </w:p>
    <w:p>
      <w:pPr>
        <w:pStyle w:val="yTHeadingNAm"/>
      </w:pPr>
      <w:r>
        <w:t>Table of rates for sewerage areas</w:t>
      </w:r>
    </w:p>
    <w:tbl>
      <w:tblPr>
        <w:tblW w:w="61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160"/>
      </w:tblGrid>
      <w:tr>
        <w:trPr>
          <w:tblHeader/>
        </w:trPr>
        <w:tc>
          <w:tcPr>
            <w:tcW w:w="2159" w:type="dxa"/>
            <w:tcBorders>
              <w:left w:val="nil"/>
              <w:bottom w:val="single" w:sz="4" w:space="0" w:color="auto"/>
              <w:right w:val="nil"/>
            </w:tcBorders>
            <w:noWrap/>
          </w:tcPr>
          <w:p>
            <w:pPr>
              <w:pStyle w:val="yTableNAm"/>
              <w:rPr>
                <w:b/>
              </w:rPr>
            </w:pPr>
            <w:r>
              <w:rPr>
                <w:b/>
              </w:rPr>
              <w:t>Sewerage area</w:t>
            </w:r>
          </w:p>
        </w:tc>
        <w:tc>
          <w:tcPr>
            <w:tcW w:w="1810" w:type="dxa"/>
            <w:tcBorders>
              <w:left w:val="nil"/>
              <w:bottom w:val="single" w:sz="4" w:space="0" w:color="auto"/>
              <w:right w:val="nil"/>
            </w:tcBorders>
            <w:noWrap/>
            <w:vAlign w:val="center"/>
          </w:tcPr>
          <w:p>
            <w:pPr>
              <w:pStyle w:val="yTableNAm"/>
              <w:jc w:val="center"/>
              <w:rPr>
                <w:b/>
              </w:rPr>
            </w:pPr>
            <w:r>
              <w:rPr>
                <w:b/>
              </w:rPr>
              <w:t xml:space="preserve">Residential rate </w:t>
            </w:r>
            <w:r>
              <w:rPr>
                <w:b/>
              </w:rPr>
              <w:br/>
              <w:t>cents/$ of GRV</w:t>
            </w:r>
          </w:p>
        </w:tc>
        <w:tc>
          <w:tcPr>
            <w:tcW w:w="2160" w:type="dxa"/>
            <w:tcBorders>
              <w:left w:val="nil"/>
              <w:bottom w:val="single" w:sz="4" w:space="0" w:color="auto"/>
              <w:right w:val="nil"/>
            </w:tcBorders>
            <w:noWrap/>
            <w:vAlign w:val="center"/>
          </w:tcPr>
          <w:p>
            <w:pPr>
              <w:pStyle w:val="yTableNAm"/>
              <w:jc w:val="center"/>
              <w:rPr>
                <w:b/>
              </w:rP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noWrap/>
          </w:tcPr>
          <w:p>
            <w:pPr>
              <w:pStyle w:val="yTableNAm"/>
            </w:pPr>
            <w:r>
              <w:t>Albany</w:t>
            </w:r>
          </w:p>
        </w:tc>
        <w:tc>
          <w:tcPr>
            <w:tcW w:w="1810" w:type="dxa"/>
            <w:tcBorders>
              <w:top w:val="single" w:sz="4" w:space="0" w:color="auto"/>
              <w:left w:val="nil"/>
              <w:bottom w:val="nil"/>
              <w:right w:val="nil"/>
            </w:tcBorders>
            <w:noWrap/>
          </w:tcPr>
          <w:p>
            <w:pPr>
              <w:pStyle w:val="yTableNAm"/>
              <w:jc w:val="center"/>
            </w:pPr>
            <w:r>
              <w:t>12.357</w:t>
            </w:r>
          </w:p>
        </w:tc>
        <w:tc>
          <w:tcPr>
            <w:tcW w:w="2160" w:type="dxa"/>
            <w:tcBorders>
              <w:top w:val="single" w:sz="4" w:space="0" w:color="auto"/>
              <w:left w:val="nil"/>
              <w:bottom w:val="nil"/>
              <w:right w:val="nil"/>
            </w:tcBorders>
            <w:noWrap/>
          </w:tcPr>
          <w:p>
            <w:pPr>
              <w:pStyle w:val="yTableNAm"/>
              <w:jc w:val="center"/>
            </w:pPr>
            <w:r>
              <w:t>24.107</w:t>
            </w:r>
          </w:p>
        </w:tc>
      </w:tr>
      <w:tr>
        <w:tc>
          <w:tcPr>
            <w:tcW w:w="2159" w:type="dxa"/>
            <w:tcBorders>
              <w:top w:val="nil"/>
              <w:left w:val="nil"/>
              <w:bottom w:val="nil"/>
              <w:right w:val="nil"/>
            </w:tcBorders>
            <w:noWrap/>
          </w:tcPr>
          <w:p>
            <w:pPr>
              <w:pStyle w:val="yTableNAm"/>
            </w:pPr>
            <w:r>
              <w:t>Augusta</w:t>
            </w:r>
          </w:p>
        </w:tc>
        <w:tc>
          <w:tcPr>
            <w:tcW w:w="1810" w:type="dxa"/>
            <w:tcBorders>
              <w:top w:val="nil"/>
              <w:left w:val="nil"/>
              <w:bottom w:val="nil"/>
              <w:right w:val="nil"/>
            </w:tcBorders>
            <w:noWrap/>
          </w:tcPr>
          <w:p>
            <w:pPr>
              <w:pStyle w:val="yTableNAm"/>
              <w:jc w:val="center"/>
            </w:pPr>
            <w:r>
              <w:t>8.339</w:t>
            </w:r>
          </w:p>
        </w:tc>
        <w:tc>
          <w:tcPr>
            <w:tcW w:w="2160" w:type="dxa"/>
            <w:tcBorders>
              <w:top w:val="nil"/>
              <w:left w:val="nil"/>
              <w:bottom w:val="nil"/>
              <w:right w:val="nil"/>
            </w:tcBorders>
            <w:noWrap/>
          </w:tcPr>
          <w:p>
            <w:pPr>
              <w:pStyle w:val="yTableNAm"/>
              <w:jc w:val="center"/>
            </w:pPr>
            <w:r>
              <w:t>12.983</w:t>
            </w:r>
          </w:p>
        </w:tc>
      </w:tr>
      <w:tr>
        <w:tc>
          <w:tcPr>
            <w:tcW w:w="2159" w:type="dxa"/>
            <w:tcBorders>
              <w:top w:val="nil"/>
              <w:left w:val="nil"/>
              <w:bottom w:val="nil"/>
              <w:right w:val="nil"/>
            </w:tcBorders>
            <w:noWrap/>
          </w:tcPr>
          <w:p>
            <w:pPr>
              <w:pStyle w:val="yTableNAm"/>
            </w:pPr>
            <w:r>
              <w:t>Australind</w:t>
            </w:r>
          </w:p>
        </w:tc>
        <w:tc>
          <w:tcPr>
            <w:tcW w:w="1810" w:type="dxa"/>
            <w:tcBorders>
              <w:top w:val="nil"/>
              <w:left w:val="nil"/>
              <w:bottom w:val="nil"/>
              <w:right w:val="nil"/>
            </w:tcBorders>
            <w:noWrap/>
          </w:tcPr>
          <w:p>
            <w:pPr>
              <w:pStyle w:val="yTableNAm"/>
              <w:jc w:val="center"/>
            </w:pPr>
            <w:r>
              <w:t>5.552</w:t>
            </w:r>
          </w:p>
        </w:tc>
        <w:tc>
          <w:tcPr>
            <w:tcW w:w="2160" w:type="dxa"/>
            <w:tcBorders>
              <w:top w:val="nil"/>
              <w:left w:val="nil"/>
              <w:bottom w:val="nil"/>
              <w:right w:val="nil"/>
            </w:tcBorders>
            <w:noWrap/>
          </w:tcPr>
          <w:p>
            <w:pPr>
              <w:pStyle w:val="yTableNAm"/>
              <w:jc w:val="center"/>
            </w:pPr>
            <w:r>
              <w:t>4.426</w:t>
            </w:r>
          </w:p>
        </w:tc>
      </w:tr>
      <w:tr>
        <w:tc>
          <w:tcPr>
            <w:tcW w:w="2159" w:type="dxa"/>
            <w:tcBorders>
              <w:top w:val="nil"/>
              <w:left w:val="nil"/>
              <w:bottom w:val="nil"/>
              <w:right w:val="nil"/>
            </w:tcBorders>
            <w:noWrap/>
          </w:tcPr>
          <w:p>
            <w:pPr>
              <w:pStyle w:val="yTableNAm"/>
            </w:pPr>
            <w:r>
              <w:t>Beverley</w:t>
            </w:r>
          </w:p>
        </w:tc>
        <w:tc>
          <w:tcPr>
            <w:tcW w:w="1810" w:type="dxa"/>
            <w:tcBorders>
              <w:top w:val="nil"/>
              <w:left w:val="nil"/>
              <w:bottom w:val="nil"/>
              <w:right w:val="nil"/>
            </w:tcBorders>
            <w:noWrap/>
          </w:tcPr>
          <w:p>
            <w:pPr>
              <w:pStyle w:val="yTableNAm"/>
              <w:jc w:val="center"/>
            </w:pPr>
            <w:r>
              <w:t>14.241</w:t>
            </w:r>
          </w:p>
        </w:tc>
        <w:tc>
          <w:tcPr>
            <w:tcW w:w="2160" w:type="dxa"/>
            <w:tcBorders>
              <w:top w:val="nil"/>
              <w:left w:val="nil"/>
              <w:bottom w:val="nil"/>
              <w:right w:val="nil"/>
            </w:tcBorders>
            <w:noWrap/>
          </w:tcPr>
          <w:p>
            <w:pPr>
              <w:pStyle w:val="yTableNAm"/>
              <w:jc w:val="center"/>
            </w:pPr>
            <w:r>
              <w:t>41.738</w:t>
            </w:r>
          </w:p>
        </w:tc>
      </w:tr>
      <w:tr>
        <w:tc>
          <w:tcPr>
            <w:tcW w:w="2159" w:type="dxa"/>
            <w:tcBorders>
              <w:top w:val="nil"/>
              <w:left w:val="nil"/>
              <w:bottom w:val="nil"/>
              <w:right w:val="nil"/>
            </w:tcBorders>
            <w:noWrap/>
          </w:tcPr>
          <w:p>
            <w:pPr>
              <w:pStyle w:val="yTableNAm"/>
            </w:pPr>
            <w:r>
              <w:t>Binningup</w:t>
            </w:r>
          </w:p>
        </w:tc>
        <w:tc>
          <w:tcPr>
            <w:tcW w:w="1810" w:type="dxa"/>
            <w:tcBorders>
              <w:top w:val="nil"/>
              <w:left w:val="nil"/>
              <w:bottom w:val="nil"/>
              <w:right w:val="nil"/>
            </w:tcBorders>
            <w:noWrap/>
          </w:tcPr>
          <w:p>
            <w:pPr>
              <w:pStyle w:val="yTableNAm"/>
              <w:jc w:val="center"/>
            </w:pPr>
            <w:r>
              <w:t>10.356</w:t>
            </w:r>
          </w:p>
        </w:tc>
        <w:tc>
          <w:tcPr>
            <w:tcW w:w="2160" w:type="dxa"/>
            <w:tcBorders>
              <w:top w:val="nil"/>
              <w:left w:val="nil"/>
              <w:bottom w:val="nil"/>
              <w:right w:val="nil"/>
            </w:tcBorders>
            <w:noWrap/>
          </w:tcPr>
          <w:p>
            <w:pPr>
              <w:pStyle w:val="yTableNAm"/>
              <w:jc w:val="center"/>
            </w:pPr>
            <w:r>
              <w:t>22.689</w:t>
            </w:r>
          </w:p>
        </w:tc>
      </w:tr>
      <w:tr>
        <w:tc>
          <w:tcPr>
            <w:tcW w:w="2159" w:type="dxa"/>
            <w:tcBorders>
              <w:top w:val="nil"/>
              <w:left w:val="nil"/>
              <w:bottom w:val="nil"/>
              <w:right w:val="nil"/>
            </w:tcBorders>
            <w:noWrap/>
          </w:tcPr>
          <w:p>
            <w:pPr>
              <w:pStyle w:val="yTableNAm"/>
            </w:pPr>
            <w:r>
              <w:lastRenderedPageBreak/>
              <w:t>Boddington</w:t>
            </w:r>
          </w:p>
        </w:tc>
        <w:tc>
          <w:tcPr>
            <w:tcW w:w="1810" w:type="dxa"/>
            <w:tcBorders>
              <w:top w:val="nil"/>
              <w:left w:val="nil"/>
              <w:bottom w:val="nil"/>
              <w:right w:val="nil"/>
            </w:tcBorders>
            <w:noWrap/>
          </w:tcPr>
          <w:p>
            <w:pPr>
              <w:pStyle w:val="yTableNAm"/>
              <w:jc w:val="center"/>
            </w:pPr>
            <w:r>
              <w:t>31.593</w:t>
            </w:r>
          </w:p>
        </w:tc>
        <w:tc>
          <w:tcPr>
            <w:tcW w:w="2160" w:type="dxa"/>
            <w:tcBorders>
              <w:top w:val="nil"/>
              <w:left w:val="nil"/>
              <w:bottom w:val="nil"/>
              <w:right w:val="nil"/>
            </w:tcBorders>
            <w:noWrap/>
          </w:tcPr>
          <w:p>
            <w:pPr>
              <w:pStyle w:val="yTableNAm"/>
              <w:jc w:val="center"/>
            </w:pPr>
            <w:r>
              <w:t>190.903</w:t>
            </w:r>
          </w:p>
        </w:tc>
      </w:tr>
      <w:tr>
        <w:tc>
          <w:tcPr>
            <w:tcW w:w="2159" w:type="dxa"/>
            <w:tcBorders>
              <w:top w:val="nil"/>
              <w:left w:val="nil"/>
              <w:bottom w:val="nil"/>
              <w:right w:val="nil"/>
            </w:tcBorders>
            <w:noWrap/>
          </w:tcPr>
          <w:p>
            <w:pPr>
              <w:pStyle w:val="yTableNAm"/>
            </w:pPr>
            <w:r>
              <w:t>Boyanup</w:t>
            </w:r>
          </w:p>
        </w:tc>
        <w:tc>
          <w:tcPr>
            <w:tcW w:w="1810" w:type="dxa"/>
            <w:tcBorders>
              <w:top w:val="nil"/>
              <w:left w:val="nil"/>
              <w:bottom w:val="nil"/>
              <w:right w:val="nil"/>
            </w:tcBorders>
            <w:noWrap/>
          </w:tcPr>
          <w:p>
            <w:pPr>
              <w:pStyle w:val="yTableNAm"/>
              <w:jc w:val="center"/>
            </w:pPr>
            <w:r>
              <w:t>13.590</w:t>
            </w:r>
          </w:p>
        </w:tc>
        <w:tc>
          <w:tcPr>
            <w:tcW w:w="2160" w:type="dxa"/>
            <w:tcBorders>
              <w:top w:val="nil"/>
              <w:left w:val="nil"/>
              <w:bottom w:val="nil"/>
              <w:right w:val="nil"/>
            </w:tcBorders>
            <w:noWrap/>
          </w:tcPr>
          <w:p>
            <w:pPr>
              <w:pStyle w:val="yTableNAm"/>
              <w:jc w:val="center"/>
            </w:pPr>
            <w:r>
              <w:t>17.072</w:t>
            </w:r>
          </w:p>
        </w:tc>
      </w:tr>
      <w:tr>
        <w:tc>
          <w:tcPr>
            <w:tcW w:w="2159" w:type="dxa"/>
            <w:tcBorders>
              <w:top w:val="nil"/>
              <w:left w:val="nil"/>
              <w:bottom w:val="nil"/>
              <w:right w:val="nil"/>
            </w:tcBorders>
            <w:noWrap/>
          </w:tcPr>
          <w:p>
            <w:pPr>
              <w:pStyle w:val="yTableNAm"/>
            </w:pPr>
            <w:r>
              <w:t>Bremer Bay</w:t>
            </w:r>
          </w:p>
        </w:tc>
        <w:tc>
          <w:tcPr>
            <w:tcW w:w="1810" w:type="dxa"/>
            <w:tcBorders>
              <w:top w:val="nil"/>
              <w:left w:val="nil"/>
              <w:bottom w:val="nil"/>
              <w:right w:val="nil"/>
            </w:tcBorders>
            <w:noWrap/>
          </w:tcPr>
          <w:p>
            <w:pPr>
              <w:pStyle w:val="yTableNAm"/>
              <w:jc w:val="center"/>
            </w:pPr>
            <w:r>
              <w:t>17.083</w:t>
            </w:r>
          </w:p>
        </w:tc>
        <w:tc>
          <w:tcPr>
            <w:tcW w:w="2160" w:type="dxa"/>
            <w:tcBorders>
              <w:top w:val="nil"/>
              <w:left w:val="nil"/>
              <w:bottom w:val="nil"/>
              <w:right w:val="nil"/>
            </w:tcBorders>
            <w:noWrap/>
          </w:tcPr>
          <w:p>
            <w:pPr>
              <w:pStyle w:val="yTableNAm"/>
              <w:jc w:val="center"/>
            </w:pPr>
            <w:r>
              <w:t>26.324</w:t>
            </w:r>
          </w:p>
        </w:tc>
      </w:tr>
      <w:tr>
        <w:tc>
          <w:tcPr>
            <w:tcW w:w="2159" w:type="dxa"/>
            <w:tcBorders>
              <w:top w:val="nil"/>
              <w:left w:val="nil"/>
              <w:bottom w:val="nil"/>
              <w:right w:val="nil"/>
            </w:tcBorders>
            <w:noWrap/>
          </w:tcPr>
          <w:p>
            <w:pPr>
              <w:pStyle w:val="yTableNAm"/>
            </w:pPr>
            <w:r>
              <w:t>Bridgetown</w:t>
            </w:r>
          </w:p>
        </w:tc>
        <w:tc>
          <w:tcPr>
            <w:tcW w:w="1810" w:type="dxa"/>
            <w:tcBorders>
              <w:top w:val="nil"/>
              <w:left w:val="nil"/>
              <w:bottom w:val="nil"/>
              <w:right w:val="nil"/>
            </w:tcBorders>
            <w:noWrap/>
          </w:tcPr>
          <w:p>
            <w:pPr>
              <w:pStyle w:val="yTableNAm"/>
              <w:jc w:val="center"/>
            </w:pPr>
            <w:r>
              <w:t>33.451</w:t>
            </w:r>
          </w:p>
        </w:tc>
        <w:tc>
          <w:tcPr>
            <w:tcW w:w="2160" w:type="dxa"/>
            <w:tcBorders>
              <w:top w:val="nil"/>
              <w:left w:val="nil"/>
              <w:bottom w:val="nil"/>
              <w:right w:val="nil"/>
            </w:tcBorders>
            <w:noWrap/>
          </w:tcPr>
          <w:p>
            <w:pPr>
              <w:pStyle w:val="yTableNAm"/>
              <w:jc w:val="center"/>
            </w:pPr>
            <w:r>
              <w:t>182.394</w:t>
            </w:r>
          </w:p>
        </w:tc>
      </w:tr>
      <w:tr>
        <w:tc>
          <w:tcPr>
            <w:tcW w:w="2159" w:type="dxa"/>
            <w:tcBorders>
              <w:top w:val="nil"/>
              <w:left w:val="nil"/>
              <w:bottom w:val="nil"/>
              <w:right w:val="nil"/>
            </w:tcBorders>
            <w:noWrap/>
          </w:tcPr>
          <w:p>
            <w:pPr>
              <w:pStyle w:val="yTableNAm"/>
            </w:pPr>
            <w:r>
              <w:t>Broome</w:t>
            </w:r>
          </w:p>
        </w:tc>
        <w:tc>
          <w:tcPr>
            <w:tcW w:w="1810" w:type="dxa"/>
            <w:tcBorders>
              <w:top w:val="nil"/>
              <w:left w:val="nil"/>
              <w:bottom w:val="nil"/>
              <w:right w:val="nil"/>
            </w:tcBorders>
            <w:noWrap/>
          </w:tcPr>
          <w:p>
            <w:pPr>
              <w:pStyle w:val="yTableNAm"/>
              <w:jc w:val="center"/>
            </w:pPr>
            <w:r>
              <w:t>11.467</w:t>
            </w:r>
          </w:p>
        </w:tc>
        <w:tc>
          <w:tcPr>
            <w:tcW w:w="2160" w:type="dxa"/>
            <w:tcBorders>
              <w:top w:val="nil"/>
              <w:left w:val="nil"/>
              <w:bottom w:val="nil"/>
              <w:right w:val="nil"/>
            </w:tcBorders>
            <w:noWrap/>
          </w:tcPr>
          <w:p>
            <w:pPr>
              <w:pStyle w:val="yTableNAm"/>
              <w:jc w:val="center"/>
            </w:pPr>
            <w:r>
              <w:t>16.186</w:t>
            </w:r>
          </w:p>
        </w:tc>
      </w:tr>
      <w:tr>
        <w:tc>
          <w:tcPr>
            <w:tcW w:w="2159" w:type="dxa"/>
            <w:tcBorders>
              <w:top w:val="nil"/>
              <w:left w:val="nil"/>
              <w:bottom w:val="nil"/>
              <w:right w:val="nil"/>
            </w:tcBorders>
            <w:noWrap/>
          </w:tcPr>
          <w:p>
            <w:pPr>
              <w:pStyle w:val="yTableNAm"/>
            </w:pPr>
            <w:r>
              <w:t>Brunswick</w:t>
            </w:r>
          </w:p>
        </w:tc>
        <w:tc>
          <w:tcPr>
            <w:tcW w:w="1810" w:type="dxa"/>
            <w:tcBorders>
              <w:top w:val="nil"/>
              <w:left w:val="nil"/>
              <w:bottom w:val="nil"/>
              <w:right w:val="nil"/>
            </w:tcBorders>
            <w:noWrap/>
          </w:tcPr>
          <w:p>
            <w:pPr>
              <w:pStyle w:val="yTableNAm"/>
              <w:jc w:val="center"/>
            </w:pPr>
            <w:r>
              <w:t>10.833</w:t>
            </w:r>
          </w:p>
        </w:tc>
        <w:tc>
          <w:tcPr>
            <w:tcW w:w="2160" w:type="dxa"/>
            <w:tcBorders>
              <w:top w:val="nil"/>
              <w:left w:val="nil"/>
              <w:bottom w:val="nil"/>
              <w:right w:val="nil"/>
            </w:tcBorders>
            <w:noWrap/>
          </w:tcPr>
          <w:p>
            <w:pPr>
              <w:pStyle w:val="yTableNAm"/>
              <w:jc w:val="center"/>
            </w:pPr>
            <w:r>
              <w:t>20.369</w:t>
            </w:r>
          </w:p>
        </w:tc>
      </w:tr>
      <w:tr>
        <w:tc>
          <w:tcPr>
            <w:tcW w:w="2159" w:type="dxa"/>
            <w:tcBorders>
              <w:top w:val="nil"/>
              <w:left w:val="nil"/>
              <w:bottom w:val="nil"/>
              <w:right w:val="nil"/>
            </w:tcBorders>
            <w:noWrap/>
          </w:tcPr>
          <w:p>
            <w:pPr>
              <w:pStyle w:val="yTableNAm"/>
            </w:pPr>
            <w:r>
              <w:t>Bruce Rock</w:t>
            </w:r>
          </w:p>
        </w:tc>
        <w:tc>
          <w:tcPr>
            <w:tcW w:w="1810" w:type="dxa"/>
            <w:tcBorders>
              <w:top w:val="nil"/>
              <w:left w:val="nil"/>
              <w:bottom w:val="nil"/>
              <w:right w:val="nil"/>
            </w:tcBorders>
            <w:noWrap/>
          </w:tcPr>
          <w:p>
            <w:pPr>
              <w:pStyle w:val="yTableNAm"/>
              <w:jc w:val="center"/>
            </w:pPr>
            <w:r>
              <w:t>58.698</w:t>
            </w:r>
          </w:p>
        </w:tc>
        <w:tc>
          <w:tcPr>
            <w:tcW w:w="2160" w:type="dxa"/>
            <w:tcBorders>
              <w:top w:val="nil"/>
              <w:left w:val="nil"/>
              <w:bottom w:val="nil"/>
              <w:right w:val="nil"/>
            </w:tcBorders>
            <w:noWrap/>
          </w:tcPr>
          <w:p>
            <w:pPr>
              <w:pStyle w:val="yTableNAm"/>
              <w:jc w:val="center"/>
            </w:pPr>
            <w:r>
              <w:t>58.698</w:t>
            </w:r>
          </w:p>
        </w:tc>
      </w:tr>
      <w:tr>
        <w:tc>
          <w:tcPr>
            <w:tcW w:w="2159" w:type="dxa"/>
            <w:tcBorders>
              <w:top w:val="nil"/>
              <w:left w:val="nil"/>
              <w:bottom w:val="nil"/>
              <w:right w:val="nil"/>
            </w:tcBorders>
            <w:noWrap/>
          </w:tcPr>
          <w:p>
            <w:pPr>
              <w:pStyle w:val="yTableNAm"/>
            </w:pPr>
            <w:r>
              <w:t>Bunbury</w:t>
            </w:r>
          </w:p>
        </w:tc>
        <w:tc>
          <w:tcPr>
            <w:tcW w:w="1810" w:type="dxa"/>
            <w:tcBorders>
              <w:top w:val="nil"/>
              <w:left w:val="nil"/>
              <w:bottom w:val="nil"/>
              <w:right w:val="nil"/>
            </w:tcBorders>
            <w:noWrap/>
          </w:tcPr>
          <w:p>
            <w:pPr>
              <w:pStyle w:val="yTableNAm"/>
              <w:jc w:val="center"/>
            </w:pPr>
            <w:r>
              <w:t>10.161</w:t>
            </w:r>
          </w:p>
        </w:tc>
        <w:tc>
          <w:tcPr>
            <w:tcW w:w="2160" w:type="dxa"/>
            <w:tcBorders>
              <w:top w:val="nil"/>
              <w:left w:val="nil"/>
              <w:bottom w:val="nil"/>
              <w:right w:val="nil"/>
            </w:tcBorders>
            <w:noWrap/>
          </w:tcPr>
          <w:p>
            <w:pPr>
              <w:pStyle w:val="yTableNAm"/>
              <w:jc w:val="center"/>
            </w:pPr>
            <w:r>
              <w:t>11.214</w:t>
            </w:r>
          </w:p>
        </w:tc>
      </w:tr>
      <w:tr>
        <w:tc>
          <w:tcPr>
            <w:tcW w:w="2159" w:type="dxa"/>
            <w:tcBorders>
              <w:top w:val="nil"/>
              <w:left w:val="nil"/>
              <w:bottom w:val="nil"/>
              <w:right w:val="nil"/>
            </w:tcBorders>
            <w:noWrap/>
          </w:tcPr>
          <w:p>
            <w:pPr>
              <w:pStyle w:val="yTableNAm"/>
            </w:pPr>
            <w:r>
              <w:t>Burekup</w:t>
            </w:r>
          </w:p>
        </w:tc>
        <w:tc>
          <w:tcPr>
            <w:tcW w:w="1810" w:type="dxa"/>
            <w:tcBorders>
              <w:top w:val="nil"/>
              <w:left w:val="nil"/>
              <w:bottom w:val="nil"/>
              <w:right w:val="nil"/>
            </w:tcBorders>
            <w:noWrap/>
          </w:tcPr>
          <w:p>
            <w:pPr>
              <w:pStyle w:val="yTableNAm"/>
              <w:jc w:val="center"/>
            </w:pPr>
            <w:r>
              <w:t>9.669</w:t>
            </w:r>
          </w:p>
        </w:tc>
        <w:tc>
          <w:tcPr>
            <w:tcW w:w="2160" w:type="dxa"/>
            <w:tcBorders>
              <w:top w:val="nil"/>
              <w:left w:val="nil"/>
              <w:bottom w:val="nil"/>
              <w:right w:val="nil"/>
            </w:tcBorders>
            <w:noWrap/>
          </w:tcPr>
          <w:p>
            <w:pPr>
              <w:pStyle w:val="yTableNAm"/>
              <w:jc w:val="center"/>
            </w:pPr>
            <w:r>
              <w:t>6.601</w:t>
            </w:r>
          </w:p>
        </w:tc>
      </w:tr>
      <w:tr>
        <w:tc>
          <w:tcPr>
            <w:tcW w:w="2159" w:type="dxa"/>
            <w:tcBorders>
              <w:top w:val="nil"/>
              <w:left w:val="nil"/>
              <w:bottom w:val="nil"/>
              <w:right w:val="nil"/>
            </w:tcBorders>
            <w:noWrap/>
          </w:tcPr>
          <w:p>
            <w:pPr>
              <w:pStyle w:val="yTableNAm"/>
            </w:pPr>
            <w:r>
              <w:t>Busselton</w:t>
            </w:r>
          </w:p>
        </w:tc>
        <w:tc>
          <w:tcPr>
            <w:tcW w:w="1810" w:type="dxa"/>
            <w:tcBorders>
              <w:top w:val="nil"/>
              <w:left w:val="nil"/>
              <w:bottom w:val="nil"/>
              <w:right w:val="nil"/>
            </w:tcBorders>
            <w:noWrap/>
          </w:tcPr>
          <w:p>
            <w:pPr>
              <w:pStyle w:val="yTableNAm"/>
              <w:jc w:val="center"/>
            </w:pPr>
            <w:r>
              <w:t>6.332</w:t>
            </w:r>
          </w:p>
        </w:tc>
        <w:tc>
          <w:tcPr>
            <w:tcW w:w="2160" w:type="dxa"/>
            <w:tcBorders>
              <w:top w:val="nil"/>
              <w:left w:val="nil"/>
              <w:bottom w:val="nil"/>
              <w:right w:val="nil"/>
            </w:tcBorders>
            <w:noWrap/>
          </w:tcPr>
          <w:p>
            <w:pPr>
              <w:pStyle w:val="yTableNAm"/>
              <w:jc w:val="center"/>
            </w:pPr>
            <w:r>
              <w:t>5.869</w:t>
            </w:r>
          </w:p>
        </w:tc>
      </w:tr>
      <w:tr>
        <w:tc>
          <w:tcPr>
            <w:tcW w:w="2159" w:type="dxa"/>
            <w:tcBorders>
              <w:top w:val="nil"/>
              <w:left w:val="nil"/>
              <w:bottom w:val="nil"/>
              <w:right w:val="nil"/>
            </w:tcBorders>
            <w:noWrap/>
          </w:tcPr>
          <w:p>
            <w:pPr>
              <w:pStyle w:val="yTableNAm"/>
            </w:pPr>
            <w:r>
              <w:t>Capel</w:t>
            </w:r>
          </w:p>
        </w:tc>
        <w:tc>
          <w:tcPr>
            <w:tcW w:w="1810" w:type="dxa"/>
            <w:tcBorders>
              <w:top w:val="nil"/>
              <w:left w:val="nil"/>
              <w:bottom w:val="nil"/>
              <w:right w:val="nil"/>
            </w:tcBorders>
            <w:noWrap/>
          </w:tcPr>
          <w:p>
            <w:pPr>
              <w:pStyle w:val="yTableNAm"/>
              <w:jc w:val="center"/>
            </w:pPr>
            <w:r>
              <w:t>9.661</w:t>
            </w:r>
          </w:p>
        </w:tc>
        <w:tc>
          <w:tcPr>
            <w:tcW w:w="2160" w:type="dxa"/>
            <w:tcBorders>
              <w:top w:val="nil"/>
              <w:left w:val="nil"/>
              <w:bottom w:val="nil"/>
              <w:right w:val="nil"/>
            </w:tcBorders>
            <w:noWrap/>
          </w:tcPr>
          <w:p>
            <w:pPr>
              <w:pStyle w:val="yTableNAm"/>
              <w:jc w:val="center"/>
            </w:pPr>
            <w:r>
              <w:t>10.131</w:t>
            </w:r>
          </w:p>
        </w:tc>
      </w:tr>
      <w:tr>
        <w:tc>
          <w:tcPr>
            <w:tcW w:w="2159" w:type="dxa"/>
            <w:tcBorders>
              <w:top w:val="nil"/>
              <w:left w:val="nil"/>
              <w:bottom w:val="nil"/>
              <w:right w:val="nil"/>
            </w:tcBorders>
            <w:noWrap/>
          </w:tcPr>
          <w:p>
            <w:pPr>
              <w:pStyle w:val="yTableNAm"/>
            </w:pPr>
            <w:r>
              <w:t>Carnarvon</w:t>
            </w:r>
          </w:p>
        </w:tc>
        <w:tc>
          <w:tcPr>
            <w:tcW w:w="1810" w:type="dxa"/>
            <w:tcBorders>
              <w:top w:val="nil"/>
              <w:left w:val="nil"/>
              <w:bottom w:val="nil"/>
              <w:right w:val="nil"/>
            </w:tcBorders>
            <w:noWrap/>
          </w:tcPr>
          <w:p>
            <w:pPr>
              <w:pStyle w:val="yTableNAm"/>
              <w:jc w:val="center"/>
            </w:pPr>
            <w:r>
              <w:t>10.920</w:t>
            </w:r>
          </w:p>
        </w:tc>
        <w:tc>
          <w:tcPr>
            <w:tcW w:w="2160" w:type="dxa"/>
            <w:tcBorders>
              <w:top w:val="nil"/>
              <w:left w:val="nil"/>
              <w:bottom w:val="nil"/>
              <w:right w:val="nil"/>
            </w:tcBorders>
            <w:noWrap/>
          </w:tcPr>
          <w:p>
            <w:pPr>
              <w:pStyle w:val="yTableNAm"/>
              <w:jc w:val="center"/>
            </w:pPr>
            <w:r>
              <w:t>24.163</w:t>
            </w:r>
          </w:p>
        </w:tc>
      </w:tr>
      <w:tr>
        <w:tc>
          <w:tcPr>
            <w:tcW w:w="2159" w:type="dxa"/>
            <w:tcBorders>
              <w:top w:val="nil"/>
              <w:left w:val="nil"/>
              <w:bottom w:val="nil"/>
              <w:right w:val="nil"/>
            </w:tcBorders>
            <w:noWrap/>
          </w:tcPr>
          <w:p>
            <w:pPr>
              <w:pStyle w:val="yTableNAm"/>
            </w:pPr>
            <w:r>
              <w:t>Cervantes</w:t>
            </w:r>
          </w:p>
        </w:tc>
        <w:tc>
          <w:tcPr>
            <w:tcW w:w="1810" w:type="dxa"/>
            <w:tcBorders>
              <w:top w:val="nil"/>
              <w:left w:val="nil"/>
              <w:bottom w:val="nil"/>
              <w:right w:val="nil"/>
            </w:tcBorders>
            <w:noWrap/>
          </w:tcPr>
          <w:p>
            <w:pPr>
              <w:pStyle w:val="yTableNAm"/>
              <w:jc w:val="center"/>
            </w:pPr>
            <w:r>
              <w:t>12.488</w:t>
            </w:r>
          </w:p>
        </w:tc>
        <w:tc>
          <w:tcPr>
            <w:tcW w:w="2160" w:type="dxa"/>
            <w:tcBorders>
              <w:top w:val="nil"/>
              <w:left w:val="nil"/>
              <w:bottom w:val="nil"/>
              <w:right w:val="nil"/>
            </w:tcBorders>
            <w:noWrap/>
          </w:tcPr>
          <w:p>
            <w:pPr>
              <w:pStyle w:val="yTableNAm"/>
              <w:jc w:val="center"/>
            </w:pPr>
            <w:r>
              <w:t>13.500</w:t>
            </w:r>
          </w:p>
        </w:tc>
      </w:tr>
      <w:tr>
        <w:tc>
          <w:tcPr>
            <w:tcW w:w="2159" w:type="dxa"/>
            <w:tcBorders>
              <w:top w:val="nil"/>
              <w:left w:val="nil"/>
              <w:bottom w:val="nil"/>
              <w:right w:val="nil"/>
            </w:tcBorders>
            <w:noWrap/>
          </w:tcPr>
          <w:p>
            <w:pPr>
              <w:pStyle w:val="yTableNAm"/>
            </w:pPr>
            <w:r>
              <w:t>Collie</w:t>
            </w:r>
          </w:p>
        </w:tc>
        <w:tc>
          <w:tcPr>
            <w:tcW w:w="1810" w:type="dxa"/>
            <w:tcBorders>
              <w:top w:val="nil"/>
              <w:left w:val="nil"/>
              <w:bottom w:val="nil"/>
              <w:right w:val="nil"/>
            </w:tcBorders>
            <w:noWrap/>
          </w:tcPr>
          <w:p>
            <w:pPr>
              <w:pStyle w:val="yTableNAm"/>
              <w:jc w:val="center"/>
            </w:pPr>
            <w:r>
              <w:t>17.964</w:t>
            </w:r>
          </w:p>
        </w:tc>
        <w:tc>
          <w:tcPr>
            <w:tcW w:w="2160" w:type="dxa"/>
            <w:tcBorders>
              <w:top w:val="nil"/>
              <w:left w:val="nil"/>
              <w:bottom w:val="nil"/>
              <w:right w:val="nil"/>
            </w:tcBorders>
            <w:noWrap/>
          </w:tcPr>
          <w:p>
            <w:pPr>
              <w:pStyle w:val="yTableNAm"/>
              <w:jc w:val="center"/>
            </w:pPr>
            <w:r>
              <w:t>36.563</w:t>
            </w:r>
          </w:p>
        </w:tc>
      </w:tr>
      <w:tr>
        <w:tc>
          <w:tcPr>
            <w:tcW w:w="2159" w:type="dxa"/>
            <w:tcBorders>
              <w:top w:val="nil"/>
              <w:left w:val="nil"/>
              <w:bottom w:val="nil"/>
              <w:right w:val="nil"/>
            </w:tcBorders>
            <w:noWrap/>
          </w:tcPr>
          <w:p>
            <w:pPr>
              <w:pStyle w:val="yTableNAm"/>
            </w:pPr>
            <w:r>
              <w:t>Coral Bay</w:t>
            </w:r>
          </w:p>
        </w:tc>
        <w:tc>
          <w:tcPr>
            <w:tcW w:w="1810" w:type="dxa"/>
            <w:tcBorders>
              <w:top w:val="nil"/>
              <w:left w:val="nil"/>
              <w:bottom w:val="nil"/>
              <w:right w:val="nil"/>
            </w:tcBorders>
            <w:noWrap/>
          </w:tcPr>
          <w:p>
            <w:pPr>
              <w:pStyle w:val="yTableNAm"/>
              <w:jc w:val="center"/>
            </w:pPr>
            <w:r>
              <w:t>357.066</w:t>
            </w:r>
          </w:p>
        </w:tc>
        <w:tc>
          <w:tcPr>
            <w:tcW w:w="2160" w:type="dxa"/>
            <w:tcBorders>
              <w:top w:val="nil"/>
              <w:left w:val="nil"/>
              <w:bottom w:val="nil"/>
              <w:right w:val="nil"/>
            </w:tcBorders>
            <w:noWrap/>
          </w:tcPr>
          <w:p>
            <w:pPr>
              <w:pStyle w:val="yTableNAm"/>
              <w:jc w:val="center"/>
            </w:pPr>
            <w:r>
              <w:t>1340.998</w:t>
            </w:r>
          </w:p>
        </w:tc>
      </w:tr>
      <w:tr>
        <w:tc>
          <w:tcPr>
            <w:tcW w:w="2159" w:type="dxa"/>
            <w:tcBorders>
              <w:top w:val="nil"/>
              <w:left w:val="nil"/>
              <w:bottom w:val="nil"/>
              <w:right w:val="nil"/>
            </w:tcBorders>
            <w:noWrap/>
          </w:tcPr>
          <w:p>
            <w:pPr>
              <w:pStyle w:val="yTableNAm"/>
            </w:pPr>
            <w:r>
              <w:t>Corrigin</w:t>
            </w:r>
          </w:p>
        </w:tc>
        <w:tc>
          <w:tcPr>
            <w:tcW w:w="1810" w:type="dxa"/>
            <w:tcBorders>
              <w:top w:val="nil"/>
              <w:left w:val="nil"/>
              <w:bottom w:val="nil"/>
              <w:right w:val="nil"/>
            </w:tcBorders>
            <w:noWrap/>
          </w:tcPr>
          <w:p>
            <w:pPr>
              <w:pStyle w:val="yTableNAm"/>
              <w:jc w:val="center"/>
            </w:pPr>
            <w:r>
              <w:t>28.489</w:t>
            </w:r>
          </w:p>
        </w:tc>
        <w:tc>
          <w:tcPr>
            <w:tcW w:w="2160" w:type="dxa"/>
            <w:tcBorders>
              <w:top w:val="nil"/>
              <w:left w:val="nil"/>
              <w:bottom w:val="nil"/>
              <w:right w:val="nil"/>
            </w:tcBorders>
            <w:noWrap/>
          </w:tcPr>
          <w:p>
            <w:pPr>
              <w:pStyle w:val="yTableNAm"/>
              <w:jc w:val="center"/>
            </w:pPr>
            <w:r>
              <w:t>140.373</w:t>
            </w:r>
          </w:p>
        </w:tc>
      </w:tr>
      <w:tr>
        <w:tc>
          <w:tcPr>
            <w:tcW w:w="2159" w:type="dxa"/>
            <w:tcBorders>
              <w:top w:val="nil"/>
              <w:left w:val="nil"/>
              <w:bottom w:val="nil"/>
              <w:right w:val="nil"/>
            </w:tcBorders>
            <w:noWrap/>
          </w:tcPr>
          <w:p>
            <w:pPr>
              <w:pStyle w:val="yTableNAm"/>
            </w:pPr>
            <w:r>
              <w:t>Cowaramup</w:t>
            </w:r>
          </w:p>
        </w:tc>
        <w:tc>
          <w:tcPr>
            <w:tcW w:w="1810" w:type="dxa"/>
            <w:tcBorders>
              <w:top w:val="nil"/>
              <w:left w:val="nil"/>
              <w:bottom w:val="nil"/>
              <w:right w:val="nil"/>
            </w:tcBorders>
            <w:noWrap/>
          </w:tcPr>
          <w:p>
            <w:pPr>
              <w:pStyle w:val="yTableNAm"/>
              <w:jc w:val="center"/>
            </w:pPr>
            <w:r>
              <w:t>5.691</w:t>
            </w:r>
          </w:p>
        </w:tc>
        <w:tc>
          <w:tcPr>
            <w:tcW w:w="2160" w:type="dxa"/>
            <w:tcBorders>
              <w:top w:val="nil"/>
              <w:left w:val="nil"/>
              <w:bottom w:val="nil"/>
              <w:right w:val="nil"/>
            </w:tcBorders>
            <w:noWrap/>
          </w:tcPr>
          <w:p>
            <w:pPr>
              <w:pStyle w:val="yTableNAm"/>
              <w:jc w:val="center"/>
            </w:pPr>
            <w:r>
              <w:t>7.089</w:t>
            </w:r>
          </w:p>
        </w:tc>
      </w:tr>
      <w:tr>
        <w:tc>
          <w:tcPr>
            <w:tcW w:w="2159" w:type="dxa"/>
            <w:tcBorders>
              <w:top w:val="nil"/>
              <w:left w:val="nil"/>
              <w:bottom w:val="nil"/>
              <w:right w:val="nil"/>
            </w:tcBorders>
            <w:noWrap/>
          </w:tcPr>
          <w:p>
            <w:pPr>
              <w:pStyle w:val="yTableNAm"/>
            </w:pPr>
            <w:r>
              <w:t>Cranbrook</w:t>
            </w:r>
          </w:p>
        </w:tc>
        <w:tc>
          <w:tcPr>
            <w:tcW w:w="1810" w:type="dxa"/>
            <w:tcBorders>
              <w:top w:val="nil"/>
              <w:left w:val="nil"/>
              <w:bottom w:val="nil"/>
              <w:right w:val="nil"/>
            </w:tcBorders>
            <w:noWrap/>
          </w:tcPr>
          <w:p>
            <w:pPr>
              <w:pStyle w:val="yTableNAm"/>
              <w:jc w:val="center"/>
            </w:pPr>
            <w:r>
              <w:t>16.537</w:t>
            </w:r>
          </w:p>
        </w:tc>
        <w:tc>
          <w:tcPr>
            <w:tcW w:w="2160" w:type="dxa"/>
            <w:tcBorders>
              <w:top w:val="nil"/>
              <w:left w:val="nil"/>
              <w:bottom w:val="nil"/>
              <w:right w:val="nil"/>
            </w:tcBorders>
            <w:noWrap/>
          </w:tcPr>
          <w:p>
            <w:pPr>
              <w:pStyle w:val="yTableNAm"/>
              <w:jc w:val="center"/>
            </w:pPr>
            <w:r>
              <w:t>77.335</w:t>
            </w:r>
          </w:p>
        </w:tc>
      </w:tr>
      <w:tr>
        <w:tc>
          <w:tcPr>
            <w:tcW w:w="2159" w:type="dxa"/>
            <w:tcBorders>
              <w:top w:val="nil"/>
              <w:left w:val="nil"/>
              <w:bottom w:val="nil"/>
              <w:right w:val="nil"/>
            </w:tcBorders>
            <w:noWrap/>
          </w:tcPr>
          <w:p>
            <w:pPr>
              <w:pStyle w:val="yTableNAm"/>
            </w:pPr>
            <w:r>
              <w:t>Cunderdin</w:t>
            </w:r>
          </w:p>
        </w:tc>
        <w:tc>
          <w:tcPr>
            <w:tcW w:w="1810" w:type="dxa"/>
            <w:tcBorders>
              <w:top w:val="nil"/>
              <w:left w:val="nil"/>
              <w:bottom w:val="nil"/>
              <w:right w:val="nil"/>
            </w:tcBorders>
            <w:noWrap/>
          </w:tcPr>
          <w:p>
            <w:pPr>
              <w:pStyle w:val="yTableNAm"/>
              <w:jc w:val="center"/>
            </w:pPr>
            <w:r>
              <w:t>23.869</w:t>
            </w:r>
          </w:p>
        </w:tc>
        <w:tc>
          <w:tcPr>
            <w:tcW w:w="2160" w:type="dxa"/>
            <w:tcBorders>
              <w:top w:val="nil"/>
              <w:left w:val="nil"/>
              <w:bottom w:val="nil"/>
              <w:right w:val="nil"/>
            </w:tcBorders>
            <w:noWrap/>
          </w:tcPr>
          <w:p>
            <w:pPr>
              <w:pStyle w:val="yTableNAm"/>
              <w:jc w:val="center"/>
            </w:pPr>
            <w:r>
              <w:t>36.281</w:t>
            </w:r>
          </w:p>
        </w:tc>
      </w:tr>
      <w:tr>
        <w:tc>
          <w:tcPr>
            <w:tcW w:w="2159" w:type="dxa"/>
            <w:tcBorders>
              <w:top w:val="nil"/>
              <w:left w:val="nil"/>
              <w:bottom w:val="nil"/>
              <w:right w:val="nil"/>
            </w:tcBorders>
            <w:noWrap/>
          </w:tcPr>
          <w:p>
            <w:pPr>
              <w:pStyle w:val="yTableNAm"/>
            </w:pPr>
            <w:r>
              <w:lastRenderedPageBreak/>
              <w:t>Dalyellup</w:t>
            </w:r>
          </w:p>
        </w:tc>
        <w:tc>
          <w:tcPr>
            <w:tcW w:w="1810" w:type="dxa"/>
            <w:tcBorders>
              <w:top w:val="nil"/>
              <w:left w:val="nil"/>
              <w:bottom w:val="nil"/>
              <w:right w:val="nil"/>
            </w:tcBorders>
            <w:noWrap/>
          </w:tcPr>
          <w:p>
            <w:pPr>
              <w:pStyle w:val="yTableNAm"/>
              <w:jc w:val="center"/>
            </w:pPr>
            <w:r>
              <w:t>4.659</w:t>
            </w:r>
          </w:p>
        </w:tc>
        <w:tc>
          <w:tcPr>
            <w:tcW w:w="2160" w:type="dxa"/>
            <w:tcBorders>
              <w:top w:val="nil"/>
              <w:left w:val="nil"/>
              <w:bottom w:val="nil"/>
              <w:right w:val="nil"/>
            </w:tcBorders>
            <w:noWrap/>
          </w:tcPr>
          <w:p>
            <w:pPr>
              <w:pStyle w:val="yTableNAm"/>
              <w:jc w:val="center"/>
            </w:pPr>
            <w:r>
              <w:t>4.972</w:t>
            </w:r>
          </w:p>
        </w:tc>
      </w:tr>
      <w:tr>
        <w:tc>
          <w:tcPr>
            <w:tcW w:w="2159" w:type="dxa"/>
            <w:tcBorders>
              <w:top w:val="nil"/>
              <w:left w:val="nil"/>
              <w:bottom w:val="nil"/>
              <w:right w:val="nil"/>
            </w:tcBorders>
            <w:noWrap/>
          </w:tcPr>
          <w:p>
            <w:pPr>
              <w:pStyle w:val="yTableNAm"/>
            </w:pPr>
            <w:r>
              <w:t>Dardanup</w:t>
            </w:r>
          </w:p>
        </w:tc>
        <w:tc>
          <w:tcPr>
            <w:tcW w:w="1810" w:type="dxa"/>
            <w:tcBorders>
              <w:top w:val="nil"/>
              <w:left w:val="nil"/>
              <w:bottom w:val="nil"/>
              <w:right w:val="nil"/>
            </w:tcBorders>
            <w:noWrap/>
          </w:tcPr>
          <w:p>
            <w:pPr>
              <w:pStyle w:val="yTableNAm"/>
              <w:jc w:val="center"/>
            </w:pPr>
            <w:r>
              <w:t>20.623</w:t>
            </w:r>
          </w:p>
        </w:tc>
        <w:tc>
          <w:tcPr>
            <w:tcW w:w="2160" w:type="dxa"/>
            <w:tcBorders>
              <w:top w:val="nil"/>
              <w:left w:val="nil"/>
              <w:bottom w:val="nil"/>
              <w:right w:val="nil"/>
            </w:tcBorders>
            <w:noWrap/>
          </w:tcPr>
          <w:p>
            <w:pPr>
              <w:pStyle w:val="yTableNAm"/>
              <w:jc w:val="center"/>
            </w:pPr>
            <w:r>
              <w:t>63.318</w:t>
            </w:r>
          </w:p>
        </w:tc>
      </w:tr>
      <w:tr>
        <w:tc>
          <w:tcPr>
            <w:tcW w:w="2159" w:type="dxa"/>
            <w:tcBorders>
              <w:top w:val="nil"/>
              <w:left w:val="nil"/>
              <w:bottom w:val="nil"/>
              <w:right w:val="nil"/>
            </w:tcBorders>
            <w:noWrap/>
          </w:tcPr>
          <w:p>
            <w:pPr>
              <w:pStyle w:val="yTableNAm"/>
            </w:pPr>
            <w:r>
              <w:t>Denham</w:t>
            </w:r>
          </w:p>
        </w:tc>
        <w:tc>
          <w:tcPr>
            <w:tcW w:w="1810" w:type="dxa"/>
            <w:tcBorders>
              <w:top w:val="nil"/>
              <w:left w:val="nil"/>
              <w:bottom w:val="nil"/>
              <w:right w:val="nil"/>
            </w:tcBorders>
            <w:noWrap/>
          </w:tcPr>
          <w:p>
            <w:pPr>
              <w:pStyle w:val="yTableNAm"/>
              <w:jc w:val="center"/>
            </w:pPr>
            <w:r>
              <w:t>12.063</w:t>
            </w:r>
          </w:p>
        </w:tc>
        <w:tc>
          <w:tcPr>
            <w:tcW w:w="2160" w:type="dxa"/>
            <w:tcBorders>
              <w:top w:val="nil"/>
              <w:left w:val="nil"/>
              <w:bottom w:val="nil"/>
              <w:right w:val="nil"/>
            </w:tcBorders>
            <w:noWrap/>
          </w:tcPr>
          <w:p>
            <w:pPr>
              <w:pStyle w:val="yTableNAm"/>
              <w:jc w:val="center"/>
            </w:pPr>
            <w:r>
              <w:t>17.090</w:t>
            </w:r>
          </w:p>
        </w:tc>
      </w:tr>
      <w:tr>
        <w:tc>
          <w:tcPr>
            <w:tcW w:w="2159" w:type="dxa"/>
            <w:tcBorders>
              <w:top w:val="nil"/>
              <w:left w:val="nil"/>
              <w:bottom w:val="nil"/>
              <w:right w:val="nil"/>
            </w:tcBorders>
            <w:noWrap/>
          </w:tcPr>
          <w:p>
            <w:pPr>
              <w:pStyle w:val="yTableNAm"/>
            </w:pPr>
            <w:r>
              <w:t>Denmark</w:t>
            </w:r>
          </w:p>
        </w:tc>
        <w:tc>
          <w:tcPr>
            <w:tcW w:w="1810" w:type="dxa"/>
            <w:tcBorders>
              <w:top w:val="nil"/>
              <w:left w:val="nil"/>
              <w:bottom w:val="nil"/>
              <w:right w:val="nil"/>
            </w:tcBorders>
            <w:noWrap/>
          </w:tcPr>
          <w:p>
            <w:pPr>
              <w:pStyle w:val="yTableNAm"/>
              <w:jc w:val="center"/>
            </w:pPr>
            <w:r>
              <w:t>23.057</w:t>
            </w:r>
          </w:p>
        </w:tc>
        <w:tc>
          <w:tcPr>
            <w:tcW w:w="2160" w:type="dxa"/>
            <w:tcBorders>
              <w:top w:val="nil"/>
              <w:left w:val="nil"/>
              <w:bottom w:val="nil"/>
              <w:right w:val="nil"/>
            </w:tcBorders>
            <w:noWrap/>
          </w:tcPr>
          <w:p>
            <w:pPr>
              <w:pStyle w:val="yTableNAm"/>
              <w:jc w:val="center"/>
            </w:pPr>
            <w:r>
              <w:t>52.194</w:t>
            </w:r>
          </w:p>
        </w:tc>
      </w:tr>
      <w:tr>
        <w:tc>
          <w:tcPr>
            <w:tcW w:w="2159" w:type="dxa"/>
            <w:tcBorders>
              <w:top w:val="nil"/>
              <w:left w:val="nil"/>
              <w:bottom w:val="nil"/>
              <w:right w:val="nil"/>
            </w:tcBorders>
            <w:noWrap/>
          </w:tcPr>
          <w:p>
            <w:pPr>
              <w:pStyle w:val="yTableNAm"/>
            </w:pPr>
            <w:r>
              <w:t>Derby</w:t>
            </w:r>
          </w:p>
        </w:tc>
        <w:tc>
          <w:tcPr>
            <w:tcW w:w="1810" w:type="dxa"/>
            <w:tcBorders>
              <w:top w:val="nil"/>
              <w:left w:val="nil"/>
              <w:bottom w:val="nil"/>
              <w:right w:val="nil"/>
            </w:tcBorders>
            <w:noWrap/>
          </w:tcPr>
          <w:p>
            <w:pPr>
              <w:pStyle w:val="yTableNAm"/>
              <w:jc w:val="center"/>
            </w:pPr>
            <w:r>
              <w:t>12.196</w:t>
            </w:r>
          </w:p>
        </w:tc>
        <w:tc>
          <w:tcPr>
            <w:tcW w:w="2160" w:type="dxa"/>
            <w:tcBorders>
              <w:top w:val="nil"/>
              <w:left w:val="nil"/>
              <w:bottom w:val="nil"/>
              <w:right w:val="nil"/>
            </w:tcBorders>
            <w:noWrap/>
          </w:tcPr>
          <w:p>
            <w:pPr>
              <w:pStyle w:val="yTableNAm"/>
              <w:jc w:val="center"/>
            </w:pPr>
            <w:r>
              <w:t>18.417</w:t>
            </w:r>
          </w:p>
        </w:tc>
      </w:tr>
      <w:tr>
        <w:tc>
          <w:tcPr>
            <w:tcW w:w="2159" w:type="dxa"/>
            <w:tcBorders>
              <w:top w:val="nil"/>
              <w:left w:val="nil"/>
              <w:bottom w:val="nil"/>
              <w:right w:val="nil"/>
            </w:tcBorders>
            <w:noWrap/>
          </w:tcPr>
          <w:p>
            <w:pPr>
              <w:pStyle w:val="yTableNAm"/>
            </w:pPr>
            <w:r>
              <w:t>Dongara/Denison</w:t>
            </w:r>
          </w:p>
        </w:tc>
        <w:tc>
          <w:tcPr>
            <w:tcW w:w="1810" w:type="dxa"/>
            <w:tcBorders>
              <w:top w:val="nil"/>
              <w:left w:val="nil"/>
              <w:bottom w:val="nil"/>
              <w:right w:val="nil"/>
            </w:tcBorders>
            <w:noWrap/>
          </w:tcPr>
          <w:p>
            <w:pPr>
              <w:pStyle w:val="yTableNAm"/>
              <w:jc w:val="center"/>
            </w:pPr>
            <w:r>
              <w:t>16.541</w:t>
            </w:r>
          </w:p>
        </w:tc>
        <w:tc>
          <w:tcPr>
            <w:tcW w:w="2160" w:type="dxa"/>
            <w:tcBorders>
              <w:top w:val="nil"/>
              <w:left w:val="nil"/>
              <w:bottom w:val="nil"/>
              <w:right w:val="nil"/>
            </w:tcBorders>
            <w:noWrap/>
          </w:tcPr>
          <w:p>
            <w:pPr>
              <w:pStyle w:val="yTableNAm"/>
              <w:jc w:val="center"/>
            </w:pPr>
            <w:r>
              <w:t>30.024</w:t>
            </w:r>
          </w:p>
        </w:tc>
      </w:tr>
      <w:tr>
        <w:tc>
          <w:tcPr>
            <w:tcW w:w="2159" w:type="dxa"/>
            <w:tcBorders>
              <w:top w:val="nil"/>
              <w:left w:val="nil"/>
              <w:bottom w:val="nil"/>
              <w:right w:val="nil"/>
            </w:tcBorders>
            <w:noWrap/>
          </w:tcPr>
          <w:p>
            <w:pPr>
              <w:pStyle w:val="yTableNAm"/>
            </w:pPr>
            <w:r>
              <w:t>Donnybrook</w:t>
            </w:r>
          </w:p>
        </w:tc>
        <w:tc>
          <w:tcPr>
            <w:tcW w:w="1810" w:type="dxa"/>
            <w:tcBorders>
              <w:top w:val="nil"/>
              <w:left w:val="nil"/>
              <w:bottom w:val="nil"/>
              <w:right w:val="nil"/>
            </w:tcBorders>
            <w:noWrap/>
          </w:tcPr>
          <w:p>
            <w:pPr>
              <w:pStyle w:val="yTableNAm"/>
              <w:jc w:val="center"/>
            </w:pPr>
            <w:r>
              <w:t>35.073</w:t>
            </w:r>
          </w:p>
        </w:tc>
        <w:tc>
          <w:tcPr>
            <w:tcW w:w="2160" w:type="dxa"/>
            <w:tcBorders>
              <w:top w:val="nil"/>
              <w:left w:val="nil"/>
              <w:bottom w:val="nil"/>
              <w:right w:val="nil"/>
            </w:tcBorders>
            <w:noWrap/>
          </w:tcPr>
          <w:p>
            <w:pPr>
              <w:pStyle w:val="yTableNAm"/>
              <w:jc w:val="center"/>
            </w:pPr>
            <w:r>
              <w:t>90.955</w:t>
            </w:r>
          </w:p>
        </w:tc>
      </w:tr>
      <w:tr>
        <w:tc>
          <w:tcPr>
            <w:tcW w:w="2159" w:type="dxa"/>
            <w:tcBorders>
              <w:top w:val="nil"/>
              <w:left w:val="nil"/>
              <w:bottom w:val="nil"/>
              <w:right w:val="nil"/>
            </w:tcBorders>
            <w:noWrap/>
          </w:tcPr>
          <w:p>
            <w:pPr>
              <w:pStyle w:val="yTableNAm"/>
            </w:pPr>
            <w:r>
              <w:t>Dunsborough</w:t>
            </w:r>
          </w:p>
        </w:tc>
        <w:tc>
          <w:tcPr>
            <w:tcW w:w="1810" w:type="dxa"/>
            <w:tcBorders>
              <w:top w:val="nil"/>
              <w:left w:val="nil"/>
              <w:bottom w:val="nil"/>
              <w:right w:val="nil"/>
            </w:tcBorders>
            <w:noWrap/>
          </w:tcPr>
          <w:p>
            <w:pPr>
              <w:pStyle w:val="yTableNAm"/>
              <w:jc w:val="center"/>
            </w:pPr>
            <w:r>
              <w:t>6.731</w:t>
            </w:r>
          </w:p>
        </w:tc>
        <w:tc>
          <w:tcPr>
            <w:tcW w:w="2160" w:type="dxa"/>
            <w:tcBorders>
              <w:top w:val="nil"/>
              <w:left w:val="nil"/>
              <w:bottom w:val="nil"/>
              <w:right w:val="nil"/>
            </w:tcBorders>
            <w:noWrap/>
          </w:tcPr>
          <w:p>
            <w:pPr>
              <w:pStyle w:val="yTableNAm"/>
              <w:jc w:val="center"/>
            </w:pPr>
            <w:r>
              <w:t>4.695</w:t>
            </w:r>
          </w:p>
        </w:tc>
      </w:tr>
      <w:tr>
        <w:tc>
          <w:tcPr>
            <w:tcW w:w="2159" w:type="dxa"/>
            <w:tcBorders>
              <w:top w:val="nil"/>
              <w:left w:val="nil"/>
              <w:bottom w:val="nil"/>
              <w:right w:val="nil"/>
            </w:tcBorders>
            <w:noWrap/>
          </w:tcPr>
          <w:p>
            <w:pPr>
              <w:pStyle w:val="yTableNAm"/>
            </w:pPr>
            <w:r>
              <w:t>Eaton</w:t>
            </w:r>
          </w:p>
        </w:tc>
        <w:tc>
          <w:tcPr>
            <w:tcW w:w="1810" w:type="dxa"/>
            <w:tcBorders>
              <w:top w:val="nil"/>
              <w:left w:val="nil"/>
              <w:bottom w:val="nil"/>
              <w:right w:val="nil"/>
            </w:tcBorders>
            <w:noWrap/>
          </w:tcPr>
          <w:p>
            <w:pPr>
              <w:pStyle w:val="yTableNAm"/>
              <w:jc w:val="center"/>
            </w:pPr>
            <w:r>
              <w:t>7.955</w:t>
            </w:r>
          </w:p>
        </w:tc>
        <w:tc>
          <w:tcPr>
            <w:tcW w:w="2160" w:type="dxa"/>
            <w:tcBorders>
              <w:top w:val="nil"/>
              <w:left w:val="nil"/>
              <w:bottom w:val="nil"/>
              <w:right w:val="nil"/>
            </w:tcBorders>
            <w:noWrap/>
          </w:tcPr>
          <w:p>
            <w:pPr>
              <w:pStyle w:val="yTableNAm"/>
              <w:jc w:val="center"/>
            </w:pPr>
            <w:r>
              <w:t>8.553</w:t>
            </w:r>
          </w:p>
        </w:tc>
      </w:tr>
      <w:tr>
        <w:tc>
          <w:tcPr>
            <w:tcW w:w="2159" w:type="dxa"/>
            <w:tcBorders>
              <w:top w:val="nil"/>
              <w:left w:val="nil"/>
              <w:bottom w:val="nil"/>
              <w:right w:val="nil"/>
            </w:tcBorders>
            <w:noWrap/>
          </w:tcPr>
          <w:p>
            <w:pPr>
              <w:pStyle w:val="yTableNAm"/>
            </w:pPr>
            <w:r>
              <w:t>Eneabba</w:t>
            </w:r>
          </w:p>
        </w:tc>
        <w:tc>
          <w:tcPr>
            <w:tcW w:w="1810" w:type="dxa"/>
            <w:tcBorders>
              <w:top w:val="nil"/>
              <w:left w:val="nil"/>
              <w:bottom w:val="nil"/>
              <w:right w:val="nil"/>
            </w:tcBorders>
            <w:noWrap/>
          </w:tcPr>
          <w:p>
            <w:pPr>
              <w:pStyle w:val="yTableNAm"/>
              <w:jc w:val="center"/>
            </w:pPr>
            <w:r>
              <w:t>34.140</w:t>
            </w:r>
          </w:p>
        </w:tc>
        <w:tc>
          <w:tcPr>
            <w:tcW w:w="2160" w:type="dxa"/>
            <w:tcBorders>
              <w:top w:val="nil"/>
              <w:left w:val="nil"/>
              <w:bottom w:val="nil"/>
              <w:right w:val="nil"/>
            </w:tcBorders>
            <w:noWrap/>
          </w:tcPr>
          <w:p>
            <w:pPr>
              <w:pStyle w:val="yTableNAm"/>
              <w:jc w:val="center"/>
            </w:pPr>
            <w:r>
              <w:t>244.183</w:t>
            </w:r>
          </w:p>
        </w:tc>
      </w:tr>
      <w:tr>
        <w:tc>
          <w:tcPr>
            <w:tcW w:w="2159" w:type="dxa"/>
            <w:tcBorders>
              <w:top w:val="nil"/>
              <w:left w:val="nil"/>
              <w:bottom w:val="nil"/>
              <w:right w:val="nil"/>
            </w:tcBorders>
            <w:noWrap/>
          </w:tcPr>
          <w:p>
            <w:pPr>
              <w:pStyle w:val="yTableNAm"/>
            </w:pPr>
            <w:r>
              <w:t>Esperance</w:t>
            </w:r>
          </w:p>
        </w:tc>
        <w:tc>
          <w:tcPr>
            <w:tcW w:w="1810" w:type="dxa"/>
            <w:tcBorders>
              <w:top w:val="nil"/>
              <w:left w:val="nil"/>
              <w:bottom w:val="nil"/>
              <w:right w:val="nil"/>
            </w:tcBorders>
            <w:noWrap/>
          </w:tcPr>
          <w:p>
            <w:pPr>
              <w:pStyle w:val="yTableNAm"/>
              <w:jc w:val="center"/>
            </w:pPr>
            <w:r>
              <w:t>9.402</w:t>
            </w:r>
          </w:p>
        </w:tc>
        <w:tc>
          <w:tcPr>
            <w:tcW w:w="2160" w:type="dxa"/>
            <w:tcBorders>
              <w:top w:val="nil"/>
              <w:left w:val="nil"/>
              <w:bottom w:val="nil"/>
              <w:right w:val="nil"/>
            </w:tcBorders>
            <w:noWrap/>
          </w:tcPr>
          <w:p>
            <w:pPr>
              <w:pStyle w:val="yTableNAm"/>
              <w:jc w:val="center"/>
            </w:pPr>
            <w:r>
              <w:t>14.148</w:t>
            </w:r>
          </w:p>
        </w:tc>
      </w:tr>
      <w:tr>
        <w:tc>
          <w:tcPr>
            <w:tcW w:w="2159" w:type="dxa"/>
            <w:tcBorders>
              <w:top w:val="nil"/>
              <w:left w:val="nil"/>
              <w:bottom w:val="nil"/>
              <w:right w:val="nil"/>
            </w:tcBorders>
            <w:noWrap/>
          </w:tcPr>
          <w:p>
            <w:pPr>
              <w:pStyle w:val="yTableNAm"/>
            </w:pPr>
            <w:r>
              <w:t>Exmouth</w:t>
            </w:r>
          </w:p>
        </w:tc>
        <w:tc>
          <w:tcPr>
            <w:tcW w:w="1810" w:type="dxa"/>
            <w:tcBorders>
              <w:top w:val="nil"/>
              <w:left w:val="nil"/>
              <w:bottom w:val="nil"/>
              <w:right w:val="nil"/>
            </w:tcBorders>
            <w:noWrap/>
          </w:tcPr>
          <w:p>
            <w:pPr>
              <w:pStyle w:val="yTableNAm"/>
              <w:jc w:val="center"/>
            </w:pPr>
            <w:r>
              <w:t>3.099</w:t>
            </w:r>
          </w:p>
        </w:tc>
        <w:tc>
          <w:tcPr>
            <w:tcW w:w="2160" w:type="dxa"/>
            <w:tcBorders>
              <w:top w:val="nil"/>
              <w:left w:val="nil"/>
              <w:bottom w:val="nil"/>
              <w:right w:val="nil"/>
            </w:tcBorders>
            <w:noWrap/>
          </w:tcPr>
          <w:p>
            <w:pPr>
              <w:pStyle w:val="yTableNAm"/>
              <w:jc w:val="center"/>
            </w:pPr>
            <w:r>
              <w:t>5.531</w:t>
            </w:r>
          </w:p>
        </w:tc>
      </w:tr>
      <w:tr>
        <w:tc>
          <w:tcPr>
            <w:tcW w:w="2159" w:type="dxa"/>
            <w:tcBorders>
              <w:top w:val="nil"/>
              <w:left w:val="nil"/>
              <w:bottom w:val="nil"/>
              <w:right w:val="nil"/>
            </w:tcBorders>
            <w:noWrap/>
          </w:tcPr>
          <w:p>
            <w:pPr>
              <w:pStyle w:val="yTableNAm"/>
            </w:pPr>
            <w:r>
              <w:t>Fitzroy Crossing</w:t>
            </w:r>
          </w:p>
        </w:tc>
        <w:tc>
          <w:tcPr>
            <w:tcW w:w="1810" w:type="dxa"/>
            <w:tcBorders>
              <w:top w:val="nil"/>
              <w:left w:val="nil"/>
              <w:bottom w:val="nil"/>
              <w:right w:val="nil"/>
            </w:tcBorders>
            <w:noWrap/>
          </w:tcPr>
          <w:p>
            <w:pPr>
              <w:pStyle w:val="yTableNAm"/>
              <w:jc w:val="center"/>
            </w:pPr>
            <w:r>
              <w:t>8.577</w:t>
            </w:r>
          </w:p>
        </w:tc>
        <w:tc>
          <w:tcPr>
            <w:tcW w:w="2160" w:type="dxa"/>
            <w:tcBorders>
              <w:top w:val="nil"/>
              <w:left w:val="nil"/>
              <w:bottom w:val="nil"/>
              <w:right w:val="nil"/>
            </w:tcBorders>
            <w:noWrap/>
          </w:tcPr>
          <w:p>
            <w:pPr>
              <w:pStyle w:val="yTableNAm"/>
              <w:jc w:val="center"/>
            </w:pPr>
            <w:r>
              <w:t>15.355</w:t>
            </w:r>
          </w:p>
        </w:tc>
      </w:tr>
      <w:tr>
        <w:tc>
          <w:tcPr>
            <w:tcW w:w="2159" w:type="dxa"/>
            <w:tcBorders>
              <w:top w:val="nil"/>
              <w:left w:val="nil"/>
              <w:bottom w:val="nil"/>
              <w:right w:val="nil"/>
            </w:tcBorders>
            <w:noWrap/>
          </w:tcPr>
          <w:p>
            <w:pPr>
              <w:pStyle w:val="yTableNAm"/>
            </w:pPr>
            <w:r>
              <w:t>Geraldton</w:t>
            </w:r>
          </w:p>
        </w:tc>
        <w:tc>
          <w:tcPr>
            <w:tcW w:w="1810" w:type="dxa"/>
            <w:tcBorders>
              <w:top w:val="nil"/>
              <w:left w:val="nil"/>
              <w:bottom w:val="nil"/>
              <w:right w:val="nil"/>
            </w:tcBorders>
            <w:noWrap/>
          </w:tcPr>
          <w:p>
            <w:pPr>
              <w:pStyle w:val="yTableNAm"/>
              <w:jc w:val="center"/>
            </w:pPr>
            <w:r>
              <w:t>10.742</w:t>
            </w:r>
          </w:p>
        </w:tc>
        <w:tc>
          <w:tcPr>
            <w:tcW w:w="2160" w:type="dxa"/>
            <w:tcBorders>
              <w:top w:val="nil"/>
              <w:left w:val="nil"/>
              <w:bottom w:val="nil"/>
              <w:right w:val="nil"/>
            </w:tcBorders>
            <w:noWrap/>
          </w:tcPr>
          <w:p>
            <w:pPr>
              <w:pStyle w:val="yTableNAm"/>
              <w:jc w:val="center"/>
            </w:pPr>
            <w:r>
              <w:t>15.472</w:t>
            </w:r>
          </w:p>
        </w:tc>
      </w:tr>
      <w:tr>
        <w:tc>
          <w:tcPr>
            <w:tcW w:w="2159" w:type="dxa"/>
            <w:tcBorders>
              <w:top w:val="nil"/>
              <w:left w:val="nil"/>
              <w:bottom w:val="nil"/>
              <w:right w:val="nil"/>
            </w:tcBorders>
            <w:noWrap/>
          </w:tcPr>
          <w:p>
            <w:pPr>
              <w:pStyle w:val="yTableNAm"/>
            </w:pPr>
            <w:r>
              <w:t>Gnowangerup</w:t>
            </w:r>
          </w:p>
        </w:tc>
        <w:tc>
          <w:tcPr>
            <w:tcW w:w="1810" w:type="dxa"/>
            <w:tcBorders>
              <w:top w:val="nil"/>
              <w:left w:val="nil"/>
              <w:bottom w:val="nil"/>
              <w:right w:val="nil"/>
            </w:tcBorders>
            <w:noWrap/>
          </w:tcPr>
          <w:p>
            <w:pPr>
              <w:pStyle w:val="yTableNAm"/>
              <w:jc w:val="center"/>
            </w:pPr>
            <w:r>
              <w:t>17.139</w:t>
            </w:r>
          </w:p>
        </w:tc>
        <w:tc>
          <w:tcPr>
            <w:tcW w:w="2160" w:type="dxa"/>
            <w:tcBorders>
              <w:top w:val="nil"/>
              <w:left w:val="nil"/>
              <w:bottom w:val="nil"/>
              <w:right w:val="nil"/>
            </w:tcBorders>
            <w:noWrap/>
          </w:tcPr>
          <w:p>
            <w:pPr>
              <w:pStyle w:val="yTableNAm"/>
              <w:jc w:val="center"/>
            </w:pPr>
            <w:r>
              <w:t>47.392</w:t>
            </w:r>
          </w:p>
        </w:tc>
      </w:tr>
      <w:tr>
        <w:tc>
          <w:tcPr>
            <w:tcW w:w="2159" w:type="dxa"/>
            <w:tcBorders>
              <w:top w:val="nil"/>
              <w:left w:val="nil"/>
              <w:bottom w:val="nil"/>
              <w:right w:val="nil"/>
            </w:tcBorders>
            <w:noWrap/>
          </w:tcPr>
          <w:p>
            <w:pPr>
              <w:pStyle w:val="yTableNAm"/>
            </w:pPr>
            <w:r>
              <w:t>Greenhead</w:t>
            </w:r>
          </w:p>
        </w:tc>
        <w:tc>
          <w:tcPr>
            <w:tcW w:w="1810" w:type="dxa"/>
            <w:tcBorders>
              <w:top w:val="nil"/>
              <w:left w:val="nil"/>
              <w:bottom w:val="nil"/>
              <w:right w:val="nil"/>
            </w:tcBorders>
            <w:noWrap/>
          </w:tcPr>
          <w:p>
            <w:pPr>
              <w:pStyle w:val="yTableNAm"/>
              <w:jc w:val="center"/>
            </w:pPr>
            <w:r>
              <w:t>8.775</w:t>
            </w:r>
          </w:p>
        </w:tc>
        <w:tc>
          <w:tcPr>
            <w:tcW w:w="2160" w:type="dxa"/>
            <w:tcBorders>
              <w:top w:val="nil"/>
              <w:left w:val="nil"/>
              <w:bottom w:val="nil"/>
              <w:right w:val="nil"/>
            </w:tcBorders>
            <w:noWrap/>
          </w:tcPr>
          <w:p>
            <w:pPr>
              <w:pStyle w:val="yTableNAm"/>
              <w:jc w:val="center"/>
            </w:pPr>
            <w:r>
              <w:t>19.976</w:t>
            </w:r>
          </w:p>
        </w:tc>
      </w:tr>
      <w:tr>
        <w:tc>
          <w:tcPr>
            <w:tcW w:w="2159" w:type="dxa"/>
            <w:tcBorders>
              <w:top w:val="nil"/>
              <w:left w:val="nil"/>
              <w:bottom w:val="nil"/>
              <w:right w:val="nil"/>
            </w:tcBorders>
            <w:noWrap/>
          </w:tcPr>
          <w:p>
            <w:pPr>
              <w:pStyle w:val="yTableNAm"/>
            </w:pPr>
            <w:r>
              <w:t>Halls Creek</w:t>
            </w:r>
          </w:p>
        </w:tc>
        <w:tc>
          <w:tcPr>
            <w:tcW w:w="1810" w:type="dxa"/>
            <w:tcBorders>
              <w:top w:val="nil"/>
              <w:left w:val="nil"/>
              <w:bottom w:val="nil"/>
              <w:right w:val="nil"/>
            </w:tcBorders>
            <w:noWrap/>
          </w:tcPr>
          <w:p>
            <w:pPr>
              <w:pStyle w:val="yTableNAm"/>
              <w:jc w:val="center"/>
            </w:pPr>
            <w:r>
              <w:t>14.649</w:t>
            </w:r>
          </w:p>
        </w:tc>
        <w:tc>
          <w:tcPr>
            <w:tcW w:w="2160" w:type="dxa"/>
            <w:tcBorders>
              <w:top w:val="nil"/>
              <w:left w:val="nil"/>
              <w:bottom w:val="nil"/>
              <w:right w:val="nil"/>
            </w:tcBorders>
            <w:noWrap/>
          </w:tcPr>
          <w:p>
            <w:pPr>
              <w:pStyle w:val="yTableNAm"/>
              <w:jc w:val="center"/>
            </w:pPr>
            <w:r>
              <w:t>77.887</w:t>
            </w:r>
          </w:p>
        </w:tc>
      </w:tr>
      <w:tr>
        <w:tc>
          <w:tcPr>
            <w:tcW w:w="2159" w:type="dxa"/>
            <w:tcBorders>
              <w:top w:val="nil"/>
              <w:left w:val="nil"/>
              <w:bottom w:val="nil"/>
              <w:right w:val="nil"/>
            </w:tcBorders>
            <w:noWrap/>
          </w:tcPr>
          <w:p>
            <w:pPr>
              <w:pStyle w:val="yTableNAm"/>
            </w:pPr>
            <w:r>
              <w:t>Harvey</w:t>
            </w:r>
          </w:p>
        </w:tc>
        <w:tc>
          <w:tcPr>
            <w:tcW w:w="1810" w:type="dxa"/>
            <w:tcBorders>
              <w:top w:val="nil"/>
              <w:left w:val="nil"/>
              <w:bottom w:val="nil"/>
              <w:right w:val="nil"/>
            </w:tcBorders>
            <w:noWrap/>
          </w:tcPr>
          <w:p>
            <w:pPr>
              <w:pStyle w:val="yTableNAm"/>
              <w:jc w:val="center"/>
            </w:pPr>
            <w:r>
              <w:t>10.220</w:t>
            </w:r>
          </w:p>
        </w:tc>
        <w:tc>
          <w:tcPr>
            <w:tcW w:w="2160" w:type="dxa"/>
            <w:tcBorders>
              <w:top w:val="nil"/>
              <w:left w:val="nil"/>
              <w:bottom w:val="nil"/>
              <w:right w:val="nil"/>
            </w:tcBorders>
            <w:noWrap/>
          </w:tcPr>
          <w:p>
            <w:pPr>
              <w:pStyle w:val="yTableNAm"/>
              <w:jc w:val="center"/>
            </w:pPr>
            <w:r>
              <w:t>16.444</w:t>
            </w:r>
          </w:p>
        </w:tc>
      </w:tr>
      <w:tr>
        <w:tc>
          <w:tcPr>
            <w:tcW w:w="2159" w:type="dxa"/>
            <w:tcBorders>
              <w:top w:val="nil"/>
              <w:left w:val="nil"/>
              <w:bottom w:val="nil"/>
              <w:right w:val="nil"/>
            </w:tcBorders>
            <w:noWrap/>
          </w:tcPr>
          <w:p>
            <w:pPr>
              <w:pStyle w:val="yTableNAm"/>
            </w:pPr>
            <w:r>
              <w:t>Hopetoun</w:t>
            </w:r>
          </w:p>
        </w:tc>
        <w:tc>
          <w:tcPr>
            <w:tcW w:w="1810" w:type="dxa"/>
            <w:tcBorders>
              <w:top w:val="nil"/>
              <w:left w:val="nil"/>
              <w:bottom w:val="nil"/>
              <w:right w:val="nil"/>
            </w:tcBorders>
            <w:noWrap/>
          </w:tcPr>
          <w:p>
            <w:pPr>
              <w:pStyle w:val="yTableNAm"/>
              <w:jc w:val="center"/>
            </w:pPr>
            <w:r>
              <w:t>54.890</w:t>
            </w:r>
          </w:p>
        </w:tc>
        <w:tc>
          <w:tcPr>
            <w:tcW w:w="2160" w:type="dxa"/>
            <w:tcBorders>
              <w:top w:val="nil"/>
              <w:left w:val="nil"/>
              <w:bottom w:val="nil"/>
              <w:right w:val="nil"/>
            </w:tcBorders>
            <w:noWrap/>
          </w:tcPr>
          <w:p>
            <w:pPr>
              <w:pStyle w:val="yTableNAm"/>
              <w:jc w:val="center"/>
            </w:pPr>
            <w:r>
              <w:t>110.640</w:t>
            </w:r>
          </w:p>
        </w:tc>
      </w:tr>
      <w:tr>
        <w:tc>
          <w:tcPr>
            <w:tcW w:w="2159" w:type="dxa"/>
            <w:tcBorders>
              <w:top w:val="nil"/>
              <w:left w:val="nil"/>
              <w:bottom w:val="nil"/>
              <w:right w:val="nil"/>
            </w:tcBorders>
            <w:noWrap/>
          </w:tcPr>
          <w:p>
            <w:pPr>
              <w:pStyle w:val="yTableNAm"/>
            </w:pPr>
            <w:r>
              <w:lastRenderedPageBreak/>
              <w:t>Horrocks</w:t>
            </w:r>
          </w:p>
        </w:tc>
        <w:tc>
          <w:tcPr>
            <w:tcW w:w="1810" w:type="dxa"/>
            <w:tcBorders>
              <w:top w:val="nil"/>
              <w:left w:val="nil"/>
              <w:bottom w:val="nil"/>
              <w:right w:val="nil"/>
            </w:tcBorders>
            <w:noWrap/>
          </w:tcPr>
          <w:p>
            <w:pPr>
              <w:pStyle w:val="yTableNAm"/>
              <w:jc w:val="center"/>
            </w:pPr>
            <w:r>
              <w:t>25.415</w:t>
            </w:r>
          </w:p>
        </w:tc>
        <w:tc>
          <w:tcPr>
            <w:tcW w:w="2160" w:type="dxa"/>
            <w:tcBorders>
              <w:top w:val="nil"/>
              <w:left w:val="nil"/>
              <w:bottom w:val="nil"/>
              <w:right w:val="nil"/>
            </w:tcBorders>
            <w:noWrap/>
          </w:tcPr>
          <w:p>
            <w:pPr>
              <w:pStyle w:val="yTableNAm"/>
              <w:jc w:val="center"/>
            </w:pPr>
            <w:r>
              <w:t>43.321</w:t>
            </w:r>
          </w:p>
        </w:tc>
      </w:tr>
      <w:tr>
        <w:tc>
          <w:tcPr>
            <w:tcW w:w="2159" w:type="dxa"/>
            <w:tcBorders>
              <w:top w:val="nil"/>
              <w:left w:val="nil"/>
              <w:bottom w:val="nil"/>
              <w:right w:val="nil"/>
            </w:tcBorders>
            <w:noWrap/>
          </w:tcPr>
          <w:p>
            <w:pPr>
              <w:pStyle w:val="yTableNAm"/>
            </w:pPr>
            <w:r>
              <w:t>Hyden</w:t>
            </w:r>
          </w:p>
        </w:tc>
        <w:tc>
          <w:tcPr>
            <w:tcW w:w="1810" w:type="dxa"/>
            <w:tcBorders>
              <w:top w:val="nil"/>
              <w:left w:val="nil"/>
              <w:bottom w:val="nil"/>
              <w:right w:val="nil"/>
            </w:tcBorders>
            <w:noWrap/>
          </w:tcPr>
          <w:p>
            <w:pPr>
              <w:pStyle w:val="yTableNAm"/>
              <w:jc w:val="center"/>
            </w:pPr>
            <w:r>
              <w:t>91.112</w:t>
            </w:r>
          </w:p>
        </w:tc>
        <w:tc>
          <w:tcPr>
            <w:tcW w:w="2160" w:type="dxa"/>
            <w:tcBorders>
              <w:top w:val="nil"/>
              <w:left w:val="nil"/>
              <w:bottom w:val="nil"/>
              <w:right w:val="nil"/>
            </w:tcBorders>
            <w:noWrap/>
          </w:tcPr>
          <w:p>
            <w:pPr>
              <w:pStyle w:val="yTableNAm"/>
              <w:jc w:val="center"/>
            </w:pPr>
            <w:r>
              <w:t>281.895</w:t>
            </w:r>
          </w:p>
        </w:tc>
      </w:tr>
      <w:tr>
        <w:tc>
          <w:tcPr>
            <w:tcW w:w="2159" w:type="dxa"/>
            <w:tcBorders>
              <w:top w:val="nil"/>
              <w:left w:val="nil"/>
              <w:bottom w:val="nil"/>
              <w:right w:val="nil"/>
            </w:tcBorders>
            <w:noWrap/>
          </w:tcPr>
          <w:p>
            <w:pPr>
              <w:pStyle w:val="yTableNAm"/>
            </w:pPr>
            <w:r>
              <w:t>Jurien</w:t>
            </w:r>
          </w:p>
        </w:tc>
        <w:tc>
          <w:tcPr>
            <w:tcW w:w="1810" w:type="dxa"/>
            <w:tcBorders>
              <w:top w:val="nil"/>
              <w:left w:val="nil"/>
              <w:bottom w:val="nil"/>
              <w:right w:val="nil"/>
            </w:tcBorders>
            <w:noWrap/>
          </w:tcPr>
          <w:p>
            <w:pPr>
              <w:pStyle w:val="yTableNAm"/>
              <w:jc w:val="center"/>
            </w:pPr>
            <w:r>
              <w:t>4.461</w:t>
            </w:r>
          </w:p>
        </w:tc>
        <w:tc>
          <w:tcPr>
            <w:tcW w:w="2160" w:type="dxa"/>
            <w:tcBorders>
              <w:top w:val="nil"/>
              <w:left w:val="nil"/>
              <w:bottom w:val="nil"/>
              <w:right w:val="nil"/>
            </w:tcBorders>
            <w:noWrap/>
          </w:tcPr>
          <w:p>
            <w:pPr>
              <w:pStyle w:val="yTableNAm"/>
              <w:jc w:val="center"/>
            </w:pPr>
            <w:r>
              <w:t>10.511</w:t>
            </w:r>
          </w:p>
        </w:tc>
      </w:tr>
      <w:tr>
        <w:tc>
          <w:tcPr>
            <w:tcW w:w="2159" w:type="dxa"/>
            <w:tcBorders>
              <w:top w:val="nil"/>
              <w:left w:val="nil"/>
              <w:bottom w:val="nil"/>
              <w:right w:val="nil"/>
            </w:tcBorders>
            <w:noWrap/>
          </w:tcPr>
          <w:p>
            <w:pPr>
              <w:pStyle w:val="yTableNAm"/>
            </w:pPr>
            <w:r>
              <w:t>Kalbarri</w:t>
            </w:r>
          </w:p>
        </w:tc>
        <w:tc>
          <w:tcPr>
            <w:tcW w:w="1810" w:type="dxa"/>
            <w:tcBorders>
              <w:top w:val="nil"/>
              <w:left w:val="nil"/>
              <w:bottom w:val="nil"/>
              <w:right w:val="nil"/>
            </w:tcBorders>
            <w:noWrap/>
          </w:tcPr>
          <w:p>
            <w:pPr>
              <w:pStyle w:val="yTableNAm"/>
              <w:jc w:val="center"/>
            </w:pPr>
            <w:r>
              <w:t>10.880</w:t>
            </w:r>
          </w:p>
        </w:tc>
        <w:tc>
          <w:tcPr>
            <w:tcW w:w="2160" w:type="dxa"/>
            <w:tcBorders>
              <w:top w:val="nil"/>
              <w:left w:val="nil"/>
              <w:bottom w:val="nil"/>
              <w:right w:val="nil"/>
            </w:tcBorders>
            <w:noWrap/>
          </w:tcPr>
          <w:p>
            <w:pPr>
              <w:pStyle w:val="yTableNAm"/>
              <w:jc w:val="center"/>
            </w:pPr>
            <w:r>
              <w:t>22.082</w:t>
            </w:r>
          </w:p>
        </w:tc>
      </w:tr>
      <w:tr>
        <w:tc>
          <w:tcPr>
            <w:tcW w:w="2159" w:type="dxa"/>
            <w:tcBorders>
              <w:top w:val="nil"/>
              <w:left w:val="nil"/>
              <w:bottom w:val="nil"/>
              <w:right w:val="nil"/>
            </w:tcBorders>
            <w:noWrap/>
          </w:tcPr>
          <w:p>
            <w:pPr>
              <w:pStyle w:val="yTableNAm"/>
            </w:pPr>
            <w:r>
              <w:t>Kambalda</w:t>
            </w:r>
          </w:p>
        </w:tc>
        <w:tc>
          <w:tcPr>
            <w:tcW w:w="1810" w:type="dxa"/>
            <w:tcBorders>
              <w:top w:val="nil"/>
              <w:left w:val="nil"/>
              <w:bottom w:val="nil"/>
              <w:right w:val="nil"/>
            </w:tcBorders>
            <w:noWrap/>
          </w:tcPr>
          <w:p>
            <w:pPr>
              <w:pStyle w:val="yTableNAm"/>
              <w:jc w:val="center"/>
            </w:pPr>
            <w:r>
              <w:t>7.455</w:t>
            </w:r>
          </w:p>
        </w:tc>
        <w:tc>
          <w:tcPr>
            <w:tcW w:w="2160" w:type="dxa"/>
            <w:tcBorders>
              <w:top w:val="nil"/>
              <w:left w:val="nil"/>
              <w:bottom w:val="nil"/>
              <w:right w:val="nil"/>
            </w:tcBorders>
            <w:noWrap/>
          </w:tcPr>
          <w:p>
            <w:pPr>
              <w:pStyle w:val="yTableNAm"/>
              <w:jc w:val="center"/>
            </w:pPr>
            <w:r>
              <w:t>57.008</w:t>
            </w:r>
          </w:p>
        </w:tc>
      </w:tr>
      <w:tr>
        <w:tc>
          <w:tcPr>
            <w:tcW w:w="2159" w:type="dxa"/>
            <w:tcBorders>
              <w:top w:val="nil"/>
              <w:left w:val="nil"/>
              <w:bottom w:val="nil"/>
              <w:right w:val="nil"/>
            </w:tcBorders>
            <w:noWrap/>
          </w:tcPr>
          <w:p>
            <w:pPr>
              <w:pStyle w:val="yTableNAm"/>
            </w:pPr>
            <w:r>
              <w:t>Karratha</w:t>
            </w:r>
          </w:p>
        </w:tc>
        <w:tc>
          <w:tcPr>
            <w:tcW w:w="1810" w:type="dxa"/>
            <w:tcBorders>
              <w:top w:val="nil"/>
              <w:left w:val="nil"/>
              <w:bottom w:val="nil"/>
              <w:right w:val="nil"/>
            </w:tcBorders>
            <w:noWrap/>
          </w:tcPr>
          <w:p>
            <w:pPr>
              <w:pStyle w:val="yTableNAm"/>
              <w:jc w:val="center"/>
            </w:pPr>
            <w:r>
              <w:t>4.408</w:t>
            </w:r>
          </w:p>
        </w:tc>
        <w:tc>
          <w:tcPr>
            <w:tcW w:w="2160" w:type="dxa"/>
            <w:tcBorders>
              <w:top w:val="nil"/>
              <w:left w:val="nil"/>
              <w:bottom w:val="nil"/>
              <w:right w:val="nil"/>
            </w:tcBorders>
            <w:noWrap/>
          </w:tcPr>
          <w:p>
            <w:pPr>
              <w:pStyle w:val="yTableNAm"/>
              <w:jc w:val="center"/>
            </w:pPr>
            <w:r>
              <w:t>10.547</w:t>
            </w:r>
          </w:p>
        </w:tc>
      </w:tr>
      <w:tr>
        <w:tc>
          <w:tcPr>
            <w:tcW w:w="2159" w:type="dxa"/>
            <w:tcBorders>
              <w:top w:val="nil"/>
              <w:left w:val="nil"/>
              <w:bottom w:val="nil"/>
              <w:right w:val="nil"/>
            </w:tcBorders>
            <w:noWrap/>
          </w:tcPr>
          <w:p>
            <w:pPr>
              <w:pStyle w:val="yTableNAm"/>
            </w:pPr>
            <w:r>
              <w:t>Katanning</w:t>
            </w:r>
          </w:p>
        </w:tc>
        <w:tc>
          <w:tcPr>
            <w:tcW w:w="1810" w:type="dxa"/>
            <w:tcBorders>
              <w:top w:val="nil"/>
              <w:left w:val="nil"/>
              <w:bottom w:val="nil"/>
              <w:right w:val="nil"/>
            </w:tcBorders>
            <w:noWrap/>
          </w:tcPr>
          <w:p>
            <w:pPr>
              <w:pStyle w:val="yTableNAm"/>
              <w:jc w:val="center"/>
            </w:pPr>
            <w:r>
              <w:t>15.992</w:t>
            </w:r>
          </w:p>
        </w:tc>
        <w:tc>
          <w:tcPr>
            <w:tcW w:w="2160" w:type="dxa"/>
            <w:tcBorders>
              <w:top w:val="nil"/>
              <w:left w:val="nil"/>
              <w:bottom w:val="nil"/>
              <w:right w:val="nil"/>
            </w:tcBorders>
            <w:noWrap/>
          </w:tcPr>
          <w:p>
            <w:pPr>
              <w:pStyle w:val="yTableNAm"/>
              <w:jc w:val="center"/>
            </w:pPr>
            <w:r>
              <w:t>77.572</w:t>
            </w:r>
          </w:p>
        </w:tc>
      </w:tr>
      <w:tr>
        <w:tc>
          <w:tcPr>
            <w:tcW w:w="2159" w:type="dxa"/>
            <w:tcBorders>
              <w:top w:val="nil"/>
              <w:left w:val="nil"/>
              <w:bottom w:val="nil"/>
              <w:right w:val="nil"/>
            </w:tcBorders>
            <w:noWrap/>
          </w:tcPr>
          <w:p>
            <w:pPr>
              <w:pStyle w:val="yTableNAm"/>
            </w:pPr>
            <w:r>
              <w:t>Kellerberrin</w:t>
            </w:r>
          </w:p>
        </w:tc>
        <w:tc>
          <w:tcPr>
            <w:tcW w:w="1810" w:type="dxa"/>
            <w:tcBorders>
              <w:top w:val="nil"/>
              <w:left w:val="nil"/>
              <w:bottom w:val="nil"/>
              <w:right w:val="nil"/>
            </w:tcBorders>
            <w:noWrap/>
          </w:tcPr>
          <w:p>
            <w:pPr>
              <w:pStyle w:val="yTableNAm"/>
              <w:jc w:val="center"/>
            </w:pPr>
            <w:r>
              <w:t>30.618</w:t>
            </w:r>
          </w:p>
        </w:tc>
        <w:tc>
          <w:tcPr>
            <w:tcW w:w="2160" w:type="dxa"/>
            <w:tcBorders>
              <w:top w:val="nil"/>
              <w:left w:val="nil"/>
              <w:bottom w:val="nil"/>
              <w:right w:val="nil"/>
            </w:tcBorders>
            <w:noWrap/>
          </w:tcPr>
          <w:p>
            <w:pPr>
              <w:pStyle w:val="yTableNAm"/>
              <w:jc w:val="center"/>
            </w:pPr>
            <w:r>
              <w:t>274.928</w:t>
            </w:r>
          </w:p>
        </w:tc>
      </w:tr>
      <w:tr>
        <w:tc>
          <w:tcPr>
            <w:tcW w:w="2159" w:type="dxa"/>
            <w:tcBorders>
              <w:top w:val="nil"/>
              <w:left w:val="nil"/>
              <w:bottom w:val="nil"/>
              <w:right w:val="nil"/>
            </w:tcBorders>
            <w:noWrap/>
          </w:tcPr>
          <w:p>
            <w:pPr>
              <w:pStyle w:val="yTableNAm"/>
            </w:pPr>
            <w:r>
              <w:t>Kojonup</w:t>
            </w:r>
          </w:p>
        </w:tc>
        <w:tc>
          <w:tcPr>
            <w:tcW w:w="1810" w:type="dxa"/>
            <w:tcBorders>
              <w:top w:val="nil"/>
              <w:left w:val="nil"/>
              <w:bottom w:val="nil"/>
              <w:right w:val="nil"/>
            </w:tcBorders>
            <w:noWrap/>
          </w:tcPr>
          <w:p>
            <w:pPr>
              <w:pStyle w:val="yTableNAm"/>
              <w:jc w:val="center"/>
            </w:pPr>
            <w:r>
              <w:t>19.986</w:t>
            </w:r>
          </w:p>
        </w:tc>
        <w:tc>
          <w:tcPr>
            <w:tcW w:w="2160" w:type="dxa"/>
            <w:tcBorders>
              <w:top w:val="nil"/>
              <w:left w:val="nil"/>
              <w:bottom w:val="nil"/>
              <w:right w:val="nil"/>
            </w:tcBorders>
            <w:noWrap/>
          </w:tcPr>
          <w:p>
            <w:pPr>
              <w:pStyle w:val="yTableNAm"/>
              <w:jc w:val="center"/>
            </w:pPr>
            <w:r>
              <w:t>64.964</w:t>
            </w:r>
          </w:p>
        </w:tc>
      </w:tr>
      <w:tr>
        <w:tc>
          <w:tcPr>
            <w:tcW w:w="2159" w:type="dxa"/>
            <w:tcBorders>
              <w:top w:val="nil"/>
              <w:left w:val="nil"/>
              <w:bottom w:val="nil"/>
              <w:right w:val="nil"/>
            </w:tcBorders>
            <w:noWrap/>
          </w:tcPr>
          <w:p>
            <w:pPr>
              <w:pStyle w:val="yTableNAm"/>
            </w:pPr>
            <w:r>
              <w:t>Kulin</w:t>
            </w:r>
          </w:p>
        </w:tc>
        <w:tc>
          <w:tcPr>
            <w:tcW w:w="1810" w:type="dxa"/>
            <w:tcBorders>
              <w:top w:val="nil"/>
              <w:left w:val="nil"/>
              <w:bottom w:val="nil"/>
              <w:right w:val="nil"/>
            </w:tcBorders>
            <w:noWrap/>
          </w:tcPr>
          <w:p>
            <w:pPr>
              <w:pStyle w:val="yTableNAm"/>
              <w:jc w:val="center"/>
            </w:pPr>
            <w:r>
              <w:t>47.560</w:t>
            </w:r>
          </w:p>
        </w:tc>
        <w:tc>
          <w:tcPr>
            <w:tcW w:w="2160" w:type="dxa"/>
            <w:tcBorders>
              <w:top w:val="nil"/>
              <w:left w:val="nil"/>
              <w:bottom w:val="nil"/>
              <w:right w:val="nil"/>
            </w:tcBorders>
            <w:noWrap/>
          </w:tcPr>
          <w:p>
            <w:pPr>
              <w:pStyle w:val="yTableNAm"/>
              <w:jc w:val="center"/>
            </w:pPr>
            <w:r>
              <w:t>347.016</w:t>
            </w:r>
          </w:p>
        </w:tc>
      </w:tr>
      <w:tr>
        <w:tc>
          <w:tcPr>
            <w:tcW w:w="2159" w:type="dxa"/>
            <w:tcBorders>
              <w:top w:val="nil"/>
              <w:left w:val="nil"/>
              <w:bottom w:val="nil"/>
              <w:right w:val="nil"/>
            </w:tcBorders>
            <w:noWrap/>
          </w:tcPr>
          <w:p>
            <w:pPr>
              <w:pStyle w:val="yTableNAm"/>
            </w:pPr>
            <w:r>
              <w:t>Kununurra</w:t>
            </w:r>
          </w:p>
        </w:tc>
        <w:tc>
          <w:tcPr>
            <w:tcW w:w="1810" w:type="dxa"/>
            <w:tcBorders>
              <w:top w:val="nil"/>
              <w:left w:val="nil"/>
              <w:bottom w:val="nil"/>
              <w:right w:val="nil"/>
            </w:tcBorders>
            <w:noWrap/>
          </w:tcPr>
          <w:p>
            <w:pPr>
              <w:pStyle w:val="yTableNAm"/>
              <w:jc w:val="center"/>
            </w:pPr>
            <w:r>
              <w:t>8.399</w:t>
            </w:r>
          </w:p>
        </w:tc>
        <w:tc>
          <w:tcPr>
            <w:tcW w:w="2160" w:type="dxa"/>
            <w:tcBorders>
              <w:top w:val="nil"/>
              <w:left w:val="nil"/>
              <w:bottom w:val="nil"/>
              <w:right w:val="nil"/>
            </w:tcBorders>
            <w:noWrap/>
          </w:tcPr>
          <w:p>
            <w:pPr>
              <w:pStyle w:val="yTableNAm"/>
              <w:jc w:val="center"/>
            </w:pPr>
            <w:r>
              <w:t>16.713</w:t>
            </w:r>
          </w:p>
        </w:tc>
      </w:tr>
      <w:tr>
        <w:tc>
          <w:tcPr>
            <w:tcW w:w="2159" w:type="dxa"/>
            <w:tcBorders>
              <w:top w:val="nil"/>
              <w:left w:val="nil"/>
              <w:bottom w:val="nil"/>
              <w:right w:val="nil"/>
            </w:tcBorders>
            <w:noWrap/>
          </w:tcPr>
          <w:p>
            <w:pPr>
              <w:pStyle w:val="yTableNAm"/>
            </w:pPr>
            <w:r>
              <w:t>Lancelin</w:t>
            </w:r>
          </w:p>
        </w:tc>
        <w:tc>
          <w:tcPr>
            <w:tcW w:w="1810" w:type="dxa"/>
            <w:tcBorders>
              <w:top w:val="nil"/>
              <w:left w:val="nil"/>
              <w:bottom w:val="nil"/>
              <w:right w:val="nil"/>
            </w:tcBorders>
            <w:noWrap/>
          </w:tcPr>
          <w:p>
            <w:pPr>
              <w:pStyle w:val="yTableNAm"/>
              <w:jc w:val="center"/>
            </w:pPr>
            <w:r>
              <w:t>19.830</w:t>
            </w:r>
          </w:p>
        </w:tc>
        <w:tc>
          <w:tcPr>
            <w:tcW w:w="2160" w:type="dxa"/>
            <w:tcBorders>
              <w:top w:val="nil"/>
              <w:left w:val="nil"/>
              <w:bottom w:val="nil"/>
              <w:right w:val="nil"/>
            </w:tcBorders>
            <w:noWrap/>
          </w:tcPr>
          <w:p>
            <w:pPr>
              <w:pStyle w:val="yTableNAm"/>
              <w:jc w:val="center"/>
            </w:pPr>
            <w:r>
              <w:t>11.831</w:t>
            </w:r>
          </w:p>
        </w:tc>
      </w:tr>
      <w:tr>
        <w:tc>
          <w:tcPr>
            <w:tcW w:w="2159" w:type="dxa"/>
            <w:tcBorders>
              <w:top w:val="nil"/>
              <w:left w:val="nil"/>
              <w:bottom w:val="nil"/>
              <w:right w:val="nil"/>
            </w:tcBorders>
            <w:noWrap/>
          </w:tcPr>
          <w:p>
            <w:pPr>
              <w:pStyle w:val="yTableNAm"/>
            </w:pPr>
            <w:r>
              <w:t>Laverton</w:t>
            </w:r>
          </w:p>
        </w:tc>
        <w:tc>
          <w:tcPr>
            <w:tcW w:w="1810" w:type="dxa"/>
            <w:tcBorders>
              <w:top w:val="nil"/>
              <w:left w:val="nil"/>
              <w:bottom w:val="nil"/>
              <w:right w:val="nil"/>
            </w:tcBorders>
            <w:noWrap/>
          </w:tcPr>
          <w:p>
            <w:pPr>
              <w:pStyle w:val="yTableNAm"/>
              <w:jc w:val="center"/>
            </w:pPr>
            <w:r>
              <w:t>26.547</w:t>
            </w:r>
          </w:p>
        </w:tc>
        <w:tc>
          <w:tcPr>
            <w:tcW w:w="2160" w:type="dxa"/>
            <w:tcBorders>
              <w:top w:val="nil"/>
              <w:left w:val="nil"/>
              <w:bottom w:val="nil"/>
              <w:right w:val="nil"/>
            </w:tcBorders>
            <w:noWrap/>
          </w:tcPr>
          <w:p>
            <w:pPr>
              <w:pStyle w:val="yTableNAm"/>
              <w:jc w:val="center"/>
            </w:pPr>
            <w:r>
              <w:t>690.912</w:t>
            </w:r>
          </w:p>
        </w:tc>
      </w:tr>
      <w:tr>
        <w:tc>
          <w:tcPr>
            <w:tcW w:w="2159" w:type="dxa"/>
            <w:tcBorders>
              <w:top w:val="nil"/>
              <w:left w:val="nil"/>
              <w:bottom w:val="nil"/>
              <w:right w:val="nil"/>
            </w:tcBorders>
            <w:noWrap/>
          </w:tcPr>
          <w:p>
            <w:pPr>
              <w:pStyle w:val="yTableNAm"/>
            </w:pPr>
            <w:r>
              <w:t>Ledge Point</w:t>
            </w:r>
          </w:p>
        </w:tc>
        <w:tc>
          <w:tcPr>
            <w:tcW w:w="1810" w:type="dxa"/>
            <w:tcBorders>
              <w:top w:val="nil"/>
              <w:left w:val="nil"/>
              <w:bottom w:val="nil"/>
              <w:right w:val="nil"/>
            </w:tcBorders>
            <w:noWrap/>
          </w:tcPr>
          <w:p>
            <w:pPr>
              <w:pStyle w:val="yTableNAm"/>
              <w:jc w:val="center"/>
            </w:pPr>
            <w:r>
              <w:t>8.563</w:t>
            </w:r>
          </w:p>
        </w:tc>
        <w:tc>
          <w:tcPr>
            <w:tcW w:w="2160" w:type="dxa"/>
            <w:tcBorders>
              <w:top w:val="nil"/>
              <w:left w:val="nil"/>
              <w:bottom w:val="nil"/>
              <w:right w:val="nil"/>
            </w:tcBorders>
            <w:noWrap/>
          </w:tcPr>
          <w:p>
            <w:pPr>
              <w:pStyle w:val="yTableNAm"/>
              <w:jc w:val="center"/>
            </w:pPr>
            <w:r>
              <w:t>10.396</w:t>
            </w:r>
          </w:p>
        </w:tc>
      </w:tr>
      <w:tr>
        <w:tc>
          <w:tcPr>
            <w:tcW w:w="2159" w:type="dxa"/>
            <w:tcBorders>
              <w:top w:val="nil"/>
              <w:left w:val="nil"/>
              <w:bottom w:val="nil"/>
              <w:right w:val="nil"/>
            </w:tcBorders>
            <w:noWrap/>
          </w:tcPr>
          <w:p>
            <w:pPr>
              <w:pStyle w:val="yTableNAm"/>
            </w:pPr>
            <w:r>
              <w:t>Leeman</w:t>
            </w:r>
          </w:p>
        </w:tc>
        <w:tc>
          <w:tcPr>
            <w:tcW w:w="1810" w:type="dxa"/>
            <w:tcBorders>
              <w:top w:val="nil"/>
              <w:left w:val="nil"/>
              <w:bottom w:val="nil"/>
              <w:right w:val="nil"/>
            </w:tcBorders>
            <w:noWrap/>
          </w:tcPr>
          <w:p>
            <w:pPr>
              <w:pStyle w:val="yTableNAm"/>
              <w:jc w:val="center"/>
            </w:pPr>
            <w:r>
              <w:t>15.585</w:t>
            </w:r>
          </w:p>
        </w:tc>
        <w:tc>
          <w:tcPr>
            <w:tcW w:w="2160" w:type="dxa"/>
            <w:tcBorders>
              <w:top w:val="nil"/>
              <w:left w:val="nil"/>
              <w:bottom w:val="nil"/>
              <w:right w:val="nil"/>
            </w:tcBorders>
            <w:noWrap/>
          </w:tcPr>
          <w:p>
            <w:pPr>
              <w:pStyle w:val="yTableNAm"/>
              <w:jc w:val="center"/>
            </w:pPr>
            <w:r>
              <w:t>27.974</w:t>
            </w:r>
          </w:p>
        </w:tc>
      </w:tr>
      <w:tr>
        <w:tc>
          <w:tcPr>
            <w:tcW w:w="2159" w:type="dxa"/>
            <w:tcBorders>
              <w:top w:val="nil"/>
              <w:left w:val="nil"/>
              <w:bottom w:val="nil"/>
              <w:right w:val="nil"/>
            </w:tcBorders>
            <w:noWrap/>
          </w:tcPr>
          <w:p>
            <w:pPr>
              <w:pStyle w:val="yTableNAm"/>
            </w:pPr>
            <w:r>
              <w:t>Leonora</w:t>
            </w:r>
          </w:p>
        </w:tc>
        <w:tc>
          <w:tcPr>
            <w:tcW w:w="1810" w:type="dxa"/>
            <w:tcBorders>
              <w:top w:val="nil"/>
              <w:left w:val="nil"/>
              <w:bottom w:val="nil"/>
              <w:right w:val="nil"/>
            </w:tcBorders>
            <w:noWrap/>
          </w:tcPr>
          <w:p>
            <w:pPr>
              <w:pStyle w:val="yTableNAm"/>
              <w:jc w:val="center"/>
            </w:pPr>
            <w:r>
              <w:t>2.812</w:t>
            </w:r>
          </w:p>
        </w:tc>
        <w:tc>
          <w:tcPr>
            <w:tcW w:w="2160" w:type="dxa"/>
            <w:tcBorders>
              <w:top w:val="nil"/>
              <w:left w:val="nil"/>
              <w:bottom w:val="nil"/>
              <w:right w:val="nil"/>
            </w:tcBorders>
            <w:noWrap/>
          </w:tcPr>
          <w:p>
            <w:pPr>
              <w:pStyle w:val="yTableNAm"/>
              <w:jc w:val="center"/>
            </w:pPr>
            <w:r>
              <w:t>28.028</w:t>
            </w:r>
          </w:p>
        </w:tc>
      </w:tr>
      <w:tr>
        <w:tc>
          <w:tcPr>
            <w:tcW w:w="2159" w:type="dxa"/>
            <w:tcBorders>
              <w:top w:val="nil"/>
              <w:left w:val="nil"/>
              <w:bottom w:val="nil"/>
              <w:right w:val="nil"/>
            </w:tcBorders>
            <w:noWrap/>
          </w:tcPr>
          <w:p>
            <w:pPr>
              <w:pStyle w:val="yTableNAm"/>
            </w:pPr>
            <w:r>
              <w:t>Mandurah</w:t>
            </w:r>
          </w:p>
        </w:tc>
        <w:tc>
          <w:tcPr>
            <w:tcW w:w="1810" w:type="dxa"/>
            <w:tcBorders>
              <w:top w:val="nil"/>
              <w:left w:val="nil"/>
              <w:bottom w:val="nil"/>
              <w:right w:val="nil"/>
            </w:tcBorders>
            <w:noWrap/>
          </w:tcPr>
          <w:p>
            <w:pPr>
              <w:pStyle w:val="yTableNAm"/>
              <w:jc w:val="center"/>
            </w:pPr>
            <w:r>
              <w:t>7.892</w:t>
            </w:r>
          </w:p>
        </w:tc>
        <w:tc>
          <w:tcPr>
            <w:tcW w:w="2160" w:type="dxa"/>
            <w:tcBorders>
              <w:top w:val="nil"/>
              <w:left w:val="nil"/>
              <w:bottom w:val="nil"/>
              <w:right w:val="nil"/>
            </w:tcBorders>
            <w:noWrap/>
          </w:tcPr>
          <w:p>
            <w:pPr>
              <w:pStyle w:val="yTableNAm"/>
              <w:jc w:val="center"/>
            </w:pPr>
            <w:r>
              <w:t>7.002</w:t>
            </w:r>
          </w:p>
        </w:tc>
      </w:tr>
      <w:tr>
        <w:tc>
          <w:tcPr>
            <w:tcW w:w="2159" w:type="dxa"/>
            <w:tcBorders>
              <w:top w:val="nil"/>
              <w:left w:val="nil"/>
              <w:bottom w:val="nil"/>
              <w:right w:val="nil"/>
            </w:tcBorders>
            <w:noWrap/>
          </w:tcPr>
          <w:p>
            <w:pPr>
              <w:pStyle w:val="yTableNAm"/>
            </w:pPr>
            <w:r>
              <w:t>Manjimup</w:t>
            </w:r>
          </w:p>
        </w:tc>
        <w:tc>
          <w:tcPr>
            <w:tcW w:w="1810" w:type="dxa"/>
            <w:tcBorders>
              <w:top w:val="nil"/>
              <w:left w:val="nil"/>
              <w:bottom w:val="nil"/>
              <w:right w:val="nil"/>
            </w:tcBorders>
            <w:noWrap/>
          </w:tcPr>
          <w:p>
            <w:pPr>
              <w:pStyle w:val="yTableNAm"/>
              <w:jc w:val="center"/>
            </w:pPr>
            <w:r>
              <w:t>17.862</w:t>
            </w:r>
          </w:p>
        </w:tc>
        <w:tc>
          <w:tcPr>
            <w:tcW w:w="2160" w:type="dxa"/>
            <w:tcBorders>
              <w:top w:val="nil"/>
              <w:left w:val="nil"/>
              <w:bottom w:val="nil"/>
              <w:right w:val="nil"/>
            </w:tcBorders>
            <w:noWrap/>
          </w:tcPr>
          <w:p>
            <w:pPr>
              <w:pStyle w:val="yTableNAm"/>
              <w:jc w:val="center"/>
            </w:pPr>
            <w:r>
              <w:t>35.245</w:t>
            </w:r>
          </w:p>
        </w:tc>
      </w:tr>
      <w:tr>
        <w:tc>
          <w:tcPr>
            <w:tcW w:w="2159" w:type="dxa"/>
            <w:tcBorders>
              <w:top w:val="nil"/>
              <w:left w:val="nil"/>
              <w:bottom w:val="nil"/>
              <w:right w:val="nil"/>
            </w:tcBorders>
            <w:noWrap/>
          </w:tcPr>
          <w:p>
            <w:pPr>
              <w:pStyle w:val="yTableNAm"/>
            </w:pPr>
            <w:r>
              <w:t>Margaret River</w:t>
            </w:r>
          </w:p>
        </w:tc>
        <w:tc>
          <w:tcPr>
            <w:tcW w:w="1810" w:type="dxa"/>
            <w:tcBorders>
              <w:top w:val="nil"/>
              <w:left w:val="nil"/>
              <w:bottom w:val="nil"/>
              <w:right w:val="nil"/>
            </w:tcBorders>
            <w:noWrap/>
          </w:tcPr>
          <w:p>
            <w:pPr>
              <w:pStyle w:val="yTableNAm"/>
              <w:jc w:val="center"/>
            </w:pPr>
            <w:r>
              <w:t>13.225</w:t>
            </w:r>
          </w:p>
        </w:tc>
        <w:tc>
          <w:tcPr>
            <w:tcW w:w="2160" w:type="dxa"/>
            <w:tcBorders>
              <w:top w:val="nil"/>
              <w:left w:val="nil"/>
              <w:bottom w:val="nil"/>
              <w:right w:val="nil"/>
            </w:tcBorders>
            <w:noWrap/>
          </w:tcPr>
          <w:p>
            <w:pPr>
              <w:pStyle w:val="yTableNAm"/>
              <w:jc w:val="center"/>
            </w:pPr>
            <w:r>
              <w:t>28.382</w:t>
            </w:r>
          </w:p>
        </w:tc>
      </w:tr>
      <w:tr>
        <w:tc>
          <w:tcPr>
            <w:tcW w:w="2159" w:type="dxa"/>
            <w:tcBorders>
              <w:top w:val="nil"/>
              <w:left w:val="nil"/>
              <w:bottom w:val="nil"/>
              <w:right w:val="nil"/>
            </w:tcBorders>
            <w:noWrap/>
          </w:tcPr>
          <w:p>
            <w:pPr>
              <w:pStyle w:val="yTableNAm"/>
            </w:pPr>
            <w:r>
              <w:lastRenderedPageBreak/>
              <w:t>Meckering</w:t>
            </w:r>
          </w:p>
        </w:tc>
        <w:tc>
          <w:tcPr>
            <w:tcW w:w="1810" w:type="dxa"/>
            <w:tcBorders>
              <w:top w:val="nil"/>
              <w:left w:val="nil"/>
              <w:bottom w:val="nil"/>
              <w:right w:val="nil"/>
            </w:tcBorders>
            <w:noWrap/>
          </w:tcPr>
          <w:p>
            <w:pPr>
              <w:pStyle w:val="yTableNAm"/>
              <w:jc w:val="center"/>
            </w:pPr>
            <w:r>
              <w:t>100.845</w:t>
            </w:r>
          </w:p>
        </w:tc>
        <w:tc>
          <w:tcPr>
            <w:tcW w:w="2160" w:type="dxa"/>
            <w:tcBorders>
              <w:top w:val="nil"/>
              <w:left w:val="nil"/>
              <w:bottom w:val="nil"/>
              <w:right w:val="nil"/>
            </w:tcBorders>
            <w:noWrap/>
          </w:tcPr>
          <w:p>
            <w:pPr>
              <w:pStyle w:val="yTableNAm"/>
              <w:jc w:val="center"/>
            </w:pPr>
            <w:r>
              <w:t>293.471</w:t>
            </w:r>
          </w:p>
        </w:tc>
      </w:tr>
      <w:tr>
        <w:tc>
          <w:tcPr>
            <w:tcW w:w="2159" w:type="dxa"/>
            <w:tcBorders>
              <w:top w:val="nil"/>
              <w:left w:val="nil"/>
              <w:bottom w:val="nil"/>
              <w:right w:val="nil"/>
            </w:tcBorders>
            <w:noWrap/>
          </w:tcPr>
          <w:p>
            <w:pPr>
              <w:pStyle w:val="yTableNAm"/>
            </w:pPr>
            <w:r>
              <w:t>Merredin</w:t>
            </w:r>
          </w:p>
        </w:tc>
        <w:tc>
          <w:tcPr>
            <w:tcW w:w="1810" w:type="dxa"/>
            <w:tcBorders>
              <w:top w:val="nil"/>
              <w:left w:val="nil"/>
              <w:bottom w:val="nil"/>
              <w:right w:val="nil"/>
            </w:tcBorders>
            <w:noWrap/>
          </w:tcPr>
          <w:p>
            <w:pPr>
              <w:pStyle w:val="yTableNAm"/>
              <w:jc w:val="center"/>
            </w:pPr>
            <w:r>
              <w:t>15.645</w:t>
            </w:r>
          </w:p>
        </w:tc>
        <w:tc>
          <w:tcPr>
            <w:tcW w:w="2160" w:type="dxa"/>
            <w:tcBorders>
              <w:top w:val="nil"/>
              <w:left w:val="nil"/>
              <w:bottom w:val="nil"/>
              <w:right w:val="nil"/>
            </w:tcBorders>
            <w:noWrap/>
          </w:tcPr>
          <w:p>
            <w:pPr>
              <w:pStyle w:val="yTableNAm"/>
              <w:jc w:val="center"/>
            </w:pPr>
            <w:r>
              <w:t>59.492</w:t>
            </w:r>
          </w:p>
        </w:tc>
      </w:tr>
      <w:tr>
        <w:tc>
          <w:tcPr>
            <w:tcW w:w="2159" w:type="dxa"/>
            <w:tcBorders>
              <w:top w:val="nil"/>
              <w:left w:val="nil"/>
              <w:bottom w:val="nil"/>
              <w:right w:val="nil"/>
            </w:tcBorders>
            <w:noWrap/>
          </w:tcPr>
          <w:p>
            <w:pPr>
              <w:pStyle w:val="yTableNAm"/>
            </w:pPr>
            <w:r>
              <w:t>Mount Barker</w:t>
            </w:r>
          </w:p>
        </w:tc>
        <w:tc>
          <w:tcPr>
            <w:tcW w:w="1810" w:type="dxa"/>
            <w:tcBorders>
              <w:top w:val="nil"/>
              <w:left w:val="nil"/>
              <w:bottom w:val="nil"/>
              <w:right w:val="nil"/>
            </w:tcBorders>
            <w:noWrap/>
          </w:tcPr>
          <w:p>
            <w:pPr>
              <w:pStyle w:val="yTableNAm"/>
              <w:jc w:val="center"/>
            </w:pPr>
            <w:r>
              <w:t>14.910</w:t>
            </w:r>
          </w:p>
        </w:tc>
        <w:tc>
          <w:tcPr>
            <w:tcW w:w="2160" w:type="dxa"/>
            <w:tcBorders>
              <w:top w:val="nil"/>
              <w:left w:val="nil"/>
              <w:bottom w:val="nil"/>
              <w:right w:val="nil"/>
            </w:tcBorders>
            <w:noWrap/>
          </w:tcPr>
          <w:p>
            <w:pPr>
              <w:pStyle w:val="yTableNAm"/>
              <w:jc w:val="center"/>
            </w:pPr>
            <w:r>
              <w:t>30.985</w:t>
            </w:r>
          </w:p>
        </w:tc>
      </w:tr>
      <w:tr>
        <w:tc>
          <w:tcPr>
            <w:tcW w:w="2159" w:type="dxa"/>
            <w:tcBorders>
              <w:top w:val="nil"/>
              <w:left w:val="nil"/>
              <w:bottom w:val="nil"/>
              <w:right w:val="nil"/>
            </w:tcBorders>
            <w:noWrap/>
          </w:tcPr>
          <w:p>
            <w:pPr>
              <w:pStyle w:val="yTableNAm"/>
            </w:pPr>
            <w:r>
              <w:t>Mukinbudin</w:t>
            </w:r>
          </w:p>
        </w:tc>
        <w:tc>
          <w:tcPr>
            <w:tcW w:w="1810" w:type="dxa"/>
            <w:tcBorders>
              <w:top w:val="nil"/>
              <w:left w:val="nil"/>
              <w:bottom w:val="nil"/>
              <w:right w:val="nil"/>
            </w:tcBorders>
            <w:noWrap/>
          </w:tcPr>
          <w:p>
            <w:pPr>
              <w:pStyle w:val="yTableNAm"/>
              <w:jc w:val="center"/>
            </w:pPr>
            <w:r>
              <w:t>34.320</w:t>
            </w:r>
          </w:p>
        </w:tc>
        <w:tc>
          <w:tcPr>
            <w:tcW w:w="2160" w:type="dxa"/>
            <w:tcBorders>
              <w:top w:val="nil"/>
              <w:left w:val="nil"/>
              <w:bottom w:val="nil"/>
              <w:right w:val="nil"/>
            </w:tcBorders>
            <w:noWrap/>
          </w:tcPr>
          <w:p>
            <w:pPr>
              <w:pStyle w:val="yTableNAm"/>
              <w:jc w:val="center"/>
            </w:pPr>
            <w:r>
              <w:t>345.878</w:t>
            </w:r>
          </w:p>
        </w:tc>
      </w:tr>
      <w:tr>
        <w:tc>
          <w:tcPr>
            <w:tcW w:w="2159" w:type="dxa"/>
            <w:tcBorders>
              <w:top w:val="nil"/>
              <w:left w:val="nil"/>
              <w:bottom w:val="nil"/>
              <w:right w:val="nil"/>
            </w:tcBorders>
            <w:noWrap/>
          </w:tcPr>
          <w:p>
            <w:pPr>
              <w:pStyle w:val="yTableNAm"/>
            </w:pPr>
            <w:r>
              <w:t>Nannup</w:t>
            </w:r>
          </w:p>
        </w:tc>
        <w:tc>
          <w:tcPr>
            <w:tcW w:w="1810" w:type="dxa"/>
            <w:tcBorders>
              <w:top w:val="nil"/>
              <w:left w:val="nil"/>
              <w:bottom w:val="nil"/>
              <w:right w:val="nil"/>
            </w:tcBorders>
            <w:noWrap/>
          </w:tcPr>
          <w:p>
            <w:pPr>
              <w:pStyle w:val="yTableNAm"/>
              <w:jc w:val="center"/>
            </w:pPr>
            <w:r>
              <w:t>11.894</w:t>
            </w:r>
          </w:p>
        </w:tc>
        <w:tc>
          <w:tcPr>
            <w:tcW w:w="2160" w:type="dxa"/>
            <w:tcBorders>
              <w:top w:val="nil"/>
              <w:left w:val="nil"/>
              <w:bottom w:val="nil"/>
              <w:right w:val="nil"/>
            </w:tcBorders>
            <w:noWrap/>
          </w:tcPr>
          <w:p>
            <w:pPr>
              <w:pStyle w:val="yTableNAm"/>
              <w:jc w:val="center"/>
            </w:pPr>
            <w:r>
              <w:t>20.242</w:t>
            </w:r>
          </w:p>
        </w:tc>
      </w:tr>
      <w:tr>
        <w:tc>
          <w:tcPr>
            <w:tcW w:w="2159" w:type="dxa"/>
            <w:tcBorders>
              <w:top w:val="nil"/>
              <w:left w:val="nil"/>
              <w:bottom w:val="nil"/>
              <w:right w:val="nil"/>
            </w:tcBorders>
            <w:noWrap/>
          </w:tcPr>
          <w:p>
            <w:pPr>
              <w:pStyle w:val="yTableNAm"/>
            </w:pPr>
            <w:r>
              <w:t>Narembeen</w:t>
            </w:r>
          </w:p>
        </w:tc>
        <w:tc>
          <w:tcPr>
            <w:tcW w:w="1810" w:type="dxa"/>
            <w:tcBorders>
              <w:top w:val="nil"/>
              <w:left w:val="nil"/>
              <w:bottom w:val="nil"/>
              <w:right w:val="nil"/>
            </w:tcBorders>
            <w:noWrap/>
          </w:tcPr>
          <w:p>
            <w:pPr>
              <w:pStyle w:val="yTableNAm"/>
              <w:jc w:val="center"/>
            </w:pPr>
            <w:r>
              <w:t>32.210</w:t>
            </w:r>
          </w:p>
        </w:tc>
        <w:tc>
          <w:tcPr>
            <w:tcW w:w="2160" w:type="dxa"/>
            <w:tcBorders>
              <w:top w:val="nil"/>
              <w:left w:val="nil"/>
              <w:bottom w:val="nil"/>
              <w:right w:val="nil"/>
            </w:tcBorders>
            <w:noWrap/>
          </w:tcPr>
          <w:p>
            <w:pPr>
              <w:pStyle w:val="yTableNAm"/>
              <w:jc w:val="center"/>
            </w:pPr>
            <w:r>
              <w:t>192.945</w:t>
            </w:r>
          </w:p>
        </w:tc>
      </w:tr>
      <w:tr>
        <w:tc>
          <w:tcPr>
            <w:tcW w:w="2159" w:type="dxa"/>
            <w:tcBorders>
              <w:top w:val="nil"/>
              <w:left w:val="nil"/>
              <w:bottom w:val="nil"/>
              <w:right w:val="nil"/>
            </w:tcBorders>
            <w:noWrap/>
          </w:tcPr>
          <w:p>
            <w:pPr>
              <w:pStyle w:val="yTableNAm"/>
            </w:pPr>
            <w:r>
              <w:t>Narrogin</w:t>
            </w:r>
          </w:p>
        </w:tc>
        <w:tc>
          <w:tcPr>
            <w:tcW w:w="1810" w:type="dxa"/>
            <w:tcBorders>
              <w:top w:val="nil"/>
              <w:left w:val="nil"/>
              <w:bottom w:val="nil"/>
              <w:right w:val="nil"/>
            </w:tcBorders>
            <w:noWrap/>
          </w:tcPr>
          <w:p>
            <w:pPr>
              <w:pStyle w:val="yTableNAm"/>
              <w:jc w:val="center"/>
            </w:pPr>
            <w:r>
              <w:t>11.938</w:t>
            </w:r>
          </w:p>
        </w:tc>
        <w:tc>
          <w:tcPr>
            <w:tcW w:w="2160" w:type="dxa"/>
            <w:tcBorders>
              <w:top w:val="nil"/>
              <w:left w:val="nil"/>
              <w:bottom w:val="nil"/>
              <w:right w:val="nil"/>
            </w:tcBorders>
            <w:noWrap/>
          </w:tcPr>
          <w:p>
            <w:pPr>
              <w:pStyle w:val="yTableNAm"/>
              <w:jc w:val="center"/>
            </w:pPr>
            <w:r>
              <w:t>21.965</w:t>
            </w:r>
          </w:p>
        </w:tc>
      </w:tr>
      <w:tr>
        <w:tc>
          <w:tcPr>
            <w:tcW w:w="2159" w:type="dxa"/>
            <w:tcBorders>
              <w:top w:val="nil"/>
              <w:left w:val="nil"/>
              <w:bottom w:val="nil"/>
              <w:right w:val="nil"/>
            </w:tcBorders>
            <w:noWrap/>
          </w:tcPr>
          <w:p>
            <w:pPr>
              <w:pStyle w:val="yTableNAm"/>
            </w:pPr>
            <w:r>
              <w:t>Newdegate</w:t>
            </w:r>
          </w:p>
        </w:tc>
        <w:tc>
          <w:tcPr>
            <w:tcW w:w="1810" w:type="dxa"/>
            <w:tcBorders>
              <w:top w:val="nil"/>
              <w:left w:val="nil"/>
              <w:bottom w:val="nil"/>
              <w:right w:val="nil"/>
            </w:tcBorders>
            <w:noWrap/>
          </w:tcPr>
          <w:p>
            <w:pPr>
              <w:pStyle w:val="yTableNAm"/>
              <w:jc w:val="center"/>
            </w:pPr>
            <w:r>
              <w:t>39.605</w:t>
            </w:r>
          </w:p>
        </w:tc>
        <w:tc>
          <w:tcPr>
            <w:tcW w:w="2160" w:type="dxa"/>
            <w:tcBorders>
              <w:top w:val="nil"/>
              <w:left w:val="nil"/>
              <w:bottom w:val="nil"/>
              <w:right w:val="nil"/>
            </w:tcBorders>
            <w:noWrap/>
          </w:tcPr>
          <w:p>
            <w:pPr>
              <w:pStyle w:val="yTableNAm"/>
              <w:jc w:val="center"/>
            </w:pPr>
            <w:r>
              <w:t>346.914</w:t>
            </w:r>
          </w:p>
        </w:tc>
      </w:tr>
      <w:tr>
        <w:tc>
          <w:tcPr>
            <w:tcW w:w="2159" w:type="dxa"/>
            <w:tcBorders>
              <w:top w:val="nil"/>
              <w:left w:val="nil"/>
              <w:bottom w:val="nil"/>
              <w:right w:val="nil"/>
            </w:tcBorders>
            <w:noWrap/>
          </w:tcPr>
          <w:p>
            <w:pPr>
              <w:pStyle w:val="yTableNAm"/>
            </w:pPr>
            <w:r>
              <w:t>Newman</w:t>
            </w:r>
          </w:p>
        </w:tc>
        <w:tc>
          <w:tcPr>
            <w:tcW w:w="1810" w:type="dxa"/>
            <w:tcBorders>
              <w:top w:val="nil"/>
              <w:left w:val="nil"/>
              <w:bottom w:val="nil"/>
              <w:right w:val="nil"/>
            </w:tcBorders>
            <w:noWrap/>
          </w:tcPr>
          <w:p>
            <w:pPr>
              <w:pStyle w:val="yTableNAm"/>
              <w:jc w:val="center"/>
            </w:pPr>
            <w:r>
              <w:t>1.197</w:t>
            </w:r>
          </w:p>
        </w:tc>
        <w:tc>
          <w:tcPr>
            <w:tcW w:w="2160" w:type="dxa"/>
            <w:tcBorders>
              <w:top w:val="nil"/>
              <w:left w:val="nil"/>
              <w:bottom w:val="nil"/>
              <w:right w:val="nil"/>
            </w:tcBorders>
            <w:noWrap/>
          </w:tcPr>
          <w:p>
            <w:pPr>
              <w:pStyle w:val="yTableNAm"/>
              <w:jc w:val="center"/>
            </w:pPr>
            <w:r>
              <w:t>1.040</w:t>
            </w:r>
          </w:p>
        </w:tc>
      </w:tr>
      <w:tr>
        <w:tc>
          <w:tcPr>
            <w:tcW w:w="2159" w:type="dxa"/>
            <w:tcBorders>
              <w:top w:val="nil"/>
              <w:left w:val="nil"/>
              <w:bottom w:val="nil"/>
              <w:right w:val="nil"/>
            </w:tcBorders>
            <w:noWrap/>
          </w:tcPr>
          <w:p>
            <w:pPr>
              <w:pStyle w:val="yTableNAm"/>
            </w:pPr>
            <w:r>
              <w:t>Northam</w:t>
            </w:r>
          </w:p>
        </w:tc>
        <w:tc>
          <w:tcPr>
            <w:tcW w:w="1810" w:type="dxa"/>
            <w:tcBorders>
              <w:top w:val="nil"/>
              <w:left w:val="nil"/>
              <w:bottom w:val="nil"/>
              <w:right w:val="nil"/>
            </w:tcBorders>
            <w:noWrap/>
          </w:tcPr>
          <w:p>
            <w:pPr>
              <w:pStyle w:val="yTableNAm"/>
              <w:jc w:val="center"/>
            </w:pPr>
            <w:r>
              <w:t>12.339</w:t>
            </w:r>
          </w:p>
        </w:tc>
        <w:tc>
          <w:tcPr>
            <w:tcW w:w="2160" w:type="dxa"/>
            <w:tcBorders>
              <w:top w:val="nil"/>
              <w:left w:val="nil"/>
              <w:bottom w:val="nil"/>
              <w:right w:val="nil"/>
            </w:tcBorders>
            <w:noWrap/>
          </w:tcPr>
          <w:p>
            <w:pPr>
              <w:pStyle w:val="yTableNAm"/>
              <w:jc w:val="center"/>
            </w:pPr>
            <w:r>
              <w:t>34.343</w:t>
            </w:r>
          </w:p>
        </w:tc>
      </w:tr>
      <w:tr>
        <w:tc>
          <w:tcPr>
            <w:tcW w:w="2159" w:type="dxa"/>
            <w:tcBorders>
              <w:top w:val="nil"/>
              <w:left w:val="nil"/>
              <w:bottom w:val="nil"/>
              <w:right w:val="nil"/>
            </w:tcBorders>
            <w:noWrap/>
          </w:tcPr>
          <w:p>
            <w:pPr>
              <w:pStyle w:val="yTableNAm"/>
            </w:pPr>
            <w:r>
              <w:t>Onslow</w:t>
            </w:r>
          </w:p>
        </w:tc>
        <w:tc>
          <w:tcPr>
            <w:tcW w:w="1810" w:type="dxa"/>
            <w:tcBorders>
              <w:top w:val="nil"/>
              <w:left w:val="nil"/>
              <w:bottom w:val="nil"/>
              <w:right w:val="nil"/>
            </w:tcBorders>
            <w:noWrap/>
          </w:tcPr>
          <w:p>
            <w:pPr>
              <w:pStyle w:val="yTableNAm"/>
              <w:jc w:val="center"/>
            </w:pPr>
            <w:r>
              <w:t>3.029</w:t>
            </w:r>
          </w:p>
        </w:tc>
        <w:tc>
          <w:tcPr>
            <w:tcW w:w="2160" w:type="dxa"/>
            <w:tcBorders>
              <w:top w:val="nil"/>
              <w:left w:val="nil"/>
              <w:bottom w:val="nil"/>
              <w:right w:val="nil"/>
            </w:tcBorders>
            <w:noWrap/>
          </w:tcPr>
          <w:p>
            <w:pPr>
              <w:pStyle w:val="yTableNAm"/>
              <w:jc w:val="center"/>
            </w:pPr>
            <w:r>
              <w:t>18.088</w:t>
            </w:r>
          </w:p>
        </w:tc>
      </w:tr>
      <w:tr>
        <w:tc>
          <w:tcPr>
            <w:tcW w:w="2159" w:type="dxa"/>
            <w:tcBorders>
              <w:top w:val="nil"/>
              <w:left w:val="nil"/>
              <w:bottom w:val="nil"/>
              <w:right w:val="nil"/>
            </w:tcBorders>
            <w:noWrap/>
          </w:tcPr>
          <w:p>
            <w:pPr>
              <w:pStyle w:val="yTableNAm"/>
            </w:pPr>
            <w:r>
              <w:t>Pemberton</w:t>
            </w:r>
          </w:p>
        </w:tc>
        <w:tc>
          <w:tcPr>
            <w:tcW w:w="1810" w:type="dxa"/>
            <w:tcBorders>
              <w:top w:val="nil"/>
              <w:left w:val="nil"/>
              <w:bottom w:val="nil"/>
              <w:right w:val="nil"/>
            </w:tcBorders>
            <w:noWrap/>
          </w:tcPr>
          <w:p>
            <w:pPr>
              <w:pStyle w:val="yTableNAm"/>
              <w:jc w:val="center"/>
            </w:pPr>
            <w:r>
              <w:t>33.233</w:t>
            </w:r>
          </w:p>
        </w:tc>
        <w:tc>
          <w:tcPr>
            <w:tcW w:w="2160" w:type="dxa"/>
            <w:tcBorders>
              <w:top w:val="nil"/>
              <w:left w:val="nil"/>
              <w:bottom w:val="nil"/>
              <w:right w:val="nil"/>
            </w:tcBorders>
            <w:noWrap/>
          </w:tcPr>
          <w:p>
            <w:pPr>
              <w:pStyle w:val="yTableNAm"/>
              <w:jc w:val="center"/>
            </w:pPr>
            <w:r>
              <w:t>109.561</w:t>
            </w:r>
          </w:p>
        </w:tc>
      </w:tr>
      <w:tr>
        <w:tc>
          <w:tcPr>
            <w:tcW w:w="2159" w:type="dxa"/>
            <w:tcBorders>
              <w:top w:val="nil"/>
              <w:left w:val="nil"/>
              <w:bottom w:val="nil"/>
              <w:right w:val="nil"/>
            </w:tcBorders>
            <w:noWrap/>
          </w:tcPr>
          <w:p>
            <w:pPr>
              <w:pStyle w:val="yTableNAm"/>
            </w:pPr>
            <w:r>
              <w:t>Pingelly</w:t>
            </w:r>
          </w:p>
        </w:tc>
        <w:tc>
          <w:tcPr>
            <w:tcW w:w="1810" w:type="dxa"/>
            <w:tcBorders>
              <w:top w:val="nil"/>
              <w:left w:val="nil"/>
              <w:bottom w:val="nil"/>
              <w:right w:val="nil"/>
            </w:tcBorders>
            <w:noWrap/>
          </w:tcPr>
          <w:p>
            <w:pPr>
              <w:pStyle w:val="yTableNAm"/>
              <w:jc w:val="center"/>
            </w:pPr>
            <w:r>
              <w:t>20.433</w:t>
            </w:r>
          </w:p>
        </w:tc>
        <w:tc>
          <w:tcPr>
            <w:tcW w:w="2160" w:type="dxa"/>
            <w:tcBorders>
              <w:top w:val="nil"/>
              <w:left w:val="nil"/>
              <w:bottom w:val="nil"/>
              <w:right w:val="nil"/>
            </w:tcBorders>
            <w:noWrap/>
          </w:tcPr>
          <w:p>
            <w:pPr>
              <w:pStyle w:val="yTableNAm"/>
              <w:jc w:val="center"/>
            </w:pPr>
            <w:r>
              <w:t>88.111</w:t>
            </w:r>
          </w:p>
        </w:tc>
      </w:tr>
      <w:tr>
        <w:tc>
          <w:tcPr>
            <w:tcW w:w="2159" w:type="dxa"/>
            <w:tcBorders>
              <w:top w:val="nil"/>
              <w:left w:val="nil"/>
              <w:bottom w:val="nil"/>
              <w:right w:val="nil"/>
            </w:tcBorders>
            <w:noWrap/>
          </w:tcPr>
          <w:p>
            <w:pPr>
              <w:pStyle w:val="yTableNAm"/>
            </w:pPr>
            <w:r>
              <w:t>Pinjarra</w:t>
            </w:r>
          </w:p>
        </w:tc>
        <w:tc>
          <w:tcPr>
            <w:tcW w:w="1810" w:type="dxa"/>
            <w:tcBorders>
              <w:top w:val="nil"/>
              <w:left w:val="nil"/>
              <w:bottom w:val="nil"/>
              <w:right w:val="nil"/>
            </w:tcBorders>
            <w:noWrap/>
          </w:tcPr>
          <w:p>
            <w:pPr>
              <w:pStyle w:val="yTableNAm"/>
              <w:jc w:val="center"/>
            </w:pPr>
            <w:r>
              <w:t>11.438</w:t>
            </w:r>
          </w:p>
        </w:tc>
        <w:tc>
          <w:tcPr>
            <w:tcW w:w="2160" w:type="dxa"/>
            <w:tcBorders>
              <w:top w:val="nil"/>
              <w:left w:val="nil"/>
              <w:bottom w:val="nil"/>
              <w:right w:val="nil"/>
            </w:tcBorders>
            <w:noWrap/>
          </w:tcPr>
          <w:p>
            <w:pPr>
              <w:pStyle w:val="yTableNAm"/>
              <w:jc w:val="center"/>
            </w:pPr>
            <w:r>
              <w:t>9.747</w:t>
            </w:r>
          </w:p>
        </w:tc>
      </w:tr>
      <w:tr>
        <w:tc>
          <w:tcPr>
            <w:tcW w:w="2159" w:type="dxa"/>
            <w:tcBorders>
              <w:top w:val="nil"/>
              <w:left w:val="nil"/>
              <w:bottom w:val="nil"/>
              <w:right w:val="nil"/>
            </w:tcBorders>
            <w:noWrap/>
          </w:tcPr>
          <w:p>
            <w:pPr>
              <w:pStyle w:val="yTableNAm"/>
            </w:pPr>
            <w:r>
              <w:t>Port Hedland</w:t>
            </w:r>
          </w:p>
        </w:tc>
        <w:tc>
          <w:tcPr>
            <w:tcW w:w="1810" w:type="dxa"/>
            <w:tcBorders>
              <w:top w:val="nil"/>
              <w:left w:val="nil"/>
              <w:bottom w:val="nil"/>
              <w:right w:val="nil"/>
            </w:tcBorders>
            <w:noWrap/>
          </w:tcPr>
          <w:p>
            <w:pPr>
              <w:pStyle w:val="yTableNAm"/>
              <w:jc w:val="center"/>
            </w:pPr>
            <w:r>
              <w:t>8.898</w:t>
            </w:r>
          </w:p>
        </w:tc>
        <w:tc>
          <w:tcPr>
            <w:tcW w:w="2160" w:type="dxa"/>
            <w:tcBorders>
              <w:top w:val="nil"/>
              <w:left w:val="nil"/>
              <w:bottom w:val="nil"/>
              <w:right w:val="nil"/>
            </w:tcBorders>
            <w:noWrap/>
          </w:tcPr>
          <w:p>
            <w:pPr>
              <w:pStyle w:val="yTableNAm"/>
              <w:jc w:val="center"/>
            </w:pPr>
            <w:r>
              <w:t>37.293</w:t>
            </w:r>
          </w:p>
        </w:tc>
      </w:tr>
      <w:tr>
        <w:tc>
          <w:tcPr>
            <w:tcW w:w="2159" w:type="dxa"/>
            <w:tcBorders>
              <w:top w:val="nil"/>
              <w:left w:val="nil"/>
              <w:bottom w:val="nil"/>
              <w:right w:val="nil"/>
            </w:tcBorders>
            <w:noWrap/>
          </w:tcPr>
          <w:p>
            <w:pPr>
              <w:pStyle w:val="yTableNAm"/>
            </w:pPr>
            <w:r>
              <w:t>Prevelly</w:t>
            </w:r>
          </w:p>
        </w:tc>
        <w:tc>
          <w:tcPr>
            <w:tcW w:w="1810" w:type="dxa"/>
            <w:tcBorders>
              <w:top w:val="nil"/>
              <w:left w:val="nil"/>
              <w:bottom w:val="nil"/>
              <w:right w:val="nil"/>
            </w:tcBorders>
            <w:noWrap/>
          </w:tcPr>
          <w:p>
            <w:pPr>
              <w:pStyle w:val="yTableNAm"/>
              <w:jc w:val="center"/>
            </w:pPr>
            <w:r>
              <w:t>9.368</w:t>
            </w:r>
          </w:p>
        </w:tc>
        <w:tc>
          <w:tcPr>
            <w:tcW w:w="2160" w:type="dxa"/>
            <w:tcBorders>
              <w:top w:val="nil"/>
              <w:left w:val="nil"/>
              <w:bottom w:val="nil"/>
              <w:right w:val="nil"/>
            </w:tcBorders>
            <w:noWrap/>
          </w:tcPr>
          <w:p>
            <w:pPr>
              <w:pStyle w:val="yTableNAm"/>
              <w:jc w:val="center"/>
            </w:pPr>
            <w:r>
              <w:t>12.969</w:t>
            </w:r>
          </w:p>
        </w:tc>
      </w:tr>
      <w:tr>
        <w:tc>
          <w:tcPr>
            <w:tcW w:w="2159" w:type="dxa"/>
            <w:tcBorders>
              <w:top w:val="nil"/>
              <w:left w:val="nil"/>
              <w:bottom w:val="nil"/>
              <w:right w:val="nil"/>
            </w:tcBorders>
            <w:noWrap/>
          </w:tcPr>
          <w:p>
            <w:pPr>
              <w:pStyle w:val="yTableNAm"/>
            </w:pPr>
            <w:r>
              <w:t>Quairading</w:t>
            </w:r>
          </w:p>
        </w:tc>
        <w:tc>
          <w:tcPr>
            <w:tcW w:w="1810" w:type="dxa"/>
            <w:tcBorders>
              <w:top w:val="nil"/>
              <w:left w:val="nil"/>
              <w:bottom w:val="nil"/>
              <w:right w:val="nil"/>
            </w:tcBorders>
            <w:noWrap/>
          </w:tcPr>
          <w:p>
            <w:pPr>
              <w:pStyle w:val="yTableNAm"/>
              <w:jc w:val="center"/>
            </w:pPr>
            <w:r>
              <w:t>27.205</w:t>
            </w:r>
          </w:p>
        </w:tc>
        <w:tc>
          <w:tcPr>
            <w:tcW w:w="2160" w:type="dxa"/>
            <w:tcBorders>
              <w:top w:val="nil"/>
              <w:left w:val="nil"/>
              <w:bottom w:val="nil"/>
              <w:right w:val="nil"/>
            </w:tcBorders>
            <w:noWrap/>
          </w:tcPr>
          <w:p>
            <w:pPr>
              <w:pStyle w:val="yTableNAm"/>
              <w:jc w:val="center"/>
            </w:pPr>
            <w:r>
              <w:t>73.304</w:t>
            </w:r>
          </w:p>
        </w:tc>
      </w:tr>
      <w:tr>
        <w:tc>
          <w:tcPr>
            <w:tcW w:w="2159" w:type="dxa"/>
            <w:tcBorders>
              <w:top w:val="nil"/>
              <w:left w:val="nil"/>
              <w:bottom w:val="nil"/>
              <w:right w:val="nil"/>
            </w:tcBorders>
            <w:noWrap/>
          </w:tcPr>
          <w:p>
            <w:pPr>
              <w:pStyle w:val="yTableNAm"/>
            </w:pPr>
            <w:r>
              <w:t>Roebourne</w:t>
            </w:r>
          </w:p>
        </w:tc>
        <w:tc>
          <w:tcPr>
            <w:tcW w:w="1810" w:type="dxa"/>
            <w:tcBorders>
              <w:top w:val="nil"/>
              <w:left w:val="nil"/>
              <w:bottom w:val="nil"/>
              <w:right w:val="nil"/>
            </w:tcBorders>
            <w:noWrap/>
          </w:tcPr>
          <w:p>
            <w:pPr>
              <w:pStyle w:val="yTableNAm"/>
              <w:jc w:val="center"/>
            </w:pPr>
            <w:r>
              <w:t>39.040</w:t>
            </w:r>
          </w:p>
        </w:tc>
        <w:tc>
          <w:tcPr>
            <w:tcW w:w="2160" w:type="dxa"/>
            <w:tcBorders>
              <w:top w:val="nil"/>
              <w:left w:val="nil"/>
              <w:bottom w:val="nil"/>
              <w:right w:val="nil"/>
            </w:tcBorders>
            <w:noWrap/>
          </w:tcPr>
          <w:p>
            <w:pPr>
              <w:pStyle w:val="yTableNAm"/>
              <w:jc w:val="center"/>
            </w:pPr>
            <w:r>
              <w:t>261.990</w:t>
            </w:r>
          </w:p>
        </w:tc>
      </w:tr>
      <w:tr>
        <w:tc>
          <w:tcPr>
            <w:tcW w:w="2159" w:type="dxa"/>
            <w:tcBorders>
              <w:top w:val="nil"/>
              <w:left w:val="nil"/>
              <w:bottom w:val="nil"/>
              <w:right w:val="nil"/>
            </w:tcBorders>
            <w:noWrap/>
          </w:tcPr>
          <w:p>
            <w:pPr>
              <w:pStyle w:val="yTableNAm"/>
            </w:pPr>
            <w:r>
              <w:t>Seabird</w:t>
            </w:r>
          </w:p>
        </w:tc>
        <w:tc>
          <w:tcPr>
            <w:tcW w:w="1810" w:type="dxa"/>
            <w:tcBorders>
              <w:top w:val="nil"/>
              <w:left w:val="nil"/>
              <w:bottom w:val="nil"/>
              <w:right w:val="nil"/>
            </w:tcBorders>
            <w:noWrap/>
          </w:tcPr>
          <w:p>
            <w:pPr>
              <w:pStyle w:val="yTableNAm"/>
              <w:jc w:val="center"/>
            </w:pPr>
            <w:r>
              <w:t>64.991</w:t>
            </w:r>
          </w:p>
        </w:tc>
        <w:tc>
          <w:tcPr>
            <w:tcW w:w="2160" w:type="dxa"/>
            <w:tcBorders>
              <w:top w:val="nil"/>
              <w:left w:val="nil"/>
              <w:bottom w:val="nil"/>
              <w:right w:val="nil"/>
            </w:tcBorders>
            <w:noWrap/>
          </w:tcPr>
          <w:p>
            <w:pPr>
              <w:pStyle w:val="yTableNAm"/>
              <w:jc w:val="center"/>
            </w:pPr>
            <w:r>
              <w:t>102.734</w:t>
            </w:r>
          </w:p>
        </w:tc>
      </w:tr>
      <w:tr>
        <w:tc>
          <w:tcPr>
            <w:tcW w:w="2159" w:type="dxa"/>
            <w:tcBorders>
              <w:top w:val="nil"/>
              <w:left w:val="nil"/>
              <w:bottom w:val="nil"/>
              <w:right w:val="nil"/>
            </w:tcBorders>
            <w:noWrap/>
          </w:tcPr>
          <w:p>
            <w:pPr>
              <w:pStyle w:val="yTableNAm"/>
            </w:pPr>
            <w:r>
              <w:lastRenderedPageBreak/>
              <w:t>Tambellup</w:t>
            </w:r>
          </w:p>
        </w:tc>
        <w:tc>
          <w:tcPr>
            <w:tcW w:w="1810" w:type="dxa"/>
            <w:tcBorders>
              <w:top w:val="nil"/>
              <w:left w:val="nil"/>
              <w:bottom w:val="nil"/>
              <w:right w:val="nil"/>
            </w:tcBorders>
            <w:noWrap/>
          </w:tcPr>
          <w:p>
            <w:pPr>
              <w:pStyle w:val="yTableNAm"/>
              <w:jc w:val="center"/>
            </w:pPr>
            <w:r>
              <w:t>50.991</w:t>
            </w:r>
          </w:p>
        </w:tc>
        <w:tc>
          <w:tcPr>
            <w:tcW w:w="2160" w:type="dxa"/>
            <w:tcBorders>
              <w:top w:val="nil"/>
              <w:left w:val="nil"/>
              <w:bottom w:val="nil"/>
              <w:right w:val="nil"/>
            </w:tcBorders>
            <w:noWrap/>
          </w:tcPr>
          <w:p>
            <w:pPr>
              <w:pStyle w:val="yTableNAm"/>
              <w:jc w:val="center"/>
            </w:pPr>
            <w:r>
              <w:t>274.106</w:t>
            </w:r>
          </w:p>
        </w:tc>
      </w:tr>
      <w:tr>
        <w:tc>
          <w:tcPr>
            <w:tcW w:w="2159" w:type="dxa"/>
            <w:tcBorders>
              <w:top w:val="nil"/>
              <w:left w:val="nil"/>
              <w:bottom w:val="nil"/>
              <w:right w:val="nil"/>
            </w:tcBorders>
            <w:noWrap/>
          </w:tcPr>
          <w:p>
            <w:pPr>
              <w:pStyle w:val="yTableNAm"/>
            </w:pPr>
            <w:r>
              <w:t>Three Springs</w:t>
            </w:r>
          </w:p>
        </w:tc>
        <w:tc>
          <w:tcPr>
            <w:tcW w:w="1810" w:type="dxa"/>
            <w:tcBorders>
              <w:top w:val="nil"/>
              <w:left w:val="nil"/>
              <w:bottom w:val="nil"/>
              <w:right w:val="nil"/>
            </w:tcBorders>
            <w:noWrap/>
          </w:tcPr>
          <w:p>
            <w:pPr>
              <w:pStyle w:val="yTableNAm"/>
              <w:jc w:val="center"/>
            </w:pPr>
            <w:r>
              <w:t>5.097</w:t>
            </w:r>
          </w:p>
        </w:tc>
        <w:tc>
          <w:tcPr>
            <w:tcW w:w="2160" w:type="dxa"/>
            <w:tcBorders>
              <w:top w:val="nil"/>
              <w:left w:val="nil"/>
              <w:bottom w:val="nil"/>
              <w:right w:val="nil"/>
            </w:tcBorders>
            <w:noWrap/>
          </w:tcPr>
          <w:p>
            <w:pPr>
              <w:pStyle w:val="yTableNAm"/>
              <w:jc w:val="center"/>
            </w:pPr>
            <w:r>
              <w:t>79.604</w:t>
            </w:r>
          </w:p>
        </w:tc>
      </w:tr>
      <w:tr>
        <w:tc>
          <w:tcPr>
            <w:tcW w:w="2159" w:type="dxa"/>
            <w:tcBorders>
              <w:top w:val="nil"/>
              <w:left w:val="nil"/>
              <w:bottom w:val="nil"/>
              <w:right w:val="nil"/>
            </w:tcBorders>
            <w:noWrap/>
          </w:tcPr>
          <w:p>
            <w:pPr>
              <w:pStyle w:val="yTableNAm"/>
            </w:pPr>
            <w:r>
              <w:t>Toodyay</w:t>
            </w:r>
          </w:p>
        </w:tc>
        <w:tc>
          <w:tcPr>
            <w:tcW w:w="1810" w:type="dxa"/>
            <w:tcBorders>
              <w:top w:val="nil"/>
              <w:left w:val="nil"/>
              <w:bottom w:val="nil"/>
              <w:right w:val="nil"/>
            </w:tcBorders>
            <w:noWrap/>
          </w:tcPr>
          <w:p>
            <w:pPr>
              <w:pStyle w:val="yTableNAm"/>
              <w:jc w:val="center"/>
            </w:pPr>
            <w:r>
              <w:t>10.709</w:t>
            </w:r>
          </w:p>
        </w:tc>
        <w:tc>
          <w:tcPr>
            <w:tcW w:w="2160" w:type="dxa"/>
            <w:tcBorders>
              <w:top w:val="nil"/>
              <w:left w:val="nil"/>
              <w:bottom w:val="nil"/>
              <w:right w:val="nil"/>
            </w:tcBorders>
            <w:noWrap/>
          </w:tcPr>
          <w:p>
            <w:pPr>
              <w:pStyle w:val="yTableNAm"/>
              <w:jc w:val="center"/>
            </w:pPr>
            <w:r>
              <w:t>36.322</w:t>
            </w:r>
          </w:p>
        </w:tc>
      </w:tr>
      <w:tr>
        <w:tc>
          <w:tcPr>
            <w:tcW w:w="2159" w:type="dxa"/>
            <w:tcBorders>
              <w:top w:val="nil"/>
              <w:left w:val="nil"/>
              <w:bottom w:val="nil"/>
              <w:right w:val="nil"/>
            </w:tcBorders>
            <w:noWrap/>
          </w:tcPr>
          <w:p>
            <w:pPr>
              <w:pStyle w:val="yTableNAm"/>
            </w:pPr>
            <w:r>
              <w:t>Wagin</w:t>
            </w:r>
          </w:p>
        </w:tc>
        <w:tc>
          <w:tcPr>
            <w:tcW w:w="1810" w:type="dxa"/>
            <w:tcBorders>
              <w:top w:val="nil"/>
              <w:left w:val="nil"/>
              <w:bottom w:val="nil"/>
              <w:right w:val="nil"/>
            </w:tcBorders>
            <w:noWrap/>
          </w:tcPr>
          <w:p>
            <w:pPr>
              <w:pStyle w:val="yTableNAm"/>
              <w:jc w:val="center"/>
            </w:pPr>
            <w:r>
              <w:t>17.922</w:t>
            </w:r>
          </w:p>
        </w:tc>
        <w:tc>
          <w:tcPr>
            <w:tcW w:w="2160" w:type="dxa"/>
            <w:tcBorders>
              <w:top w:val="nil"/>
              <w:left w:val="nil"/>
              <w:bottom w:val="nil"/>
              <w:right w:val="nil"/>
            </w:tcBorders>
            <w:noWrap/>
          </w:tcPr>
          <w:p>
            <w:pPr>
              <w:pStyle w:val="yTableNAm"/>
              <w:jc w:val="center"/>
            </w:pPr>
            <w:r>
              <w:t>45.286</w:t>
            </w:r>
          </w:p>
        </w:tc>
      </w:tr>
      <w:tr>
        <w:tc>
          <w:tcPr>
            <w:tcW w:w="2159" w:type="dxa"/>
            <w:tcBorders>
              <w:top w:val="nil"/>
              <w:left w:val="nil"/>
              <w:bottom w:val="nil"/>
              <w:right w:val="nil"/>
            </w:tcBorders>
            <w:noWrap/>
          </w:tcPr>
          <w:p>
            <w:pPr>
              <w:pStyle w:val="yTableNAm"/>
            </w:pPr>
            <w:r>
              <w:t>Walpole</w:t>
            </w:r>
          </w:p>
        </w:tc>
        <w:tc>
          <w:tcPr>
            <w:tcW w:w="1810" w:type="dxa"/>
            <w:tcBorders>
              <w:top w:val="nil"/>
              <w:left w:val="nil"/>
              <w:bottom w:val="nil"/>
              <w:right w:val="nil"/>
            </w:tcBorders>
            <w:noWrap/>
          </w:tcPr>
          <w:p>
            <w:pPr>
              <w:pStyle w:val="yTableNAm"/>
              <w:jc w:val="center"/>
            </w:pPr>
            <w:r>
              <w:t>24.655</w:t>
            </w:r>
          </w:p>
        </w:tc>
        <w:tc>
          <w:tcPr>
            <w:tcW w:w="2160" w:type="dxa"/>
            <w:tcBorders>
              <w:top w:val="nil"/>
              <w:left w:val="nil"/>
              <w:bottom w:val="nil"/>
              <w:right w:val="nil"/>
            </w:tcBorders>
            <w:noWrap/>
          </w:tcPr>
          <w:p>
            <w:pPr>
              <w:pStyle w:val="yTableNAm"/>
              <w:jc w:val="center"/>
            </w:pPr>
            <w:r>
              <w:t>43.388</w:t>
            </w:r>
          </w:p>
        </w:tc>
      </w:tr>
      <w:tr>
        <w:tc>
          <w:tcPr>
            <w:tcW w:w="2159" w:type="dxa"/>
            <w:tcBorders>
              <w:top w:val="nil"/>
              <w:left w:val="nil"/>
              <w:bottom w:val="nil"/>
              <w:right w:val="nil"/>
            </w:tcBorders>
            <w:noWrap/>
          </w:tcPr>
          <w:p>
            <w:pPr>
              <w:pStyle w:val="yTableNAm"/>
            </w:pPr>
            <w:r>
              <w:t>Waroona</w:t>
            </w:r>
          </w:p>
        </w:tc>
        <w:tc>
          <w:tcPr>
            <w:tcW w:w="1810" w:type="dxa"/>
            <w:tcBorders>
              <w:top w:val="nil"/>
              <w:left w:val="nil"/>
              <w:bottom w:val="nil"/>
              <w:right w:val="nil"/>
            </w:tcBorders>
            <w:noWrap/>
          </w:tcPr>
          <w:p>
            <w:pPr>
              <w:pStyle w:val="yTableNAm"/>
              <w:jc w:val="center"/>
            </w:pPr>
            <w:r>
              <w:t>8.995</w:t>
            </w:r>
          </w:p>
        </w:tc>
        <w:tc>
          <w:tcPr>
            <w:tcW w:w="2160" w:type="dxa"/>
            <w:tcBorders>
              <w:top w:val="nil"/>
              <w:left w:val="nil"/>
              <w:bottom w:val="nil"/>
              <w:right w:val="nil"/>
            </w:tcBorders>
            <w:noWrap/>
          </w:tcPr>
          <w:p>
            <w:pPr>
              <w:pStyle w:val="yTableNAm"/>
              <w:jc w:val="center"/>
            </w:pPr>
            <w:r>
              <w:t>16.412</w:t>
            </w:r>
          </w:p>
        </w:tc>
      </w:tr>
      <w:tr>
        <w:tc>
          <w:tcPr>
            <w:tcW w:w="2159" w:type="dxa"/>
            <w:tcBorders>
              <w:top w:val="nil"/>
              <w:left w:val="nil"/>
              <w:bottom w:val="nil"/>
              <w:right w:val="nil"/>
            </w:tcBorders>
            <w:noWrap/>
          </w:tcPr>
          <w:p>
            <w:pPr>
              <w:pStyle w:val="yTableNAm"/>
            </w:pPr>
            <w:r>
              <w:t>Wickham</w:t>
            </w:r>
          </w:p>
        </w:tc>
        <w:tc>
          <w:tcPr>
            <w:tcW w:w="1810" w:type="dxa"/>
            <w:tcBorders>
              <w:top w:val="nil"/>
              <w:left w:val="nil"/>
              <w:bottom w:val="nil"/>
              <w:right w:val="nil"/>
            </w:tcBorders>
            <w:noWrap/>
          </w:tcPr>
          <w:p>
            <w:pPr>
              <w:pStyle w:val="yTableNAm"/>
              <w:jc w:val="center"/>
            </w:pPr>
            <w:r>
              <w:t>11.503</w:t>
            </w:r>
          </w:p>
        </w:tc>
        <w:tc>
          <w:tcPr>
            <w:tcW w:w="2160" w:type="dxa"/>
            <w:tcBorders>
              <w:top w:val="nil"/>
              <w:left w:val="nil"/>
              <w:bottom w:val="nil"/>
              <w:right w:val="nil"/>
            </w:tcBorders>
            <w:noWrap/>
          </w:tcPr>
          <w:p>
            <w:pPr>
              <w:pStyle w:val="yTableNAm"/>
              <w:jc w:val="center"/>
            </w:pPr>
            <w:r>
              <w:t>79.247</w:t>
            </w:r>
          </w:p>
        </w:tc>
      </w:tr>
      <w:tr>
        <w:tc>
          <w:tcPr>
            <w:tcW w:w="2159" w:type="dxa"/>
            <w:tcBorders>
              <w:top w:val="nil"/>
              <w:left w:val="nil"/>
              <w:bottom w:val="nil"/>
              <w:right w:val="nil"/>
            </w:tcBorders>
            <w:noWrap/>
          </w:tcPr>
          <w:p>
            <w:pPr>
              <w:pStyle w:val="yTableNAm"/>
            </w:pPr>
            <w:r>
              <w:t>Williams</w:t>
            </w:r>
          </w:p>
        </w:tc>
        <w:tc>
          <w:tcPr>
            <w:tcW w:w="1810" w:type="dxa"/>
            <w:tcBorders>
              <w:top w:val="nil"/>
              <w:left w:val="nil"/>
              <w:bottom w:val="nil"/>
              <w:right w:val="nil"/>
            </w:tcBorders>
            <w:noWrap/>
          </w:tcPr>
          <w:p>
            <w:pPr>
              <w:pStyle w:val="yTableNAm"/>
              <w:jc w:val="center"/>
            </w:pPr>
            <w:r>
              <w:t>23.648</w:t>
            </w:r>
          </w:p>
        </w:tc>
        <w:tc>
          <w:tcPr>
            <w:tcW w:w="2160" w:type="dxa"/>
            <w:tcBorders>
              <w:top w:val="nil"/>
              <w:left w:val="nil"/>
              <w:bottom w:val="nil"/>
              <w:right w:val="nil"/>
            </w:tcBorders>
            <w:noWrap/>
          </w:tcPr>
          <w:p>
            <w:pPr>
              <w:pStyle w:val="yTableNAm"/>
              <w:jc w:val="center"/>
            </w:pPr>
            <w:r>
              <w:t>36.201</w:t>
            </w:r>
          </w:p>
        </w:tc>
      </w:tr>
      <w:tr>
        <w:tc>
          <w:tcPr>
            <w:tcW w:w="2159" w:type="dxa"/>
            <w:tcBorders>
              <w:top w:val="nil"/>
              <w:left w:val="nil"/>
              <w:bottom w:val="nil"/>
              <w:right w:val="nil"/>
            </w:tcBorders>
            <w:noWrap/>
          </w:tcPr>
          <w:p>
            <w:pPr>
              <w:pStyle w:val="yTableNAm"/>
            </w:pPr>
            <w:r>
              <w:t>Wiluna</w:t>
            </w:r>
          </w:p>
        </w:tc>
        <w:tc>
          <w:tcPr>
            <w:tcW w:w="1810" w:type="dxa"/>
            <w:tcBorders>
              <w:top w:val="nil"/>
              <w:left w:val="nil"/>
              <w:bottom w:val="nil"/>
              <w:right w:val="nil"/>
            </w:tcBorders>
            <w:noWrap/>
          </w:tcPr>
          <w:p>
            <w:pPr>
              <w:pStyle w:val="yTableNAm"/>
              <w:jc w:val="center"/>
            </w:pPr>
            <w:r>
              <w:t>15.355</w:t>
            </w:r>
          </w:p>
        </w:tc>
        <w:tc>
          <w:tcPr>
            <w:tcW w:w="2160" w:type="dxa"/>
            <w:tcBorders>
              <w:top w:val="nil"/>
              <w:left w:val="nil"/>
              <w:bottom w:val="nil"/>
              <w:right w:val="nil"/>
            </w:tcBorders>
            <w:noWrap/>
          </w:tcPr>
          <w:p>
            <w:pPr>
              <w:pStyle w:val="yTableNAm"/>
              <w:jc w:val="center"/>
            </w:pPr>
            <w:r>
              <w:t>14.695</w:t>
            </w:r>
          </w:p>
        </w:tc>
      </w:tr>
      <w:tr>
        <w:tc>
          <w:tcPr>
            <w:tcW w:w="2159" w:type="dxa"/>
            <w:tcBorders>
              <w:top w:val="nil"/>
              <w:left w:val="nil"/>
              <w:bottom w:val="nil"/>
              <w:right w:val="nil"/>
            </w:tcBorders>
            <w:noWrap/>
          </w:tcPr>
          <w:p>
            <w:pPr>
              <w:pStyle w:val="yTableNAm"/>
            </w:pPr>
            <w:r>
              <w:t>Wongan Hills</w:t>
            </w:r>
          </w:p>
        </w:tc>
        <w:tc>
          <w:tcPr>
            <w:tcW w:w="1810" w:type="dxa"/>
            <w:tcBorders>
              <w:top w:val="nil"/>
              <w:left w:val="nil"/>
              <w:bottom w:val="nil"/>
              <w:right w:val="nil"/>
            </w:tcBorders>
            <w:noWrap/>
          </w:tcPr>
          <w:p>
            <w:pPr>
              <w:pStyle w:val="yTableNAm"/>
              <w:jc w:val="center"/>
            </w:pPr>
            <w:r>
              <w:t>18.635</w:t>
            </w:r>
          </w:p>
        </w:tc>
        <w:tc>
          <w:tcPr>
            <w:tcW w:w="2160" w:type="dxa"/>
            <w:tcBorders>
              <w:top w:val="nil"/>
              <w:left w:val="nil"/>
              <w:bottom w:val="nil"/>
              <w:right w:val="nil"/>
            </w:tcBorders>
            <w:noWrap/>
          </w:tcPr>
          <w:p>
            <w:pPr>
              <w:pStyle w:val="yTableNAm"/>
              <w:jc w:val="center"/>
            </w:pPr>
            <w:r>
              <w:t>60.341</w:t>
            </w:r>
          </w:p>
        </w:tc>
      </w:tr>
      <w:tr>
        <w:tc>
          <w:tcPr>
            <w:tcW w:w="2159" w:type="dxa"/>
            <w:tcBorders>
              <w:top w:val="nil"/>
              <w:left w:val="nil"/>
              <w:bottom w:val="nil"/>
              <w:right w:val="nil"/>
            </w:tcBorders>
            <w:noWrap/>
          </w:tcPr>
          <w:p>
            <w:pPr>
              <w:pStyle w:val="yTableNAm"/>
            </w:pPr>
            <w:r>
              <w:t>Wundowie</w:t>
            </w:r>
          </w:p>
        </w:tc>
        <w:tc>
          <w:tcPr>
            <w:tcW w:w="1810" w:type="dxa"/>
            <w:tcBorders>
              <w:top w:val="nil"/>
              <w:left w:val="nil"/>
              <w:bottom w:val="nil"/>
              <w:right w:val="nil"/>
            </w:tcBorders>
            <w:noWrap/>
          </w:tcPr>
          <w:p>
            <w:pPr>
              <w:pStyle w:val="yTableNAm"/>
              <w:jc w:val="center"/>
            </w:pPr>
            <w:r>
              <w:t>18.089</w:t>
            </w:r>
          </w:p>
        </w:tc>
        <w:tc>
          <w:tcPr>
            <w:tcW w:w="2160" w:type="dxa"/>
            <w:tcBorders>
              <w:top w:val="nil"/>
              <w:left w:val="nil"/>
              <w:bottom w:val="nil"/>
              <w:right w:val="nil"/>
            </w:tcBorders>
            <w:noWrap/>
          </w:tcPr>
          <w:p>
            <w:pPr>
              <w:pStyle w:val="yTableNAm"/>
              <w:jc w:val="center"/>
            </w:pPr>
            <w:r>
              <w:t>23.377</w:t>
            </w:r>
          </w:p>
        </w:tc>
      </w:tr>
      <w:tr>
        <w:tc>
          <w:tcPr>
            <w:tcW w:w="2159" w:type="dxa"/>
            <w:tcBorders>
              <w:top w:val="nil"/>
              <w:left w:val="nil"/>
              <w:bottom w:val="nil"/>
              <w:right w:val="nil"/>
            </w:tcBorders>
            <w:noWrap/>
          </w:tcPr>
          <w:p>
            <w:pPr>
              <w:pStyle w:val="yTableNAm"/>
            </w:pPr>
            <w:r>
              <w:t>Wyalkatchem</w:t>
            </w:r>
          </w:p>
        </w:tc>
        <w:tc>
          <w:tcPr>
            <w:tcW w:w="1810" w:type="dxa"/>
            <w:tcBorders>
              <w:top w:val="nil"/>
              <w:left w:val="nil"/>
              <w:bottom w:val="nil"/>
              <w:right w:val="nil"/>
            </w:tcBorders>
            <w:noWrap/>
          </w:tcPr>
          <w:p>
            <w:pPr>
              <w:pStyle w:val="yTableNAm"/>
              <w:jc w:val="center"/>
            </w:pPr>
            <w:r>
              <w:t>39.617</w:t>
            </w:r>
          </w:p>
        </w:tc>
        <w:tc>
          <w:tcPr>
            <w:tcW w:w="2160" w:type="dxa"/>
            <w:tcBorders>
              <w:top w:val="nil"/>
              <w:left w:val="nil"/>
              <w:bottom w:val="nil"/>
              <w:right w:val="nil"/>
            </w:tcBorders>
            <w:noWrap/>
          </w:tcPr>
          <w:p>
            <w:pPr>
              <w:pStyle w:val="yTableNAm"/>
              <w:jc w:val="center"/>
            </w:pPr>
            <w:r>
              <w:t>207.937</w:t>
            </w:r>
          </w:p>
        </w:tc>
      </w:tr>
      <w:tr>
        <w:tc>
          <w:tcPr>
            <w:tcW w:w="2159" w:type="dxa"/>
            <w:tcBorders>
              <w:top w:val="nil"/>
              <w:left w:val="nil"/>
              <w:bottom w:val="nil"/>
              <w:right w:val="nil"/>
            </w:tcBorders>
            <w:noWrap/>
          </w:tcPr>
          <w:p>
            <w:pPr>
              <w:pStyle w:val="yTableNAm"/>
            </w:pPr>
            <w:r>
              <w:t>Wyndham</w:t>
            </w:r>
          </w:p>
        </w:tc>
        <w:tc>
          <w:tcPr>
            <w:tcW w:w="1810" w:type="dxa"/>
            <w:tcBorders>
              <w:top w:val="nil"/>
              <w:left w:val="nil"/>
              <w:bottom w:val="nil"/>
              <w:right w:val="nil"/>
            </w:tcBorders>
            <w:noWrap/>
          </w:tcPr>
          <w:p>
            <w:pPr>
              <w:pStyle w:val="yTableNAm"/>
              <w:jc w:val="center"/>
            </w:pPr>
            <w:r>
              <w:t>51.902</w:t>
            </w:r>
          </w:p>
        </w:tc>
        <w:tc>
          <w:tcPr>
            <w:tcW w:w="2160" w:type="dxa"/>
            <w:tcBorders>
              <w:top w:val="nil"/>
              <w:left w:val="nil"/>
              <w:bottom w:val="nil"/>
              <w:right w:val="nil"/>
            </w:tcBorders>
            <w:noWrap/>
          </w:tcPr>
          <w:p>
            <w:pPr>
              <w:pStyle w:val="yTableNAm"/>
              <w:jc w:val="center"/>
            </w:pPr>
            <w:r>
              <w:t>225.485</w:t>
            </w:r>
          </w:p>
        </w:tc>
      </w:tr>
      <w:tr>
        <w:tc>
          <w:tcPr>
            <w:tcW w:w="2159" w:type="dxa"/>
            <w:tcBorders>
              <w:top w:val="nil"/>
              <w:left w:val="nil"/>
              <w:bottom w:val="nil"/>
              <w:right w:val="nil"/>
            </w:tcBorders>
            <w:noWrap/>
          </w:tcPr>
          <w:p>
            <w:pPr>
              <w:pStyle w:val="yTableNAm"/>
            </w:pPr>
            <w:r>
              <w:t>York</w:t>
            </w:r>
          </w:p>
        </w:tc>
        <w:tc>
          <w:tcPr>
            <w:tcW w:w="1810" w:type="dxa"/>
            <w:tcBorders>
              <w:top w:val="nil"/>
              <w:left w:val="nil"/>
              <w:bottom w:val="nil"/>
              <w:right w:val="nil"/>
            </w:tcBorders>
            <w:noWrap/>
          </w:tcPr>
          <w:p>
            <w:pPr>
              <w:pStyle w:val="yTableNAm"/>
              <w:jc w:val="center"/>
            </w:pPr>
            <w:r>
              <w:t>1.575</w:t>
            </w:r>
          </w:p>
        </w:tc>
        <w:tc>
          <w:tcPr>
            <w:tcW w:w="2160" w:type="dxa"/>
            <w:tcBorders>
              <w:top w:val="nil"/>
              <w:left w:val="nil"/>
              <w:bottom w:val="nil"/>
              <w:right w:val="nil"/>
            </w:tcBorders>
            <w:noWrap/>
          </w:tcPr>
          <w:p>
            <w:pPr>
              <w:pStyle w:val="yTableNAm"/>
              <w:jc w:val="center"/>
            </w:pPr>
            <w:r>
              <w:t>3.113</w:t>
            </w:r>
          </w:p>
        </w:tc>
      </w:tr>
      <w:tr>
        <w:tc>
          <w:tcPr>
            <w:tcW w:w="2159" w:type="dxa"/>
            <w:tcBorders>
              <w:top w:val="nil"/>
              <w:left w:val="nil"/>
              <w:bottom w:val="single" w:sz="4" w:space="0" w:color="auto"/>
              <w:right w:val="nil"/>
            </w:tcBorders>
            <w:noWrap/>
          </w:tcPr>
          <w:p>
            <w:pPr>
              <w:pStyle w:val="yTableNAm"/>
            </w:pPr>
            <w:r>
              <w:t>Yunderup</w:t>
            </w:r>
          </w:p>
        </w:tc>
        <w:tc>
          <w:tcPr>
            <w:tcW w:w="1810" w:type="dxa"/>
            <w:tcBorders>
              <w:top w:val="nil"/>
              <w:left w:val="nil"/>
              <w:bottom w:val="single" w:sz="4" w:space="0" w:color="auto"/>
              <w:right w:val="nil"/>
            </w:tcBorders>
            <w:noWrap/>
          </w:tcPr>
          <w:p>
            <w:pPr>
              <w:pStyle w:val="yTableNAm"/>
              <w:jc w:val="center"/>
            </w:pPr>
            <w:r>
              <w:t>7.141</w:t>
            </w:r>
          </w:p>
        </w:tc>
        <w:tc>
          <w:tcPr>
            <w:tcW w:w="2160" w:type="dxa"/>
            <w:tcBorders>
              <w:top w:val="nil"/>
              <w:left w:val="nil"/>
              <w:bottom w:val="single" w:sz="4" w:space="0" w:color="auto"/>
              <w:right w:val="nil"/>
            </w:tcBorders>
            <w:noWrap/>
          </w:tcPr>
          <w:p>
            <w:pPr>
              <w:pStyle w:val="yTableNAm"/>
              <w:jc w:val="center"/>
            </w:pPr>
            <w:r>
              <w:t>8.065</w:t>
            </w:r>
          </w:p>
        </w:tc>
      </w:tr>
    </w:tbl>
    <w:p>
      <w:pPr>
        <w:pStyle w:val="yFootnotesection"/>
      </w:pPr>
      <w:r>
        <w:tab/>
        <w:t>[Division 1 inserted: SL 2021/80 r. 8.]</w:t>
      </w:r>
    </w:p>
    <w:p>
      <w:pPr>
        <w:pStyle w:val="yHeading3"/>
      </w:pPr>
      <w:bookmarkStart w:id="273" w:name="_Toc106104038"/>
      <w:bookmarkStart w:id="274" w:name="_Toc106104266"/>
      <w:bookmarkStart w:id="275" w:name="_Toc106179794"/>
      <w:bookmarkStart w:id="276" w:name="_Toc106180022"/>
      <w:r>
        <w:rPr>
          <w:rStyle w:val="CharSDivNo"/>
        </w:rPr>
        <w:lastRenderedPageBreak/>
        <w:t>Division 2</w:t>
      </w:r>
      <w:r>
        <w:t> — </w:t>
      </w:r>
      <w:r>
        <w:rPr>
          <w:rStyle w:val="CharSDivText"/>
        </w:rPr>
        <w:t>Combined charges for certain non</w:t>
      </w:r>
      <w:r>
        <w:rPr>
          <w:rStyle w:val="CharSDivText"/>
        </w:rPr>
        <w:noBreakHyphen/>
        <w:t>residential property</w:t>
      </w:r>
      <w:bookmarkEnd w:id="273"/>
      <w:bookmarkEnd w:id="274"/>
      <w:bookmarkEnd w:id="275"/>
      <w:bookmarkEnd w:id="276"/>
    </w:p>
    <w:p>
      <w:pPr>
        <w:pStyle w:val="yFootnoteheading"/>
        <w:keepNext/>
      </w:pPr>
      <w:r>
        <w:tab/>
        <w:t>[Heading inserted: SL 2021/80 r. 8.]</w:t>
      </w:r>
    </w:p>
    <w:p>
      <w:pPr>
        <w:pStyle w:val="yHeading4"/>
      </w:pPr>
      <w:bookmarkStart w:id="277" w:name="_Toc106104039"/>
      <w:bookmarkStart w:id="278" w:name="_Toc106104267"/>
      <w:bookmarkStart w:id="279" w:name="_Toc106179795"/>
      <w:bookmarkStart w:id="280" w:name="_Toc106180023"/>
      <w:r>
        <w:t>Subdivision 1 — Preliminary</w:t>
      </w:r>
      <w:bookmarkEnd w:id="277"/>
      <w:bookmarkEnd w:id="278"/>
      <w:bookmarkEnd w:id="279"/>
      <w:bookmarkEnd w:id="280"/>
    </w:p>
    <w:p>
      <w:pPr>
        <w:pStyle w:val="yFootnoteheading"/>
        <w:keepNext/>
      </w:pPr>
      <w:r>
        <w:tab/>
        <w:t>[Heading inserted: SL 2021/80 r. 8.]</w:t>
      </w:r>
    </w:p>
    <w:p>
      <w:pPr>
        <w:pStyle w:val="yHeading5"/>
      </w:pPr>
      <w:bookmarkStart w:id="281" w:name="_Toc106180024"/>
      <w:r>
        <w:t>12.</w:t>
      </w:r>
      <w:r>
        <w:tab/>
        <w:t>Combined charges for 2021/22 and subsequent years</w:t>
      </w:r>
      <w:bookmarkEnd w:id="281"/>
    </w:p>
    <w:p>
      <w:pPr>
        <w:pStyle w:val="ySubsection"/>
      </w:pPr>
      <w:r>
        <w:tab/>
      </w:r>
      <w:r>
        <w:tab/>
        <w:t>The charges set out in this Division apply for sewerage services provided and wastewater discharged in the 2021/22 financial year and each subsequent year.</w:t>
      </w:r>
    </w:p>
    <w:p>
      <w:pPr>
        <w:pStyle w:val="yHeading4"/>
      </w:pPr>
      <w:bookmarkStart w:id="282" w:name="_Toc106104041"/>
      <w:bookmarkStart w:id="283" w:name="_Toc106104269"/>
      <w:bookmarkStart w:id="284" w:name="_Toc106179797"/>
      <w:bookmarkStart w:id="285" w:name="_Toc106180025"/>
      <w:r>
        <w:t>Subdivision 2 — Combined charges: metropolitan</w:t>
      </w:r>
      <w:bookmarkEnd w:id="282"/>
      <w:bookmarkEnd w:id="283"/>
      <w:bookmarkEnd w:id="284"/>
      <w:bookmarkEnd w:id="285"/>
    </w:p>
    <w:p>
      <w:pPr>
        <w:pStyle w:val="yFootnoteheading"/>
      </w:pPr>
      <w:r>
        <w:tab/>
        <w:t>[Heading inserted: SL 2021/80 r. 8.]</w:t>
      </w:r>
    </w:p>
    <w:p>
      <w:pPr>
        <w:pStyle w:val="yHeading5"/>
      </w:pPr>
      <w:bookmarkStart w:id="286" w:name="_Toc106180026"/>
      <w:r>
        <w:t>13.</w:t>
      </w:r>
      <w:r>
        <w:tab/>
        <w:t>Metropolitan non</w:t>
      </w:r>
      <w:r>
        <w:noBreakHyphen/>
        <w:t>residential</w:t>
      </w:r>
      <w:bookmarkEnd w:id="286"/>
    </w:p>
    <w:p>
      <w:pPr>
        <w:pStyle w:val="ySubsection"/>
      </w:pPr>
      <w:r>
        <w:tab/>
      </w:r>
      <w:r>
        <w:tab/>
        <w:t>For land in the metropolitan area that —</w:t>
      </w:r>
    </w:p>
    <w:p>
      <w:pPr>
        <w:pStyle w:val="yIndenta"/>
      </w:pPr>
      <w:r>
        <w:tab/>
        <w:t>(a)</w:t>
      </w:r>
      <w:r>
        <w:tab/>
        <w:t>is not contained in a residential property; and</w:t>
      </w:r>
    </w:p>
    <w:p>
      <w:pPr>
        <w:pStyle w:val="yIndenta"/>
      </w:pPr>
      <w:r>
        <w:tab/>
        <w:t>(b)</w:t>
      </w:r>
      <w:r>
        <w:tab/>
        <w:t>is not covered by item 3, 4, 5, 6, 14, 15, 16 or 17,</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P</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418" w:hanging="851"/>
      </w:pPr>
      <w:r>
        <w:tab/>
        <w:t xml:space="preserve">where — </w:t>
      </w:r>
    </w:p>
    <w:p>
      <w:pPr>
        <w:pStyle w:val="yMiscellaneousBody"/>
        <w:tabs>
          <w:tab w:val="left" w:pos="284"/>
          <w:tab w:val="left" w:pos="1418"/>
          <w:tab w:val="left" w:pos="1701"/>
        </w:tabs>
        <w:ind w:left="1418" w:hanging="851"/>
      </w:pPr>
      <w:r>
        <w:tab/>
      </w:r>
      <w:r>
        <w:rPr>
          <w:b/>
        </w:rPr>
        <w:t>P</w:t>
      </w:r>
      <w:r>
        <w:tab/>
        <w:t xml:space="preserve">is the service charge calculated in accordance with </w:t>
      </w:r>
      <w:r>
        <w:tab/>
        <w:t>item 18;</w:t>
      </w:r>
    </w:p>
    <w:p>
      <w:pPr>
        <w:pStyle w:val="yMiscellaneousBody"/>
        <w:keepNext/>
        <w:tabs>
          <w:tab w:val="left" w:pos="284"/>
          <w:tab w:val="left" w:pos="1418"/>
          <w:tab w:val="left" w:pos="1701"/>
        </w:tabs>
        <w:ind w:left="1418" w:hanging="851"/>
      </w:pPr>
      <w:r>
        <w:tab/>
      </w:r>
      <w:r>
        <w:rPr>
          <w:b/>
        </w:rPr>
        <w:t>Q</w:t>
      </w:r>
      <w:r>
        <w:tab/>
        <w:t xml:space="preserve">is the discharge charge calculated in accordance with </w:t>
      </w:r>
      <w:r>
        <w:tab/>
        <w:t>item 19.</w:t>
      </w:r>
    </w:p>
    <w:p>
      <w:pPr>
        <w:pStyle w:val="yHeading5"/>
      </w:pPr>
      <w:bookmarkStart w:id="287" w:name="_Toc106180027"/>
      <w:r>
        <w:t>14.</w:t>
      </w:r>
      <w:r>
        <w:tab/>
        <w:t>Metropolitan government trading organisation and non</w:t>
      </w:r>
      <w:r>
        <w:noBreakHyphen/>
        <w:t>commercial government property</w:t>
      </w:r>
      <w:bookmarkEnd w:id="287"/>
    </w:p>
    <w:p>
      <w:pPr>
        <w:pStyle w:val="ySubsection"/>
      </w:pPr>
      <w:r>
        <w:tab/>
        <w:t>(1)</w:t>
      </w:r>
      <w:r>
        <w:tab/>
        <w:t>For land in the metropolitan area held by a government trading organisation or a public authority that holds non</w:t>
      </w:r>
      <w:r>
        <w:noBreakHyphen/>
        <w:t>commercial government property, the charge is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1418" w:hanging="851"/>
      </w:pPr>
      <w:r>
        <w:lastRenderedPageBreak/>
        <w:tab/>
        <w:t xml:space="preserve">where — </w:t>
      </w:r>
    </w:p>
    <w:p>
      <w:pPr>
        <w:pStyle w:val="yMiscellaneousBody"/>
        <w:tabs>
          <w:tab w:val="left" w:pos="284"/>
          <w:tab w:val="left" w:pos="1418"/>
          <w:tab w:val="left" w:pos="1701"/>
        </w:tabs>
        <w:ind w:left="1418" w:hanging="851"/>
      </w:pPr>
      <w:r>
        <w:tab/>
      </w:r>
      <w:r>
        <w:rPr>
          <w:b/>
        </w:rPr>
        <w:t>Y</w:t>
      </w:r>
      <w:r>
        <w:tab/>
        <w:t xml:space="preserve">is the charge according to the number of connected major </w:t>
      </w:r>
      <w:r>
        <w:tab/>
        <w:t>fixtures calculated in accordance with item 18;</w:t>
      </w:r>
    </w:p>
    <w:p>
      <w:pPr>
        <w:pStyle w:val="yMiscellaneousBody"/>
        <w:tabs>
          <w:tab w:val="left" w:pos="284"/>
          <w:tab w:val="left" w:pos="1418"/>
          <w:tab w:val="left" w:pos="1701"/>
        </w:tabs>
        <w:ind w:left="1418" w:hanging="851"/>
      </w:pPr>
      <w:r>
        <w:tab/>
      </w:r>
      <w:r>
        <w:rPr>
          <w:b/>
        </w:rPr>
        <w:t>Q</w:t>
      </w:r>
      <w:r>
        <w:tab/>
        <w:t xml:space="preserve">is the discharge charge calculated in accordance with </w:t>
      </w:r>
      <w:r>
        <w:tab/>
        <w:t>item 19.</w:t>
      </w:r>
    </w:p>
    <w:p>
      <w:pPr>
        <w:pStyle w:val="ySubsection"/>
      </w:pPr>
      <w:r>
        <w:tab/>
        <w:t>(2)</w:t>
      </w:r>
      <w:r>
        <w:tab/>
        <w:t>Sub</w:t>
      </w:r>
      <w:r>
        <w:noBreakHyphen/>
        <w:t>item (1) does not apply to public land.</w:t>
      </w:r>
    </w:p>
    <w:p>
      <w:pPr>
        <w:pStyle w:val="yHeading5"/>
      </w:pPr>
      <w:bookmarkStart w:id="288" w:name="_Toc106180028"/>
      <w:r>
        <w:t>15.</w:t>
      </w:r>
      <w:r>
        <w:tab/>
        <w:t>Metropolitan non</w:t>
      </w:r>
      <w:r>
        <w:noBreakHyphen/>
        <w:t>strata titled caravan park with long</w:t>
      </w:r>
      <w:r>
        <w:noBreakHyphen/>
        <w:t>term residential caravan bays</w:t>
      </w:r>
      <w:bookmarkEnd w:id="288"/>
    </w:p>
    <w:p>
      <w:pPr>
        <w:pStyle w:val="ySubsection"/>
      </w:pPr>
      <w:r>
        <w:tab/>
      </w:r>
      <w:r>
        <w:tab/>
        <w:t>For a caravan park in the metropolitan area that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418" w:hanging="851"/>
      </w:pPr>
      <w:r>
        <w:rPr>
          <w:b/>
        </w:rPr>
        <w:tab/>
        <w:t>AA</w:t>
      </w:r>
      <w:r>
        <w:tab/>
        <w:t xml:space="preserve">is </w:t>
      </w:r>
      <w:r>
        <w:rPr>
          <w:szCs w:val="22"/>
        </w:rPr>
        <w:t>$</w:t>
      </w:r>
      <w:r>
        <w:t>343</w:t>
      </w:r>
      <w:r>
        <w:rPr>
          <w:szCs w:val="22"/>
        </w:rPr>
        <w:t xml:space="preserve">.08 </w:t>
      </w:r>
      <w:r>
        <w:t>for each long</w:t>
      </w:r>
      <w:r>
        <w:noBreakHyphen/>
        <w:t>term residential caravan bay;</w:t>
      </w:r>
    </w:p>
    <w:p>
      <w:pPr>
        <w:pStyle w:val="yMiscellaneousBody"/>
        <w:keepNext/>
        <w:tabs>
          <w:tab w:val="left" w:pos="284"/>
          <w:tab w:val="left" w:pos="1418"/>
          <w:tab w:val="left" w:pos="1843"/>
        </w:tabs>
        <w:ind w:left="1418" w:hanging="851"/>
      </w:pPr>
      <w:r>
        <w:rPr>
          <w:b/>
        </w:rPr>
        <w:tab/>
        <w:t>AB</w:t>
      </w:r>
      <w:r>
        <w:tab/>
        <w:t xml:space="preserve">is, for those parts of the caravan park not contained in </w:t>
      </w:r>
      <w:r>
        <w:tab/>
        <w:t>long</w:t>
      </w:r>
      <w:r>
        <w:noBreakHyphen/>
        <w:t xml:space="preserve">term residential caravan bays — </w:t>
      </w:r>
    </w:p>
    <w:p>
      <w:pPr>
        <w:pStyle w:val="Equation"/>
        <w:keepNext/>
        <w:spacing w:before="120"/>
        <w:ind w:left="1843"/>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keepLines/>
        <w:tabs>
          <w:tab w:val="left" w:pos="284"/>
          <w:tab w:val="right" w:leader="dot" w:pos="6804"/>
        </w:tabs>
        <w:ind w:left="1843"/>
      </w:pPr>
      <w:r>
        <w:t xml:space="preserve">where — </w:t>
      </w:r>
    </w:p>
    <w:p>
      <w:pPr>
        <w:pStyle w:val="yMiscellaneousBody"/>
        <w:tabs>
          <w:tab w:val="left" w:pos="284"/>
          <w:tab w:val="left" w:pos="1843"/>
          <w:tab w:val="left" w:pos="2268"/>
        </w:tabs>
        <w:ind w:left="1843"/>
      </w:pPr>
      <w:r>
        <w:rPr>
          <w:b/>
        </w:rPr>
        <w:t>Y</w:t>
      </w:r>
      <w:r>
        <w:tab/>
        <w:t xml:space="preserve">is the </w:t>
      </w:r>
      <w:r>
        <w:rPr>
          <w:szCs w:val="22"/>
        </w:rPr>
        <w:t>charge</w:t>
      </w:r>
      <w:r>
        <w:t xml:space="preserve"> according to the number of connected </w:t>
      </w:r>
      <w:r>
        <w:tab/>
        <w:t xml:space="preserve">major fixtures calculated in accordance with </w:t>
      </w:r>
      <w:r>
        <w:tab/>
        <w:t>item 18;</w:t>
      </w:r>
    </w:p>
    <w:p>
      <w:pPr>
        <w:pStyle w:val="yMiscellaneousBody"/>
        <w:tabs>
          <w:tab w:val="left" w:pos="284"/>
          <w:tab w:val="left" w:pos="2268"/>
        </w:tabs>
        <w:ind w:left="1843"/>
      </w:pPr>
      <w:r>
        <w:rPr>
          <w:b/>
        </w:rPr>
        <w:t>Q</w:t>
      </w:r>
      <w:r>
        <w:tab/>
        <w:t xml:space="preserve">is the discharge charge calculated in accordance </w:t>
      </w:r>
      <w:r>
        <w:tab/>
        <w:t>with item 19.</w:t>
      </w:r>
    </w:p>
    <w:p>
      <w:pPr>
        <w:pStyle w:val="yHeading5"/>
      </w:pPr>
      <w:bookmarkStart w:id="289" w:name="_Toc106180029"/>
      <w:r>
        <w:t>16.</w:t>
      </w:r>
      <w:r>
        <w:tab/>
        <w:t>Metropolitan nursing home</w:t>
      </w:r>
      <w:bookmarkEnd w:id="289"/>
    </w:p>
    <w:p>
      <w:pPr>
        <w:pStyle w:val="ySubsection"/>
      </w:pPr>
      <w:r>
        <w:tab/>
      </w:r>
      <w:r>
        <w:tab/>
        <w:t>For a nursing home in the metropolitan area, other than a nursing home that is, or is part of, an aged home, 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51" w:firstLine="567"/>
      </w:pPr>
      <w:r>
        <w:lastRenderedPageBreak/>
        <w:t xml:space="preserve">where — </w:t>
      </w:r>
    </w:p>
    <w:p>
      <w:pPr>
        <w:pStyle w:val="yMiscellaneousBody"/>
        <w:tabs>
          <w:tab w:val="left" w:pos="284"/>
          <w:tab w:val="left" w:pos="1418"/>
          <w:tab w:val="left" w:pos="1843"/>
        </w:tabs>
        <w:ind w:left="1418"/>
      </w:pPr>
      <w:r>
        <w:rPr>
          <w:b/>
        </w:rPr>
        <w:t>Q</w:t>
      </w:r>
      <w:r>
        <w:tab/>
        <w:t xml:space="preserve">is the discharge charge calculated in accordance with </w:t>
      </w:r>
      <w:r>
        <w:tab/>
        <w:t>item 19;</w:t>
      </w:r>
    </w:p>
    <w:p>
      <w:pPr>
        <w:pStyle w:val="yMiscellaneousBody"/>
        <w:tabs>
          <w:tab w:val="left" w:pos="284"/>
          <w:tab w:val="left" w:pos="1418"/>
          <w:tab w:val="left" w:pos="1843"/>
        </w:tabs>
        <w:ind w:left="1418"/>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843"/>
        </w:tabs>
        <w:ind w:left="1418"/>
      </w:pPr>
      <w:r>
        <w:rPr>
          <w:b/>
        </w:rPr>
        <w:t>U</w:t>
      </w:r>
      <w:r>
        <w:tab/>
        <w:t>is the number of beds in the nursing home;</w:t>
      </w:r>
    </w:p>
    <w:p>
      <w:pPr>
        <w:pStyle w:val="yMiscellaneousBody"/>
        <w:tabs>
          <w:tab w:val="left" w:pos="284"/>
          <w:tab w:val="left" w:pos="1418"/>
          <w:tab w:val="left" w:pos="1843"/>
        </w:tabs>
        <w:ind w:left="1418"/>
      </w:pPr>
      <w:r>
        <w:rPr>
          <w:b/>
        </w:rPr>
        <w:t>V</w:t>
      </w:r>
      <w:r>
        <w:tab/>
        <w:t xml:space="preserve">is </w:t>
      </w:r>
      <w:r>
        <w:rPr>
          <w:szCs w:val="22"/>
        </w:rPr>
        <w:t>$</w:t>
      </w:r>
      <w:r>
        <w:t>194.1</w:t>
      </w:r>
      <w:r>
        <w:rPr>
          <w:szCs w:val="22"/>
        </w:rPr>
        <w:t>4.</w:t>
      </w:r>
    </w:p>
    <w:p>
      <w:pPr>
        <w:pStyle w:val="yHeading5"/>
      </w:pPr>
      <w:bookmarkStart w:id="290" w:name="_Toc106180030"/>
      <w:r>
        <w:t>17.</w:t>
      </w:r>
      <w:r>
        <w:tab/>
        <w:t>Certain metropolitan units</w:t>
      </w:r>
      <w:bookmarkEnd w:id="290"/>
      <w:r>
        <w:t xml:space="preserve"> </w:t>
      </w:r>
    </w:p>
    <w:p>
      <w:pPr>
        <w:pStyle w:val="ySubsection"/>
      </w:pPr>
      <w:r>
        <w:tab/>
      </w:r>
      <w:r>
        <w:tab/>
        <w:t>For land in the metropolitan area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scheme plan for a strata titles scheme or a community titles scheme is less than the number of those units,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418"/>
      </w:pPr>
      <w:r>
        <w:rPr>
          <w:b/>
        </w:rPr>
        <w:t>T</w:t>
      </w:r>
      <w:r>
        <w:tab/>
        <w:t xml:space="preserve">is </w:t>
      </w:r>
      <w:r>
        <w:rPr>
          <w:szCs w:val="22"/>
        </w:rPr>
        <w:t>$666.95</w:t>
      </w:r>
      <w:r>
        <w:t>;</w:t>
      </w:r>
    </w:p>
    <w:p>
      <w:pPr>
        <w:pStyle w:val="yMiscellaneousBody"/>
        <w:tabs>
          <w:tab w:val="left" w:pos="284"/>
          <w:tab w:val="left" w:pos="1418"/>
          <w:tab w:val="left" w:pos="1843"/>
        </w:tabs>
        <w:ind w:left="1418"/>
      </w:pPr>
      <w:r>
        <w:rPr>
          <w:b/>
        </w:rPr>
        <w:t>Q</w:t>
      </w:r>
      <w:r>
        <w:tab/>
        <w:t xml:space="preserve">is the </w:t>
      </w:r>
      <w:r>
        <w:rPr>
          <w:szCs w:val="22"/>
        </w:rPr>
        <w:t>discharge</w:t>
      </w:r>
      <w:r>
        <w:t xml:space="preserve"> charge calculated in accordance </w:t>
      </w:r>
      <w:r>
        <w:tab/>
        <w:t>with item 19.</w:t>
      </w:r>
    </w:p>
    <w:p>
      <w:pPr>
        <w:pStyle w:val="yHeading4"/>
      </w:pPr>
      <w:bookmarkStart w:id="291" w:name="_Toc106104047"/>
      <w:bookmarkStart w:id="292" w:name="_Toc106104275"/>
      <w:bookmarkStart w:id="293" w:name="_Toc106179803"/>
      <w:bookmarkStart w:id="294" w:name="_Toc106180031"/>
      <w:r>
        <w:lastRenderedPageBreak/>
        <w:t>Subdivision 3 — Calculation of certain factors for the purposes of Subdivision 2</w:t>
      </w:r>
      <w:bookmarkEnd w:id="291"/>
      <w:bookmarkEnd w:id="292"/>
      <w:bookmarkEnd w:id="293"/>
      <w:bookmarkEnd w:id="294"/>
    </w:p>
    <w:p>
      <w:pPr>
        <w:pStyle w:val="yFootnoteheading"/>
        <w:keepNext/>
      </w:pPr>
      <w:r>
        <w:tab/>
        <w:t>[Heading inserted: SL 2021/80 r. 8.]</w:t>
      </w:r>
    </w:p>
    <w:p>
      <w:pPr>
        <w:pStyle w:val="yHeading5"/>
      </w:pPr>
      <w:bookmarkStart w:id="295" w:name="_Toc106180032"/>
      <w:r>
        <w:t>18.</w:t>
      </w:r>
      <w:r>
        <w:tab/>
        <w:t>Service charge</w:t>
      </w:r>
      <w:bookmarkEnd w:id="295"/>
    </w:p>
    <w:p>
      <w:pPr>
        <w:pStyle w:val="ySubsection"/>
      </w:pPr>
      <w:r>
        <w:tab/>
      </w:r>
      <w:r>
        <w:tab/>
        <w:t>The service charge (</w:t>
      </w:r>
      <w:r>
        <w:rPr>
          <w:b/>
          <w:i/>
        </w:rPr>
        <w:t>P</w:t>
      </w:r>
      <w:r>
        <w:t>) is the charge, according to the number of major fixtures for the land, that is the sum of the charges for each fixture as set out in the Table.</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rPr>
                <w:b/>
              </w:rP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482"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r>
              <w:rPr>
                <w:szCs w:val="22"/>
              </w:rPr>
              <w:t>072.88</w:t>
            </w:r>
          </w:p>
        </w:tc>
      </w:tr>
      <w:tr>
        <w:tc>
          <w:tcPr>
            <w:tcW w:w="2268" w:type="dxa"/>
            <w:noWrap/>
            <w:tcMar>
              <w:left w:w="482"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$459.25</w:t>
            </w:r>
          </w:p>
        </w:tc>
      </w:tr>
      <w:tr>
        <w:tc>
          <w:tcPr>
            <w:tcW w:w="2268" w:type="dxa"/>
            <w:noWrap/>
            <w:tcMar>
              <w:left w:w="482" w:type="dxa"/>
            </w:tcMar>
          </w:tcPr>
          <w:p>
            <w:pPr>
              <w:pStyle w:val="yTableNAm"/>
              <w:tabs>
                <w:tab w:val="clear" w:pos="567"/>
                <w:tab w:val="left" w:pos="384"/>
              </w:tabs>
              <w:ind w:left="370" w:hanging="370"/>
            </w:pPr>
            <w:r>
              <w:t>3</w:t>
            </w:r>
            <w:r>
              <w:rPr>
                <w:vertAlign w:val="superscript"/>
              </w:rPr>
              <w:t>rd</w:t>
            </w:r>
            <w:r>
              <w:tab/>
              <w:t>fixture</w:t>
            </w:r>
          </w:p>
        </w:tc>
        <w:tc>
          <w:tcPr>
            <w:tcW w:w="2268" w:type="dxa"/>
            <w:noWrap/>
          </w:tcPr>
          <w:p>
            <w:pPr>
              <w:pStyle w:val="yTableNAm"/>
              <w:jc w:val="center"/>
            </w:pPr>
            <w:r>
              <w:rPr>
                <w:szCs w:val="22"/>
              </w:rPr>
              <w:t>$613.32</w:t>
            </w:r>
          </w:p>
        </w:tc>
      </w:tr>
      <w:tr>
        <w:tc>
          <w:tcPr>
            <w:tcW w:w="2268" w:type="dxa"/>
            <w:tcBorders>
              <w:bottom w:val="single" w:sz="4" w:space="0" w:color="auto"/>
            </w:tcBorders>
            <w:noWrap/>
            <w:tcMar>
              <w:left w:w="482" w:type="dxa"/>
            </w:tcMar>
          </w:tcPr>
          <w:p>
            <w:pPr>
              <w:pStyle w:val="yTableNAm"/>
              <w:tabs>
                <w:tab w:val="clear" w:pos="567"/>
                <w:tab w:val="left" w:pos="384"/>
              </w:tabs>
              <w:ind w:left="370" w:hanging="370"/>
            </w:pPr>
            <w:r>
              <w:t>4</w:t>
            </w:r>
            <w:r>
              <w:rPr>
                <w:vertAlign w:val="superscript"/>
              </w:rPr>
              <w:t>th</w:t>
            </w:r>
            <w:r>
              <w:tab/>
              <w:t>and</w:t>
            </w:r>
            <w:r>
              <w:br/>
              <w:t>subsequent</w:t>
            </w:r>
            <w:r>
              <w:br/>
              <w:t>fixtures</w:t>
            </w:r>
          </w:p>
        </w:tc>
        <w:tc>
          <w:tcPr>
            <w:tcW w:w="2268" w:type="dxa"/>
            <w:tcBorders>
              <w:bottom w:val="single" w:sz="4" w:space="0" w:color="auto"/>
            </w:tcBorders>
            <w:noWrap/>
          </w:tcPr>
          <w:p>
            <w:pPr>
              <w:pStyle w:val="yTableNAm"/>
              <w:jc w:val="center"/>
            </w:pPr>
            <w:r>
              <w:rPr>
                <w:szCs w:val="22"/>
              </w:rPr>
              <w:t>$666.95</w:t>
            </w:r>
          </w:p>
        </w:tc>
      </w:tr>
    </w:tbl>
    <w:p>
      <w:pPr>
        <w:pStyle w:val="yHeading5"/>
      </w:pPr>
      <w:bookmarkStart w:id="296" w:name="_Toc106180033"/>
      <w:r>
        <w:rPr>
          <w:szCs w:val="22"/>
        </w:rPr>
        <w:t>19.</w:t>
      </w:r>
      <w:r>
        <w:rPr>
          <w:szCs w:val="22"/>
        </w:rPr>
        <w:tab/>
        <w:t>Discharge charge</w:t>
      </w:r>
      <w:bookmarkEnd w:id="296"/>
    </w:p>
    <w:p>
      <w:pPr>
        <w:pStyle w:val="ySubsection"/>
      </w:pPr>
      <w:r>
        <w:rPr>
          <w:szCs w:val="22"/>
        </w:rPr>
        <w:tab/>
      </w:r>
      <w:r>
        <w:rPr>
          <w:szCs w:val="22"/>
        </w:rPr>
        <w:tab/>
        <w:t>The discharge charge (</w:t>
      </w:r>
      <w:r>
        <w:rPr>
          <w:b/>
          <w:i/>
          <w:szCs w:val="22"/>
        </w:rPr>
        <w:t>Q</w:t>
      </w:r>
      <w:r>
        <w:rPr>
          <w:szCs w:val="22"/>
        </w:rPr>
        <w:t>) is —</w:t>
      </w:r>
    </w:p>
    <w:p>
      <w:pPr>
        <w:pStyle w:val="yMiscellaneousBody"/>
        <w:keepNext/>
        <w:keepLines/>
        <w:tabs>
          <w:tab w:val="left" w:pos="284"/>
          <w:tab w:val="right" w:leader="dot" w:pos="6804"/>
        </w:tabs>
        <w:ind w:left="1701" w:hanging="142"/>
        <w:rPr>
          <w:szCs w:val="22"/>
        </w:rPr>
      </w:pPr>
      <w:r>
        <w:rPr>
          <w:szCs w:val="22"/>
        </w:rPr>
        <w:t xml:space="preserve">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m:t>
        </m:r>
        <m:r>
          <m:rPr>
            <m:sty m:val="b"/>
          </m:rPr>
          <w:rPr>
            <w:rFonts w:ascii="Cambria Math" w:hAnsi="Cambria Math"/>
            <w:szCs w:val="22"/>
          </w:rPr>
          <m:t>H</m:t>
        </m:r>
      </m:oMath>
      <w:r>
        <w:rPr>
          <w:szCs w:val="22"/>
        </w:rPr>
        <w:t>,</w:t>
      </w:r>
    </w:p>
    <w:p>
      <w:pPr>
        <w:pStyle w:val="yMiscellaneousBody"/>
        <w:keepNext/>
        <w:keepLines/>
        <w:tabs>
          <w:tab w:val="left" w:pos="284"/>
          <w:tab w:val="right" w:leader="dot" w:pos="6804"/>
        </w:tabs>
        <w:ind w:left="1701" w:hanging="142"/>
        <w:rPr>
          <w:szCs w:val="22"/>
        </w:rPr>
      </w:pPr>
      <w:r>
        <w:rPr>
          <w:szCs w:val="22"/>
        </w:rPr>
        <w:tab/>
        <w:t>then nil</w:t>
      </w:r>
    </w:p>
    <w:p>
      <w:pPr>
        <w:pStyle w:val="yMiscellaneousBody"/>
        <w:tabs>
          <w:tab w:val="left" w:pos="284"/>
          <w:tab w:val="right" w:leader="dot" w:pos="6804"/>
        </w:tabs>
        <w:ind w:left="1701" w:hanging="142"/>
        <w:rPr>
          <w:szCs w:val="22"/>
        </w:rPr>
      </w:pPr>
      <w:r>
        <w:rPr>
          <w:szCs w:val="22"/>
        </w:rPr>
        <w:t xml:space="preserve">or 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)&gt;</m:t>
        </m:r>
        <m:r>
          <m:rPr>
            <m:sty m:val="b"/>
          </m:rPr>
          <w:rPr>
            <w:rFonts w:ascii="Cambria Math" w:hAnsi="Cambria Math"/>
            <w:szCs w:val="22"/>
          </w:rPr>
          <m:t>H</m:t>
        </m:r>
      </m:oMath>
      <w:r>
        <w:rPr>
          <w:szCs w:val="22"/>
        </w:rPr>
        <w:t>,</w:t>
      </w:r>
    </w:p>
    <w:p>
      <w:pPr>
        <w:pStyle w:val="yMiscellaneousBody"/>
        <w:tabs>
          <w:tab w:val="left" w:pos="284"/>
          <w:tab w:val="right" w:leader="dot" w:pos="6804"/>
        </w:tabs>
        <w:ind w:left="1701" w:hanging="142"/>
        <w:rPr>
          <w:szCs w:val="22"/>
        </w:rPr>
      </w:pPr>
      <w:r>
        <w:rPr>
          <w:szCs w:val="22"/>
        </w:rPr>
        <w:tab/>
        <w:t xml:space="preserve">then </w:t>
      </w:r>
      <m:oMath>
        <m:r>
          <w:rPr>
            <w:rFonts w:ascii="Cambria Math" w:hAnsi="Cambria Math"/>
            <w:szCs w:val="22"/>
          </w:rPr>
          <m:t>(</m:t>
        </m:r>
        <m:d>
          <m:dPr>
            <m:ctrlPr>
              <w:rPr>
                <w:rFonts w:ascii="Cambria Math" w:hAnsi="Cambria Math"/>
                <w:i/>
                <w:szCs w:val="22"/>
              </w:rPr>
            </m:ctrlPr>
          </m:dPr>
          <m:e>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ctrlPr>
              <w:rPr>
                <w:rFonts w:ascii="Cambria Math" w:hAnsi="Cambria Math"/>
                <w:szCs w:val="22"/>
              </w:rPr>
            </m:ctrlPr>
          </m:e>
        </m:d>
        <m:r>
          <m:rPr>
            <m:sty m:val="p"/>
          </m:rPr>
          <w:rPr>
            <w:rFonts w:ascii="Cambria Math" w:hAnsi="Cambria Math"/>
            <w:szCs w:val="22"/>
          </w:rPr>
          <m:t>-</m:t>
        </m:r>
        <m:r>
          <m:rPr>
            <m:sty m:val="b"/>
          </m:rPr>
          <w:rPr>
            <w:rFonts w:ascii="Cambria Math" w:hAnsi="Cambria Math"/>
            <w:szCs w:val="22"/>
          </w:rPr>
          <m:t>H</m:t>
        </m:r>
        <m:r>
          <m:rPr>
            <m:sty m:val="bi"/>
          </m:rPr>
          <w:rPr>
            <w:rFonts w:ascii="Cambria Math" w:hAnsi="Cambria Math"/>
            <w:szCs w:val="22"/>
          </w:rPr>
          <m:t>)×</m:t>
        </m:r>
        <m:r>
          <m:rPr>
            <m:sty m:val="b"/>
          </m:rPr>
          <w:rPr>
            <w:rFonts w:ascii="Cambria Math" w:hAnsi="Cambria Math"/>
            <w:szCs w:val="22"/>
          </w:rPr>
          <m:t>I</m:t>
        </m:r>
      </m:oMath>
    </w:p>
    <w:p>
      <w:pPr>
        <w:pStyle w:val="yMiscellaneousBody"/>
        <w:keepNext/>
        <w:keepLines/>
        <w:tabs>
          <w:tab w:val="left" w:pos="284"/>
          <w:tab w:val="right" w:leader="dot" w:pos="6804"/>
        </w:tabs>
        <w:ind w:left="1701" w:hanging="142"/>
        <w:rPr>
          <w:szCs w:val="22"/>
        </w:rPr>
      </w:pPr>
      <w:r>
        <w:rPr>
          <w:szCs w:val="22"/>
        </w:rPr>
        <w:tab/>
        <w:t xml:space="preserve">where — </w:t>
      </w:r>
    </w:p>
    <w:p>
      <w:pPr>
        <w:pStyle w:val="yMiscellaneousBody"/>
        <w:tabs>
          <w:tab w:val="left" w:pos="2127"/>
          <w:tab w:val="right" w:leader="dot" w:pos="6804"/>
        </w:tabs>
        <w:ind w:left="1985" w:hanging="142"/>
        <w:rPr>
          <w:szCs w:val="22"/>
        </w:rPr>
      </w:pPr>
      <w:r>
        <w:rPr>
          <w:b/>
          <w:szCs w:val="22"/>
        </w:rPr>
        <w:t>F</w:t>
      </w:r>
      <w:r>
        <w:rPr>
          <w:b/>
          <w:szCs w:val="22"/>
        </w:rPr>
        <w:tab/>
      </w:r>
      <w:r>
        <w:rPr>
          <w:b/>
          <w:szCs w:val="22"/>
        </w:rPr>
        <w:tab/>
      </w:r>
      <w:r>
        <w:rPr>
          <w:szCs w:val="22"/>
        </w:rPr>
        <w:t xml:space="preserve">is the volume of water supplied to the land in the </w:t>
      </w:r>
      <w:r>
        <w:rPr>
          <w:szCs w:val="22"/>
        </w:rPr>
        <w:tab/>
        <w:t>current consumption year;</w:t>
      </w:r>
    </w:p>
    <w:p>
      <w:pPr>
        <w:pStyle w:val="yMiscellaneousBody"/>
        <w:tabs>
          <w:tab w:val="left" w:pos="2127"/>
          <w:tab w:val="right" w:leader="dot" w:pos="6804"/>
        </w:tabs>
        <w:ind w:left="1985" w:hanging="142"/>
        <w:rPr>
          <w:szCs w:val="22"/>
        </w:rPr>
      </w:pPr>
      <w:r>
        <w:rPr>
          <w:b/>
          <w:szCs w:val="22"/>
        </w:rPr>
        <w:t>G</w:t>
      </w:r>
      <w:r>
        <w:rPr>
          <w:szCs w:val="22"/>
        </w:rPr>
        <w:tab/>
        <w:t xml:space="preserve">is the discharge factor applicable for the land for the </w:t>
      </w:r>
      <w:r>
        <w:rPr>
          <w:szCs w:val="22"/>
        </w:rPr>
        <w:tab/>
        <w:t>current discharge year;</w:t>
      </w:r>
    </w:p>
    <w:p>
      <w:pPr>
        <w:pStyle w:val="yMiscellaneousBody"/>
        <w:tabs>
          <w:tab w:val="left" w:pos="2127"/>
          <w:tab w:val="right" w:leader="dot" w:pos="6804"/>
        </w:tabs>
        <w:ind w:left="1985" w:hanging="142"/>
        <w:rPr>
          <w:szCs w:val="22"/>
        </w:rPr>
      </w:pPr>
      <w:r>
        <w:rPr>
          <w:b/>
          <w:szCs w:val="22"/>
        </w:rPr>
        <w:t>H</w:t>
      </w:r>
      <w:r>
        <w:rPr>
          <w:szCs w:val="22"/>
        </w:rPr>
        <w:tab/>
        <w:t xml:space="preserve">is the discharge allowance for the current discharge </w:t>
      </w:r>
      <w:r>
        <w:rPr>
          <w:szCs w:val="22"/>
        </w:rPr>
        <w:tab/>
        <w:t xml:space="preserve">year </w:t>
      </w:r>
      <w:r>
        <w:rPr>
          <w:szCs w:val="22"/>
        </w:rPr>
        <w:tab/>
        <w:t>worked out in accordance with item 20;</w:t>
      </w:r>
    </w:p>
    <w:p>
      <w:pPr>
        <w:pStyle w:val="yMiscellaneousBody"/>
        <w:tabs>
          <w:tab w:val="left" w:pos="2127"/>
          <w:tab w:val="right" w:leader="dot" w:pos="6804"/>
        </w:tabs>
        <w:ind w:left="2127" w:hanging="284"/>
      </w:pPr>
      <w:r>
        <w:rPr>
          <w:b/>
        </w:rPr>
        <w:lastRenderedPageBreak/>
        <w:t>I</w:t>
      </w:r>
      <w:r>
        <w:tab/>
        <w:t xml:space="preserve">is </w:t>
      </w:r>
      <w:r>
        <w:rPr>
          <w:szCs w:val="22"/>
        </w:rPr>
        <w:t>$3.942</w:t>
      </w:r>
      <w:r>
        <w:t>,</w:t>
      </w:r>
    </w:p>
    <w:p>
      <w:pPr>
        <w:pStyle w:val="yMiscellaneousBody"/>
        <w:tabs>
          <w:tab w:val="left" w:pos="284"/>
          <w:tab w:val="right" w:leader="dot" w:pos="6804"/>
        </w:tabs>
        <w:ind w:left="1701" w:hanging="142"/>
      </w:pPr>
      <w:r>
        <w:tab/>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297" w:name="_Toc106180034"/>
      <w:r>
        <w:t>20.</w:t>
      </w:r>
      <w:r>
        <w:tab/>
        <w:t>Discharge allowance</w:t>
      </w:r>
      <w:bookmarkEnd w:id="297"/>
    </w:p>
    <w:p>
      <w:pPr>
        <w:pStyle w:val="ySubsection"/>
      </w:pPr>
      <w:r>
        <w:tab/>
        <w:t>(1)</w:t>
      </w:r>
      <w:r>
        <w:tab/>
        <w:t>The discharge allowance for the current discharge year is —</w:t>
      </w:r>
    </w:p>
    <w:p>
      <w:pPr>
        <w:pStyle w:val="yIndenta"/>
      </w:pPr>
      <w:r>
        <w:tab/>
        <w:t>(a)</w:t>
      </w:r>
      <w:r>
        <w:tab/>
        <w:t>for land to which item 13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15, the amount (in kL) calculated in accordance with the formula in sub</w:t>
      </w:r>
      <w:r>
        <w:noBreakHyphen/>
        <w:t>item (2);</w:t>
      </w:r>
    </w:p>
    <w:p>
      <w:pPr>
        <w:pStyle w:val="yIndenta"/>
      </w:pPr>
      <w:r>
        <w:tab/>
        <w:t>(d)</w:t>
      </w:r>
      <w:r>
        <w:tab/>
        <w:t>for a nursing home referred to in item 16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1418"/>
        <w:rPr>
          <w:sz w:val="22"/>
        </w:rPr>
      </w:pPr>
      <m:oMathPara>
        <m:oMathParaPr>
          <m:jc m:val="left"/>
        </m:oMathParaPr>
        <m:oMath>
          <m:r>
            <m:rPr>
              <m:sty m:val="b"/>
            </m:rPr>
            <w:rPr>
              <w:rFonts w:ascii="Cambria Math" w:hAnsi="Cambria Math"/>
              <w:sz w:val="22"/>
            </w:rPr>
            <m:t>200kL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985" w:hanging="567"/>
      </w:pPr>
      <w:r>
        <w:rPr>
          <w:b/>
        </w:rPr>
        <w:t>M</w:t>
      </w:r>
      <w:r>
        <w:tab/>
        <w:t>is 75 kL for each long</w:t>
      </w:r>
      <w:r>
        <w:noBreakHyphen/>
        <w:t>term residential caravan bay.</w:t>
      </w:r>
    </w:p>
    <w:p>
      <w:pPr>
        <w:pStyle w:val="yHeading4"/>
      </w:pPr>
      <w:bookmarkStart w:id="298" w:name="_Toc106104051"/>
      <w:bookmarkStart w:id="299" w:name="_Toc106104279"/>
      <w:bookmarkStart w:id="300" w:name="_Toc106179807"/>
      <w:bookmarkStart w:id="301" w:name="_Toc106180035"/>
      <w:r>
        <w:t>Subdivision 4 — Combined charges: non</w:t>
      </w:r>
      <w:r>
        <w:noBreakHyphen/>
        <w:t>metropolitan</w:t>
      </w:r>
      <w:bookmarkEnd w:id="298"/>
      <w:bookmarkEnd w:id="299"/>
      <w:bookmarkEnd w:id="300"/>
      <w:bookmarkEnd w:id="301"/>
    </w:p>
    <w:p>
      <w:pPr>
        <w:pStyle w:val="yFootnoteheading"/>
      </w:pPr>
      <w:r>
        <w:tab/>
        <w:t>[Heading inserted: SL 2021/80 r. 8.]</w:t>
      </w:r>
    </w:p>
    <w:p>
      <w:pPr>
        <w:pStyle w:val="yHeading5"/>
      </w:pPr>
      <w:bookmarkStart w:id="302" w:name="_Toc106180036"/>
      <w:r>
        <w:t>21.</w:t>
      </w:r>
      <w:r>
        <w:tab/>
        <w:t>Non</w:t>
      </w:r>
      <w:r>
        <w:noBreakHyphen/>
        <w:t>metropolitan non</w:t>
      </w:r>
      <w:r>
        <w:noBreakHyphen/>
        <w:t>residential</w:t>
      </w:r>
      <w:bookmarkEnd w:id="302"/>
    </w:p>
    <w:p>
      <w:pPr>
        <w:pStyle w:val="ySubsection"/>
      </w:pPr>
      <w:r>
        <w:tab/>
      </w:r>
      <w:r>
        <w:tab/>
        <w:t>For land in the non</w:t>
      </w:r>
      <w:r>
        <w:noBreakHyphen/>
        <w:t>metropolitan area that —</w:t>
      </w:r>
    </w:p>
    <w:p>
      <w:pPr>
        <w:pStyle w:val="yIndenta"/>
      </w:pPr>
      <w:r>
        <w:tab/>
        <w:t>(a)</w:t>
      </w:r>
      <w:r>
        <w:tab/>
        <w:t>is classified as non</w:t>
      </w:r>
      <w:r>
        <w:noBreakHyphen/>
        <w:t>residential property; and</w:t>
      </w:r>
    </w:p>
    <w:p>
      <w:pPr>
        <w:pStyle w:val="yIndenta"/>
      </w:pPr>
      <w:r>
        <w:tab/>
        <w:t>(b)</w:t>
      </w:r>
      <w:r>
        <w:tab/>
        <w:t>is not covered by item 5, 6, 10, 22, 23, 24 or 24A,</w:t>
      </w:r>
    </w:p>
    <w:p>
      <w:pPr>
        <w:pStyle w:val="ySubsection"/>
      </w:pPr>
      <w:r>
        <w:tab/>
      </w:r>
      <w:r>
        <w:tab/>
        <w:t>the charge is —</w:t>
      </w:r>
    </w:p>
    <w:p>
      <w:pPr>
        <w:pStyle w:val="yMiscellaneousBody"/>
        <w:tabs>
          <w:tab w:val="left" w:pos="284"/>
          <w:tab w:val="right" w:leader="dot" w:pos="6804"/>
        </w:tabs>
        <w:ind w:left="1701" w:hanging="142"/>
      </w:pPr>
      <w:r>
        <w:t xml:space="preserve">if </w:t>
      </w:r>
      <m:oMath>
        <m:r>
          <w:rPr>
            <w:rFonts w:ascii="Cambria Math" w:hAnsi="Cambria Math"/>
          </w:rPr>
          <m:t>(</m:t>
        </m:r>
        <m:r>
          <m:rPr>
            <m:sty m:val="b"/>
          </m:rPr>
          <w:rPr>
            <w:rFonts w:ascii="Cambria Math" w:hAnsi="Cambria Math"/>
          </w:rPr>
          <m:t>P+Q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right" w:leader="dot" w:pos="6804"/>
        </w:tabs>
        <w:ind w:left="1701" w:hanging="142"/>
      </w:pPr>
      <w:r>
        <w:tab/>
        <w:t xml:space="preserve">then </w:t>
      </w:r>
      <m:oMath>
        <m:r>
          <m:rPr>
            <m:sty m:val="b"/>
          </m:rPr>
          <w:rPr>
            <w:rFonts w:ascii="Cambria Math" w:hAnsi="Cambria Math"/>
          </w:rPr>
          <m:t>P+Q</m:t>
        </m:r>
      </m:oMath>
    </w:p>
    <w:p>
      <w:pPr>
        <w:pStyle w:val="yMiscellaneousBody"/>
        <w:tabs>
          <w:tab w:val="left" w:pos="284"/>
          <w:tab w:val="right" w:leader="dot" w:pos="6804"/>
        </w:tabs>
        <w:ind w:left="1701" w:hanging="142"/>
      </w:pPr>
      <w:r>
        <w:lastRenderedPageBreak/>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701" w:hanging="142"/>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right" w:leader="dot" w:pos="6804"/>
        </w:tabs>
        <w:ind w:left="1701" w:hanging="142"/>
      </w:pPr>
      <w:r>
        <w:tab/>
        <w:t xml:space="preserve">then </w:t>
      </w:r>
      <w:r>
        <w:rPr>
          <w:b/>
        </w:rPr>
        <w:t>R</w:t>
      </w:r>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701" w:hanging="142"/>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right" w:leader="dot" w:pos="6804"/>
        </w:tabs>
        <w:ind w:left="1701" w:hanging="142"/>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701" w:hanging="142"/>
      </w:pPr>
      <w:r>
        <w:t xml:space="preserve">where — </w:t>
      </w:r>
    </w:p>
    <w:p>
      <w:pPr>
        <w:pStyle w:val="yMiscellaneousBody"/>
        <w:tabs>
          <w:tab w:val="left" w:pos="284"/>
          <w:tab w:val="left" w:pos="1418"/>
          <w:tab w:val="left" w:pos="1985"/>
        </w:tabs>
        <w:ind w:left="1985" w:hanging="425"/>
      </w:pPr>
      <w:r>
        <w:rPr>
          <w:b/>
        </w:rPr>
        <w:t>P</w:t>
      </w:r>
      <w:r>
        <w:tab/>
        <w:t>is the service charge calculated in accordance with item 25;</w:t>
      </w:r>
    </w:p>
    <w:p>
      <w:pPr>
        <w:pStyle w:val="yMiscellaneousBody"/>
        <w:tabs>
          <w:tab w:val="left" w:pos="284"/>
          <w:tab w:val="left" w:pos="1418"/>
          <w:tab w:val="left" w:pos="1985"/>
        </w:tabs>
        <w:ind w:left="1985" w:hanging="425"/>
      </w:pPr>
      <w:r>
        <w:rPr>
          <w:b/>
        </w:rPr>
        <w:t>Q</w:t>
      </w:r>
      <w:r>
        <w:tab/>
        <w:t>is the discharge charge calculated in accordance with item 26;</w:t>
      </w:r>
    </w:p>
    <w:p>
      <w:pPr>
        <w:pStyle w:val="yMiscellaneousBody"/>
        <w:tabs>
          <w:tab w:val="left" w:pos="284"/>
          <w:tab w:val="left" w:pos="1418"/>
          <w:tab w:val="left" w:pos="1985"/>
        </w:tabs>
        <w:ind w:left="1985" w:hanging="425"/>
      </w:pPr>
      <w:r>
        <w:rPr>
          <w:b/>
        </w:rPr>
        <w:t>R</w:t>
      </w:r>
      <w:r>
        <w:tab/>
        <w:t>is the maximum charge calculated in accordance with item 28;</w:t>
      </w:r>
    </w:p>
    <w:p>
      <w:pPr>
        <w:pStyle w:val="yMiscellaneousBody"/>
        <w:tabs>
          <w:tab w:val="left" w:pos="284"/>
          <w:tab w:val="left" w:pos="1418"/>
          <w:tab w:val="left" w:pos="1985"/>
        </w:tabs>
        <w:ind w:left="1985" w:hanging="425"/>
      </w:pPr>
      <w:r>
        <w:rPr>
          <w:b/>
        </w:rPr>
        <w:t>N</w:t>
      </w:r>
      <w:r>
        <w:tab/>
        <w:t>is the discharge volume for the current discharge year;</w:t>
      </w:r>
    </w:p>
    <w:p>
      <w:pPr>
        <w:pStyle w:val="yMiscellaneousBody"/>
        <w:tabs>
          <w:tab w:val="left" w:pos="284"/>
          <w:tab w:val="left" w:pos="1418"/>
          <w:tab w:val="left" w:pos="1985"/>
        </w:tabs>
        <w:ind w:left="1985" w:hanging="425"/>
      </w:pPr>
      <w:r>
        <w:rPr>
          <w:b/>
        </w:rPr>
        <w:t>W</w:t>
      </w:r>
      <w:r>
        <w:tab/>
        <w:t>is the discharge volume for the most recently completed discharge year;</w:t>
      </w:r>
    </w:p>
    <w:p>
      <w:pPr>
        <w:pStyle w:val="yMiscellaneousBody"/>
        <w:tabs>
          <w:tab w:val="left" w:pos="284"/>
          <w:tab w:val="left" w:pos="1418"/>
          <w:tab w:val="left" w:pos="1985"/>
        </w:tabs>
        <w:ind w:left="1985" w:hanging="425"/>
      </w:pPr>
      <w:r>
        <w:rPr>
          <w:b/>
        </w:rPr>
        <w:t>I</w:t>
      </w:r>
      <w:r>
        <w:tab/>
        <w:t xml:space="preserve">is </w:t>
      </w:r>
      <w:r>
        <w:rPr>
          <w:szCs w:val="22"/>
        </w:rPr>
        <w:t>$3.942</w:t>
      </w:r>
      <w:r>
        <w:t>.</w:t>
      </w:r>
    </w:p>
    <w:p>
      <w:pPr>
        <w:pStyle w:val="yHeading5"/>
      </w:pPr>
      <w:bookmarkStart w:id="303" w:name="_Toc106180037"/>
      <w:r>
        <w:t>22.</w:t>
      </w:r>
      <w:r>
        <w:tab/>
        <w:t>Non</w:t>
      </w:r>
      <w:r>
        <w:noBreakHyphen/>
        <w:t>metropolitan non</w:t>
      </w:r>
      <w:r>
        <w:noBreakHyphen/>
        <w:t>strata titled caravan park with long</w:t>
      </w:r>
      <w:r>
        <w:noBreakHyphen/>
        <w:t>term residential caravan bays</w:t>
      </w:r>
      <w:bookmarkEnd w:id="303"/>
    </w:p>
    <w:p>
      <w:pPr>
        <w:pStyle w:val="ySubsection"/>
      </w:pPr>
      <w:r>
        <w:tab/>
      </w:r>
      <w:r>
        <w:tab/>
        <w:t>For a caravan park in the non</w:t>
      </w:r>
      <w:r>
        <w:noBreakHyphen/>
        <w:t xml:space="preserve">metropolitan area that —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keepNext/>
        <w:tabs>
          <w:tab w:val="left" w:pos="284"/>
          <w:tab w:val="right" w:leader="dot" w:pos="6804"/>
        </w:tabs>
        <w:ind w:left="851" w:firstLine="567"/>
      </w:pPr>
      <w:r>
        <w:t xml:space="preserve">where — </w:t>
      </w:r>
    </w:p>
    <w:p>
      <w:pPr>
        <w:pStyle w:val="yMiscellaneousBody"/>
        <w:tabs>
          <w:tab w:val="left" w:pos="284"/>
          <w:tab w:val="left" w:pos="1418"/>
          <w:tab w:val="left" w:pos="1843"/>
        </w:tabs>
        <w:ind w:left="1985" w:hanging="567"/>
      </w:pPr>
      <w:r>
        <w:rPr>
          <w:b/>
        </w:rPr>
        <w:t>AA</w:t>
      </w:r>
      <w:r>
        <w:tab/>
        <w:t xml:space="preserve"> is </w:t>
      </w:r>
      <w:r>
        <w:rPr>
          <w:szCs w:val="22"/>
        </w:rPr>
        <w:t>$343.08</w:t>
      </w:r>
      <w:r>
        <w:t xml:space="preserve"> for each long</w:t>
      </w:r>
      <w:r>
        <w:noBreakHyphen/>
        <w:t>term residential caravan bay;</w:t>
      </w:r>
    </w:p>
    <w:p>
      <w:pPr>
        <w:pStyle w:val="yMiscellaneousBody"/>
        <w:keepNext/>
        <w:tabs>
          <w:tab w:val="left" w:pos="284"/>
          <w:tab w:val="left" w:pos="1418"/>
          <w:tab w:val="left" w:pos="1843"/>
        </w:tabs>
        <w:ind w:left="1843" w:hanging="425"/>
      </w:pPr>
      <w:r>
        <w:rPr>
          <w:b/>
        </w:rPr>
        <w:lastRenderedPageBreak/>
        <w:t>AB</w:t>
      </w:r>
      <w:r>
        <w:tab/>
        <w:t xml:space="preserve">is, for those parts of </w:t>
      </w:r>
      <w:r>
        <w:rPr>
          <w:szCs w:val="22"/>
        </w:rPr>
        <w:t>the</w:t>
      </w:r>
      <w:r>
        <w:t xml:space="preserve"> caravan park not consisting of long</w:t>
      </w:r>
      <w:r>
        <w:noBreakHyphen/>
        <w:t xml:space="preserve">term residential caravan bays — </w:t>
      </w:r>
    </w:p>
    <w:p>
      <w:pPr>
        <w:pStyle w:val="yMiscellaneousBody"/>
        <w:tabs>
          <w:tab w:val="left" w:pos="284"/>
          <w:tab w:val="left" w:pos="1418"/>
          <w:tab w:val="left" w:pos="1843"/>
        </w:tabs>
        <w:ind w:left="1418" w:firstLine="425"/>
      </w:pPr>
      <w:r>
        <w:t xml:space="preserve">if </w:t>
      </w:r>
      <m:oMath>
        <m:r>
          <w:rPr>
            <w:rFonts w:ascii="Cambria Math" w:hAnsi="Cambria Math"/>
          </w:rPr>
          <m:t>(</m:t>
        </m:r>
        <m:r>
          <m:rPr>
            <m:sty m:val="b"/>
          </m:rPr>
          <w:rPr>
            <w:rFonts w:ascii="Cambria Math" w:hAnsi="Cambria Math"/>
          </w:rPr>
          <m:t>Y+Q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418"/>
          <w:tab w:val="left" w:pos="1843"/>
          <w:tab w:val="left" w:pos="2127"/>
        </w:tabs>
        <w:ind w:left="1418" w:firstLine="425"/>
      </w:pPr>
      <w:r>
        <w:tab/>
        <w:t xml:space="preserve">then </w:t>
      </w:r>
      <m:oMath>
        <m:r>
          <m:rPr>
            <m:sty m:val="b"/>
          </m:rPr>
          <w:rPr>
            <w:rFonts w:ascii="Cambria Math" w:hAnsi="Cambria Math"/>
          </w:rPr>
          <m:t>Y+Q</m:t>
        </m:r>
      </m:oMath>
    </w:p>
    <w:p>
      <w:pPr>
        <w:pStyle w:val="yMiscellaneousBody"/>
        <w:tabs>
          <w:tab w:val="left" w:pos="284"/>
          <w:tab w:val="left" w:pos="1418"/>
          <w:tab w:val="left" w:pos="1843"/>
        </w:tabs>
        <w:ind w:left="1418" w:firstLine="425"/>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left" w:pos="1418"/>
          <w:tab w:val="left" w:pos="1843"/>
        </w:tabs>
        <w:ind w:left="1418" w:firstLine="425"/>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left" w:pos="1418"/>
          <w:tab w:val="left" w:pos="1843"/>
          <w:tab w:val="left" w:pos="2127"/>
        </w:tabs>
        <w:ind w:left="1418" w:firstLine="425"/>
        <w:rPr>
          <w:b/>
        </w:rPr>
      </w:pPr>
      <w:r>
        <w:tab/>
        <w:t xml:space="preserve">then </w:t>
      </w:r>
      <w:r>
        <w:rPr>
          <w:b/>
        </w:rPr>
        <w:t>R</w:t>
      </w:r>
    </w:p>
    <w:p>
      <w:pPr>
        <w:pStyle w:val="yMiscellaneousBody"/>
        <w:tabs>
          <w:tab w:val="left" w:pos="284"/>
          <w:tab w:val="left" w:pos="1418"/>
          <w:tab w:val="left" w:pos="1843"/>
        </w:tabs>
        <w:ind w:left="1418" w:firstLine="425"/>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keepNext/>
        <w:tabs>
          <w:tab w:val="left" w:pos="284"/>
          <w:tab w:val="left" w:pos="1418"/>
          <w:tab w:val="left" w:pos="1843"/>
        </w:tabs>
        <w:ind w:left="1418" w:firstLine="425"/>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left" w:pos="1418"/>
          <w:tab w:val="left" w:pos="1843"/>
          <w:tab w:val="left" w:pos="2127"/>
        </w:tabs>
        <w:ind w:left="1418" w:firstLine="425"/>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keepNext/>
        <w:tabs>
          <w:tab w:val="left" w:pos="284"/>
          <w:tab w:val="left" w:pos="1985"/>
        </w:tabs>
        <w:ind w:left="2268" w:hanging="425"/>
      </w:pPr>
      <w:r>
        <w:t xml:space="preserve">where — </w:t>
      </w:r>
    </w:p>
    <w:p>
      <w:pPr>
        <w:pStyle w:val="yMiscellaneousBody"/>
        <w:tabs>
          <w:tab w:val="left" w:pos="284"/>
          <w:tab w:val="left" w:pos="1985"/>
          <w:tab w:val="left" w:pos="2552"/>
        </w:tabs>
        <w:ind w:left="2268" w:hanging="425"/>
      </w:pPr>
      <w:r>
        <w:rPr>
          <w:b/>
        </w:rPr>
        <w:t>Y</w:t>
      </w:r>
      <w:r>
        <w:tab/>
        <w:t>is the charge according to the number of major fixtures for the relevant part of the caravan park, that is, “</w:t>
      </w:r>
      <w:r>
        <w:rPr>
          <w:b/>
        </w:rPr>
        <w:t>C</w:t>
      </w:r>
      <w:r>
        <w:t>” in item 25;</w:t>
      </w:r>
    </w:p>
    <w:p>
      <w:pPr>
        <w:pStyle w:val="yMiscellaneousBody"/>
        <w:tabs>
          <w:tab w:val="left" w:pos="284"/>
          <w:tab w:val="left" w:pos="1985"/>
          <w:tab w:val="left" w:pos="2552"/>
        </w:tabs>
        <w:ind w:left="2268" w:hanging="425"/>
      </w:pPr>
      <w:r>
        <w:rPr>
          <w:b/>
        </w:rPr>
        <w:t>Q</w:t>
      </w:r>
      <w:r>
        <w:tab/>
        <w:t>is the discharge charge calculated in accordance with item 26;</w:t>
      </w:r>
    </w:p>
    <w:p>
      <w:pPr>
        <w:pStyle w:val="yMiscellaneousBody"/>
        <w:keepNext/>
        <w:keepLines/>
        <w:tabs>
          <w:tab w:val="left" w:pos="284"/>
          <w:tab w:val="left" w:pos="1985"/>
          <w:tab w:val="left" w:pos="2552"/>
        </w:tabs>
        <w:ind w:left="2268" w:hanging="425"/>
      </w:pPr>
      <w:r>
        <w:rPr>
          <w:b/>
        </w:rPr>
        <w:t>R</w:t>
      </w:r>
      <w:r>
        <w:tab/>
        <w:t>is the maximum charge calculated in accordance with item 28;</w:t>
      </w:r>
    </w:p>
    <w:p>
      <w:pPr>
        <w:pStyle w:val="yMiscellaneousBody"/>
        <w:tabs>
          <w:tab w:val="left" w:pos="284"/>
          <w:tab w:val="left" w:pos="1985"/>
          <w:tab w:val="left" w:pos="2552"/>
        </w:tabs>
        <w:ind w:left="2268" w:hanging="425"/>
      </w:pPr>
      <w:r>
        <w:rPr>
          <w:b/>
        </w:rPr>
        <w:t>N</w:t>
      </w:r>
      <w:r>
        <w:tab/>
        <w:t>is the discharge volume for the current discharge year;</w:t>
      </w:r>
    </w:p>
    <w:p>
      <w:pPr>
        <w:pStyle w:val="yMiscellaneousBody"/>
        <w:tabs>
          <w:tab w:val="left" w:pos="284"/>
          <w:tab w:val="left" w:pos="1985"/>
          <w:tab w:val="left" w:pos="2552"/>
        </w:tabs>
        <w:ind w:left="2268" w:hanging="425"/>
      </w:pPr>
      <w:r>
        <w:rPr>
          <w:b/>
        </w:rPr>
        <w:t>W</w:t>
      </w:r>
      <w:r>
        <w:tab/>
        <w:t>is the discharge volume for the most recently completed discharge year;</w:t>
      </w:r>
    </w:p>
    <w:p>
      <w:pPr>
        <w:pStyle w:val="yMiscellaneousBody"/>
        <w:tabs>
          <w:tab w:val="left" w:pos="284"/>
          <w:tab w:val="left" w:pos="1985"/>
          <w:tab w:val="left" w:pos="2552"/>
        </w:tabs>
        <w:ind w:left="2268" w:hanging="425"/>
      </w:pPr>
      <w:r>
        <w:rPr>
          <w:b/>
        </w:rPr>
        <w:t>I</w:t>
      </w:r>
      <w:r>
        <w:rPr>
          <w:b/>
        </w:rPr>
        <w:tab/>
      </w:r>
      <w:r>
        <w:tab/>
        <w:t xml:space="preserve">is </w:t>
      </w:r>
      <w:r>
        <w:rPr>
          <w:szCs w:val="22"/>
        </w:rPr>
        <w:t>$3.942</w:t>
      </w:r>
      <w:r>
        <w:t>.</w:t>
      </w:r>
    </w:p>
    <w:p>
      <w:pPr>
        <w:pStyle w:val="yHeading5"/>
      </w:pPr>
      <w:bookmarkStart w:id="304" w:name="_Toc106180038"/>
      <w:r>
        <w:t>23.</w:t>
      </w:r>
      <w:r>
        <w:tab/>
        <w:t>Non</w:t>
      </w:r>
      <w:r>
        <w:noBreakHyphen/>
        <w:t>metropolitan nursing home</w:t>
      </w:r>
      <w:bookmarkEnd w:id="304"/>
    </w:p>
    <w:p>
      <w:pPr>
        <w:pStyle w:val="ySubsection"/>
      </w:pPr>
      <w:r>
        <w:tab/>
      </w:r>
      <w:r>
        <w:tab/>
        <w:t>For a nursing home in the non</w:t>
      </w:r>
      <w:r>
        <w:noBreakHyphen/>
        <w:t>metropolitan area, other than a nursing home that is, or is part of, an aged home, 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51" w:firstLine="567"/>
      </w:pPr>
      <w:r>
        <w:lastRenderedPageBreak/>
        <w:t xml:space="preserve">where — </w:t>
      </w:r>
    </w:p>
    <w:p>
      <w:pPr>
        <w:pStyle w:val="yMiscellaneousBody"/>
        <w:tabs>
          <w:tab w:val="left" w:pos="284"/>
          <w:tab w:val="left" w:pos="1418"/>
          <w:tab w:val="left" w:pos="1843"/>
        </w:tabs>
        <w:ind w:left="1843" w:hanging="425"/>
      </w:pPr>
      <w:r>
        <w:rPr>
          <w:b/>
        </w:rPr>
        <w:t>Q</w:t>
      </w:r>
      <w:r>
        <w:tab/>
        <w:t>is the discharge charge calculated in accordance with item 26;</w:t>
      </w:r>
    </w:p>
    <w:p>
      <w:pPr>
        <w:pStyle w:val="yMiscellaneousBody"/>
        <w:tabs>
          <w:tab w:val="left" w:pos="284"/>
          <w:tab w:val="left" w:pos="1418"/>
          <w:tab w:val="left" w:pos="1843"/>
        </w:tabs>
        <w:ind w:left="1843" w:hanging="425"/>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843"/>
        </w:tabs>
        <w:ind w:left="1843" w:hanging="425"/>
      </w:pPr>
      <w:r>
        <w:rPr>
          <w:b/>
        </w:rPr>
        <w:t>U</w:t>
      </w:r>
      <w:r>
        <w:tab/>
        <w:t>is the number of beds in the nursing home;</w:t>
      </w:r>
    </w:p>
    <w:p>
      <w:pPr>
        <w:pStyle w:val="yMiscellaneousBody"/>
        <w:tabs>
          <w:tab w:val="left" w:pos="284"/>
          <w:tab w:val="left" w:pos="1418"/>
          <w:tab w:val="left" w:pos="1843"/>
        </w:tabs>
        <w:ind w:left="1843" w:hanging="425"/>
      </w:pPr>
      <w:r>
        <w:rPr>
          <w:b/>
        </w:rPr>
        <w:t>V</w:t>
      </w:r>
      <w:r>
        <w:tab/>
        <w:t xml:space="preserve">is </w:t>
      </w:r>
      <w:r>
        <w:rPr>
          <w:szCs w:val="22"/>
        </w:rPr>
        <w:t>$</w:t>
      </w:r>
      <w:r>
        <w:t>194</w:t>
      </w:r>
      <w:r>
        <w:rPr>
          <w:szCs w:val="22"/>
        </w:rPr>
        <w:t>.14.</w:t>
      </w:r>
    </w:p>
    <w:p>
      <w:pPr>
        <w:pStyle w:val="yHeading5"/>
      </w:pPr>
      <w:bookmarkStart w:id="305" w:name="_Toc106180039"/>
      <w:r>
        <w:t>24.</w:t>
      </w:r>
      <w:r>
        <w:tab/>
        <w:t>Certain non</w:t>
      </w:r>
      <w:r>
        <w:noBreakHyphen/>
        <w:t>metropolitan units</w:t>
      </w:r>
      <w:bookmarkEnd w:id="305"/>
      <w:r>
        <w:t xml:space="preserve"> </w:t>
      </w:r>
    </w:p>
    <w:p>
      <w:pPr>
        <w:pStyle w:val="ySubsection"/>
      </w:pPr>
      <w:r>
        <w:tab/>
      </w:r>
      <w:r>
        <w:tab/>
        <w:t>For land in the non</w:t>
      </w:r>
      <w:r>
        <w:noBreakHyphen/>
        <w:t xml:space="preserve">metropolitan area —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scheme plan for a strata titles scheme or a community titles scheme is less than the number of those units,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843" w:hanging="425"/>
      </w:pPr>
      <w:r>
        <w:rPr>
          <w:b/>
        </w:rPr>
        <w:t>T</w:t>
      </w:r>
      <w:r>
        <w:tab/>
        <w:t xml:space="preserve">is </w:t>
      </w:r>
      <w:r>
        <w:rPr>
          <w:szCs w:val="22"/>
        </w:rPr>
        <w:t>$666.95</w:t>
      </w:r>
      <w:r>
        <w:t>;</w:t>
      </w:r>
    </w:p>
    <w:p>
      <w:pPr>
        <w:pStyle w:val="yMiscellaneousBody"/>
        <w:tabs>
          <w:tab w:val="left" w:pos="284"/>
          <w:tab w:val="left" w:pos="1418"/>
          <w:tab w:val="left" w:pos="1843"/>
        </w:tabs>
        <w:ind w:left="1843" w:hanging="425"/>
      </w:pPr>
      <w:r>
        <w:rPr>
          <w:b/>
        </w:rPr>
        <w:t>Q</w:t>
      </w:r>
      <w:r>
        <w:tab/>
        <w:t xml:space="preserve">is the </w:t>
      </w:r>
      <w:r>
        <w:rPr>
          <w:szCs w:val="22"/>
        </w:rPr>
        <w:t>discharge</w:t>
      </w:r>
      <w:r>
        <w:t xml:space="preserve"> charge calculated in accordance with item 26.</w:t>
      </w:r>
    </w:p>
    <w:p>
      <w:pPr>
        <w:pStyle w:val="yHeading5"/>
      </w:pPr>
      <w:bookmarkStart w:id="306" w:name="_Toc106180040"/>
      <w:r>
        <w:t>24A.</w:t>
      </w:r>
      <w:r>
        <w:tab/>
        <w:t>Non</w:t>
      </w:r>
      <w:r>
        <w:noBreakHyphen/>
        <w:t>metropolitan government trading organisation and non</w:t>
      </w:r>
      <w:r>
        <w:noBreakHyphen/>
        <w:t>commercial government property</w:t>
      </w:r>
      <w:bookmarkEnd w:id="306"/>
    </w:p>
    <w:p>
      <w:pPr>
        <w:pStyle w:val="ySubsection"/>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lastRenderedPageBreak/>
        <w:t xml:space="preserve">where — </w:t>
      </w:r>
    </w:p>
    <w:p>
      <w:pPr>
        <w:pStyle w:val="yMiscellaneousBody"/>
        <w:tabs>
          <w:tab w:val="left" w:pos="284"/>
          <w:tab w:val="left" w:pos="1418"/>
          <w:tab w:val="left" w:pos="1843"/>
        </w:tabs>
        <w:ind w:left="1843" w:hanging="425"/>
      </w:pPr>
      <w:r>
        <w:rPr>
          <w:b/>
        </w:rPr>
        <w:t>Y</w:t>
      </w:r>
      <w:r>
        <w:tab/>
        <w:t xml:space="preserve">is </w:t>
      </w:r>
      <w:r>
        <w:rPr>
          <w:szCs w:val="22"/>
        </w:rPr>
        <w:t>the charge according to the number of connected major fixtures for the land, that is, “</w:t>
      </w:r>
      <w:r>
        <w:rPr>
          <w:b/>
          <w:szCs w:val="22"/>
        </w:rPr>
        <w:t>C</w:t>
      </w:r>
      <w:r>
        <w:rPr>
          <w:szCs w:val="22"/>
        </w:rPr>
        <w:t>” in item 25</w:t>
      </w:r>
      <w:r>
        <w:t>;</w:t>
      </w:r>
    </w:p>
    <w:p>
      <w:pPr>
        <w:pStyle w:val="yMiscellaneousBody"/>
        <w:tabs>
          <w:tab w:val="left" w:pos="284"/>
          <w:tab w:val="left" w:pos="1418"/>
          <w:tab w:val="left" w:pos="1843"/>
        </w:tabs>
        <w:ind w:left="1843" w:hanging="425"/>
      </w:pPr>
      <w:r>
        <w:rPr>
          <w:b/>
        </w:rPr>
        <w:t>Q</w:t>
      </w:r>
      <w:r>
        <w:tab/>
        <w:t>is the discharge charge calculated in accordance with item 26.</w:t>
      </w:r>
    </w:p>
    <w:p>
      <w:pPr>
        <w:pStyle w:val="ySubsection"/>
      </w:pPr>
      <w:r>
        <w:tab/>
        <w:t>(2)</w:t>
      </w:r>
      <w:r>
        <w:tab/>
        <w:t>Sub</w:t>
      </w:r>
      <w:r>
        <w:noBreakHyphen/>
        <w:t>item (1) does not apply to public land.</w:t>
      </w:r>
    </w:p>
    <w:p>
      <w:pPr>
        <w:pStyle w:val="yHeading4"/>
      </w:pPr>
      <w:bookmarkStart w:id="307" w:name="_Toc106104057"/>
      <w:bookmarkStart w:id="308" w:name="_Toc106104285"/>
      <w:bookmarkStart w:id="309" w:name="_Toc106179813"/>
      <w:bookmarkStart w:id="310" w:name="_Toc106180041"/>
      <w:r>
        <w:t>Subdivision 5 — Calculation of certain factors for the purposes of Subdivision 4</w:t>
      </w:r>
      <w:bookmarkEnd w:id="307"/>
      <w:bookmarkEnd w:id="308"/>
      <w:bookmarkEnd w:id="309"/>
      <w:bookmarkEnd w:id="310"/>
    </w:p>
    <w:p>
      <w:pPr>
        <w:pStyle w:val="yFootnoteheading"/>
      </w:pPr>
      <w:r>
        <w:tab/>
        <w:t>[Heading inserted: SL 2021/80 r. 8.]</w:t>
      </w:r>
    </w:p>
    <w:p>
      <w:pPr>
        <w:pStyle w:val="yHeading5"/>
      </w:pPr>
      <w:bookmarkStart w:id="311" w:name="_Toc106180042"/>
      <w:r>
        <w:t>25.</w:t>
      </w:r>
      <w:r>
        <w:tab/>
        <w:t>Service charge</w:t>
      </w:r>
      <w:bookmarkEnd w:id="311"/>
    </w:p>
    <w:p>
      <w:pPr>
        <w:pStyle w:val="ySubsection"/>
      </w:pPr>
      <w:r>
        <w:tab/>
      </w:r>
      <w:r>
        <w:tab/>
        <w:t>The service charge (</w:t>
      </w:r>
      <w:r>
        <w:rPr>
          <w:b/>
          <w:i/>
        </w:rPr>
        <w:t>P</w:t>
      </w:r>
      <w:r>
        <w:t>) is —</w:t>
      </w:r>
    </w:p>
    <w:p>
      <w:pPr>
        <w:pStyle w:val="yMiscellaneousBody"/>
        <w:tabs>
          <w:tab w:val="left" w:pos="284"/>
          <w:tab w:val="right" w:leader="dot" w:pos="6804"/>
        </w:tabs>
        <w:ind w:left="1701" w:hanging="142"/>
      </w:pPr>
      <w:r>
        <w:t xml:space="preserve">if </w:t>
      </w:r>
      <m:oMath>
        <m:r>
          <m:rPr>
            <m:sty m:val="b"/>
          </m:rPr>
          <w:rPr>
            <w:rFonts w:ascii="Cambria Math" w:hAnsi="Cambria Math"/>
          </w:rPr>
          <m:t>R</m:t>
        </m:r>
        <m:r>
          <w:rPr>
            <w:rFonts w:ascii="Cambria Math" w:hAnsi="Cambria Math"/>
          </w:rPr>
          <m: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701" w:hanging="142"/>
      </w:pPr>
      <w:r>
        <w:tab/>
        <w:t xml:space="preserve">then </w:t>
      </w:r>
      <w:r>
        <w:rPr>
          <w:b/>
        </w:rPr>
        <w:t>R</w:t>
      </w:r>
    </w:p>
    <w:p>
      <w:pPr>
        <w:pStyle w:val="yMiscellaneousBody"/>
        <w:keepNext/>
        <w:keepLines/>
        <w:tabs>
          <w:tab w:val="left" w:pos="284"/>
          <w:tab w:val="right" w:leader="dot" w:pos="6804"/>
        </w:tabs>
        <w:ind w:left="1701" w:hanging="142"/>
      </w:pPr>
      <w:r>
        <w:t xml:space="preserve">or if </w:t>
      </w:r>
      <m:oMath>
        <m:r>
          <m:rPr>
            <m:sty m:val="b"/>
          </m:rPr>
          <w:rPr>
            <w:rFonts w:ascii="Cambria Math" w:hAnsi="Cambria Math"/>
          </w:rPr>
          <m:t>R</m:t>
        </m:r>
        <m:r>
          <w:rPr>
            <w:rFonts w:ascii="Cambria Math" w:hAnsi="Cambria Math"/>
          </w:rPr>
          <m:t>&gt;(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701" w:hanging="142"/>
      </w:pPr>
      <w:r>
        <w:tab/>
        <w:t xml:space="preserve">then </w:t>
      </w:r>
      <w:r>
        <w:rPr>
          <w:b/>
        </w:rPr>
        <w:t>C</w:t>
      </w:r>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R</w:t>
      </w:r>
      <w:r>
        <w:tab/>
        <w:t>is the maximum charge calculated in accordance with item 28;</w:t>
      </w:r>
    </w:p>
    <w:p>
      <w:pPr>
        <w:pStyle w:val="yMiscellaneousBody"/>
        <w:tabs>
          <w:tab w:val="left" w:pos="284"/>
          <w:tab w:val="left" w:pos="1985"/>
        </w:tabs>
        <w:ind w:left="1985" w:hanging="425"/>
      </w:pPr>
      <w:r>
        <w:rPr>
          <w:b/>
        </w:rPr>
        <w:t>C</w:t>
      </w:r>
      <w:r>
        <w:tab/>
        <w:t>is the charge, according to the number of major fixtures for the land, that is the sum of the charges for each fixture as set out in the Table;</w:t>
      </w:r>
    </w:p>
    <w:p>
      <w:pPr>
        <w:pStyle w:val="yMiscellaneousBody"/>
        <w:tabs>
          <w:tab w:val="left" w:pos="284"/>
          <w:tab w:val="left" w:pos="1985"/>
        </w:tabs>
        <w:ind w:left="1985" w:hanging="425"/>
      </w:pPr>
      <w:r>
        <w:rPr>
          <w:b/>
        </w:rPr>
        <w:t>D</w:t>
      </w:r>
      <w:r>
        <w:tab/>
        <w:t>is 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284"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r>
              <w:rPr>
                <w:szCs w:val="22"/>
              </w:rPr>
              <w:t>072.88</w:t>
            </w:r>
          </w:p>
        </w:tc>
      </w:tr>
      <w:tr>
        <w:tc>
          <w:tcPr>
            <w:tcW w:w="2268" w:type="dxa"/>
            <w:noWrap/>
            <w:tcMar>
              <w:left w:w="284"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$459.25</w:t>
            </w:r>
          </w:p>
        </w:tc>
      </w:tr>
      <w:tr>
        <w:tc>
          <w:tcPr>
            <w:tcW w:w="2268" w:type="dxa"/>
            <w:noWrap/>
            <w:tcMar>
              <w:left w:w="284"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2268" w:type="dxa"/>
            <w:noWrap/>
          </w:tcPr>
          <w:p>
            <w:pPr>
              <w:pStyle w:val="yTableNAm"/>
              <w:jc w:val="center"/>
            </w:pPr>
            <w:r>
              <w:rPr>
                <w:szCs w:val="22"/>
              </w:rPr>
              <w:t>$613.32</w:t>
            </w:r>
          </w:p>
        </w:tc>
      </w:tr>
      <w:tr>
        <w:tc>
          <w:tcPr>
            <w:tcW w:w="2268" w:type="dxa"/>
            <w:tcBorders>
              <w:bottom w:val="single" w:sz="4" w:space="0" w:color="auto"/>
            </w:tcBorders>
            <w:noWrap/>
            <w:tcMar>
              <w:left w:w="284" w:type="dxa"/>
            </w:tcMar>
          </w:tcPr>
          <w:p>
            <w:pPr>
              <w:pStyle w:val="yTableNAm"/>
              <w:tabs>
                <w:tab w:val="clear" w:pos="567"/>
                <w:tab w:val="left" w:pos="384"/>
              </w:tabs>
              <w:ind w:left="370" w:hanging="370"/>
            </w:pPr>
            <w:r>
              <w:lastRenderedPageBreak/>
              <w:t>4</w:t>
            </w:r>
            <w:r>
              <w:rPr>
                <w:vertAlign w:val="superscript"/>
              </w:rPr>
              <w:t>th</w:t>
            </w:r>
            <w:r>
              <w:rPr>
                <w:vertAlign w:val="superscript"/>
              </w:rPr>
              <w:tab/>
            </w:r>
            <w:r>
              <w:t>and</w:t>
            </w:r>
            <w:r>
              <w:br/>
              <w:t>subsequent</w:t>
            </w:r>
            <w:r>
              <w:br/>
              <w:t>fixtures</w:t>
            </w:r>
          </w:p>
        </w:tc>
        <w:tc>
          <w:tcPr>
            <w:tcW w:w="2268" w:type="dxa"/>
            <w:tcBorders>
              <w:bottom w:val="single" w:sz="4" w:space="0" w:color="auto"/>
            </w:tcBorders>
            <w:noWrap/>
          </w:tcPr>
          <w:p>
            <w:pPr>
              <w:pStyle w:val="yTableNAm"/>
              <w:jc w:val="center"/>
            </w:pPr>
            <w:r>
              <w:rPr>
                <w:szCs w:val="22"/>
              </w:rPr>
              <w:t>$666.95</w:t>
            </w:r>
          </w:p>
        </w:tc>
      </w:tr>
    </w:tbl>
    <w:p>
      <w:pPr>
        <w:pStyle w:val="yHeading5"/>
      </w:pPr>
      <w:bookmarkStart w:id="312" w:name="_Toc106180043"/>
      <w:r>
        <w:t>26.</w:t>
      </w:r>
      <w:r>
        <w:tab/>
        <w:t>Discharge charge</w:t>
      </w:r>
      <w:bookmarkEnd w:id="312"/>
    </w:p>
    <w:p>
      <w:pPr>
        <w:pStyle w:val="ySubsection"/>
      </w:pPr>
      <w:r>
        <w:tab/>
      </w:r>
      <w:r>
        <w:tab/>
        <w:t>The discharge charge (</w:t>
      </w:r>
      <w:r>
        <w:rPr>
          <w:b/>
          <w:i/>
        </w:rPr>
        <w:t>Q</w:t>
      </w:r>
      <w:r>
        <w:t>) is —</w:t>
      </w:r>
    </w:p>
    <w:p>
      <w:pPr>
        <w:pStyle w:val="yMiscellaneousBody"/>
        <w:keepNext/>
        <w:keepLines/>
        <w:tabs>
          <w:tab w:val="left" w:pos="284"/>
          <w:tab w:val="right" w:leader="dot" w:pos="6804"/>
        </w:tabs>
        <w:ind w:left="1701" w:hanging="142"/>
      </w:pPr>
      <w:r>
        <w:t xml:space="preserve">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m:t>
        </m:r>
        <m:r>
          <m:rPr>
            <m:sty m:val="b"/>
          </m:rPr>
          <w:rPr>
            <w:rFonts w:ascii="Cambria Math" w:hAnsi="Cambria Math"/>
          </w:rPr>
          <m:t>H</m:t>
        </m:r>
      </m:oMath>
      <w:r>
        <w:t>,</w:t>
      </w:r>
    </w:p>
    <w:p>
      <w:pPr>
        <w:pStyle w:val="yMiscellaneousBody"/>
        <w:tabs>
          <w:tab w:val="left" w:pos="284"/>
          <w:tab w:val="right" w:leader="dot" w:pos="6804"/>
        </w:tabs>
        <w:ind w:left="1701" w:hanging="142"/>
      </w:pPr>
      <w:r>
        <w:tab/>
        <w:t>then nil</w:t>
      </w:r>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)&gt;</m:t>
        </m:r>
        <m:r>
          <m:rPr>
            <m:sty m:val="b"/>
          </m:rPr>
          <w:rPr>
            <w:rFonts w:ascii="Cambria Math" w:hAnsi="Cambria Math"/>
          </w:rPr>
          <m:t>H</m:t>
        </m:r>
      </m:oMath>
      <w:r>
        <w:t>,</w:t>
      </w:r>
    </w:p>
    <w:p>
      <w:pPr>
        <w:pStyle w:val="yMiscellaneousBody"/>
        <w:tabs>
          <w:tab w:val="left" w:pos="284"/>
          <w:tab w:val="right" w:leader="dot" w:pos="6804"/>
        </w:tabs>
        <w:ind w:left="1701" w:hanging="142"/>
      </w:pPr>
      <w:r>
        <w:tab/>
        <w:t xml:space="preserve">then </w:t>
      </w:r>
      <m:oMath>
        <m:r>
          <w:rPr>
            <w:rFonts w:ascii="Cambria Math" w:hAnsi="Cambria Math"/>
          </w:rPr>
          <m:t>(</m:t>
        </m:r>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H)×I</m:t>
        </m:r>
      </m:oMath>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F</w:t>
      </w:r>
      <w:r>
        <w:tab/>
        <w:t>is the volume of water supplied to the land in the current consumption year;</w:t>
      </w:r>
    </w:p>
    <w:p>
      <w:pPr>
        <w:pStyle w:val="yMiscellaneousBody"/>
        <w:tabs>
          <w:tab w:val="left" w:pos="284"/>
          <w:tab w:val="left" w:pos="1985"/>
        </w:tabs>
        <w:ind w:left="1985" w:hanging="425"/>
      </w:pPr>
      <w:r>
        <w:rPr>
          <w:b/>
        </w:rPr>
        <w:t>G</w:t>
      </w:r>
      <w:r>
        <w:tab/>
        <w:t>is the discharge factor applicable for the land for the current discharge year;</w:t>
      </w:r>
    </w:p>
    <w:p>
      <w:pPr>
        <w:pStyle w:val="yMiscellaneousBody"/>
        <w:tabs>
          <w:tab w:val="left" w:pos="284"/>
          <w:tab w:val="left" w:pos="1985"/>
        </w:tabs>
        <w:ind w:left="1985" w:hanging="425"/>
      </w:pPr>
      <w:r>
        <w:rPr>
          <w:b/>
        </w:rPr>
        <w:t>H</w:t>
      </w:r>
      <w:r>
        <w:tab/>
        <w:t>is the discharge allowance for the current discharge year worked out in accordance with item 27;</w:t>
      </w:r>
    </w:p>
    <w:p>
      <w:pPr>
        <w:pStyle w:val="yMiscellaneousBody"/>
        <w:tabs>
          <w:tab w:val="left" w:pos="284"/>
          <w:tab w:val="left" w:pos="1985"/>
        </w:tabs>
        <w:ind w:left="1985" w:hanging="425"/>
      </w:pPr>
      <w:r>
        <w:rPr>
          <w:b/>
        </w:rPr>
        <w:t>I</w:t>
      </w:r>
      <w:r>
        <w:tab/>
        <w:t xml:space="preserve">is </w:t>
      </w:r>
      <w:r>
        <w:rPr>
          <w:szCs w:val="22"/>
        </w:rPr>
        <w:t>$3.942</w:t>
      </w:r>
      <w:r>
        <w:t>,</w:t>
      </w:r>
    </w:p>
    <w:p>
      <w:pPr>
        <w:pStyle w:val="yMiscellaneousBody"/>
        <w:tabs>
          <w:tab w:val="left" w:pos="284"/>
          <w:tab w:val="left" w:pos="1560"/>
        </w:tabs>
        <w:ind w:left="1560"/>
      </w:pPr>
      <w:r>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313" w:name="_Toc106180044"/>
      <w:r>
        <w:t>27.</w:t>
      </w:r>
      <w:r>
        <w:tab/>
        <w:t>Discharge allowance</w:t>
      </w:r>
      <w:bookmarkEnd w:id="313"/>
    </w:p>
    <w:p>
      <w:pPr>
        <w:pStyle w:val="ySubsection"/>
      </w:pPr>
      <w:r>
        <w:tab/>
        <w:t>(1)</w:t>
      </w:r>
      <w:r>
        <w:tab/>
        <w:t>The discharge allowance for the current discharge year is —</w:t>
      </w:r>
    </w:p>
    <w:p>
      <w:pPr>
        <w:pStyle w:val="yIndenta"/>
      </w:pPr>
      <w:r>
        <w:tab/>
        <w:t>(a)</w:t>
      </w:r>
      <w:r>
        <w:tab/>
        <w:t>for land to which item 21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lastRenderedPageBreak/>
        <w:tab/>
        <w:t>(c)</w:t>
      </w:r>
      <w:r>
        <w:tab/>
        <w:t>for a caravan park referred to in item 22 — the amount (in kL) calculated in accordance with the formula in sub</w:t>
      </w:r>
      <w:r>
        <w:noBreakHyphen/>
        <w:t>item (2);</w:t>
      </w:r>
    </w:p>
    <w:p>
      <w:pPr>
        <w:pStyle w:val="yIndenta"/>
      </w:pPr>
      <w:r>
        <w:tab/>
        <w:t>(d)</w:t>
      </w:r>
      <w:r>
        <w:tab/>
        <w:t>for a nursing home referred to in item 23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1418"/>
        <w:rPr>
          <w:b/>
          <w:sz w:val="22"/>
        </w:rPr>
      </w:pPr>
      <m:oMathPara>
        <m:oMathParaPr>
          <m:jc m:val="left"/>
        </m:oMathParaPr>
        <m:oMath>
          <m:r>
            <m:rPr>
              <m:sty m:val="bi"/>
            </m:rPr>
            <w:rPr>
              <w:rFonts w:ascii="Cambria Math" w:hAnsi="Cambria Math"/>
              <w:sz w:val="22"/>
            </w:rPr>
            <m:t xml:space="preserve">200 </m:t>
          </m:r>
          <m:r>
            <m:rPr>
              <m:sty m:val="b"/>
            </m:rPr>
            <w:rPr>
              <w:rFonts w:ascii="Cambria Math" w:hAnsi="Cambria Math"/>
              <w:sz w:val="22"/>
            </w:rPr>
            <m:t>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right" w:leader="dot" w:pos="6804"/>
        </w:tabs>
        <w:ind w:left="1843" w:hanging="425"/>
      </w:pPr>
      <w:r>
        <w:rPr>
          <w:b/>
        </w:rPr>
        <w:t>M</w:t>
      </w:r>
      <w:r>
        <w:tab/>
        <w:t>is 75 kL of water for each long</w:t>
      </w:r>
      <w:r>
        <w:noBreakHyphen/>
        <w:t>term residential caravan bay.</w:t>
      </w:r>
    </w:p>
    <w:p>
      <w:pPr>
        <w:pStyle w:val="yHeading5"/>
      </w:pPr>
      <w:bookmarkStart w:id="314" w:name="_Toc106180045"/>
      <w:r>
        <w:t>28.</w:t>
      </w:r>
      <w:r>
        <w:tab/>
        <w:t>Maximum charge</w:t>
      </w:r>
      <w:bookmarkEnd w:id="314"/>
    </w:p>
    <w:p>
      <w:pPr>
        <w:pStyle w:val="ySubsection"/>
      </w:pPr>
      <w:r>
        <w:tab/>
      </w:r>
      <w:r>
        <w:tab/>
        <w:t>The maximum charge (</w:t>
      </w:r>
      <w:r>
        <w:rPr>
          <w:b/>
          <w:i/>
        </w:rPr>
        <w:t>R</w:t>
      </w:r>
      <w:r>
        <w:t>) is —</w:t>
      </w:r>
    </w:p>
    <w:p>
      <w:pPr>
        <w:pStyle w:val="yMiscellaneousBody"/>
        <w:tabs>
          <w:tab w:val="left" w:pos="284"/>
          <w:tab w:val="right" w:leader="dot" w:pos="6804"/>
        </w:tabs>
        <w:ind w:left="1701" w:hanging="142"/>
      </w:pPr>
      <w:r>
        <w:t xml:space="preserve">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&gt;</m:t>
        </m:r>
        <m:r>
          <m:rPr>
            <m:sty m:val="b"/>
          </m:rPr>
          <w:rPr>
            <w:rFonts w:ascii="Cambria Math" w:hAnsi="Cambria Math"/>
          </w:rPr>
          <m:t>B</m:t>
        </m:r>
      </m:oMath>
      <w:r>
        <w:t>,</w:t>
      </w:r>
    </w:p>
    <w:p>
      <w:pPr>
        <w:pStyle w:val="yMiscellaneousBody"/>
        <w:tabs>
          <w:tab w:val="left" w:pos="284"/>
          <w:tab w:val="right" w:leader="dot" w:pos="6804"/>
        </w:tabs>
        <w:ind w:left="1701" w:hanging="142"/>
      </w:pPr>
      <w:r>
        <w:tab/>
        <w:t xml:space="preserve">then — </w:t>
      </w:r>
    </w:p>
    <w:p>
      <w:pPr>
        <w:pStyle w:val="yMiscellaneousBody"/>
        <w:tabs>
          <w:tab w:val="left" w:pos="284"/>
          <w:tab w:val="right" w:leader="dot" w:pos="6804"/>
        </w:tabs>
        <w:ind w:left="1701" w:hanging="142"/>
      </w:pPr>
      <w:r>
        <w:tab/>
        <w:t xml:space="preserve">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)&gt;(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701" w:hanging="142"/>
      </w:pPr>
      <w:r>
        <w:tab/>
      </w: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oMath>
    </w:p>
    <w:p>
      <w:pPr>
        <w:pStyle w:val="yMiscellaneousBody"/>
        <w:tabs>
          <w:tab w:val="left" w:pos="284"/>
          <w:tab w:val="right" w:leader="dot" w:pos="6804"/>
        </w:tabs>
        <w:ind w:left="1701" w:hanging="142"/>
      </w:pPr>
      <w:r>
        <w:tab/>
        <w:t xml:space="preserve">or 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701" w:hanging="142"/>
      </w:pPr>
      <w:r>
        <w:tab/>
      </w: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p>
    <w:p>
      <w:pPr>
        <w:pStyle w:val="yMiscellaneousBody"/>
        <w:keepNext/>
        <w:keepLines/>
        <w:tabs>
          <w:tab w:val="left" w:pos="284"/>
          <w:tab w:val="right" w:leader="dot" w:pos="6804"/>
        </w:tabs>
        <w:ind w:left="1701" w:hanging="142"/>
      </w:pPr>
      <w:r>
        <w:tab/>
        <w:t xml:space="preserve">or 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t>,</w:t>
      </w:r>
    </w:p>
    <w:p>
      <w:pPr>
        <w:pStyle w:val="yMiscellaneousBody"/>
        <w:tabs>
          <w:tab w:val="left" w:pos="284"/>
          <w:tab w:val="left" w:pos="1985"/>
          <w:tab w:val="right" w:leader="dot" w:pos="6804"/>
        </w:tabs>
        <w:ind w:left="1701" w:hanging="142"/>
      </w:pPr>
      <w:r>
        <w:tab/>
      </w:r>
      <w:r>
        <w:tab/>
        <w:t xml:space="preserve">then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oMath>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P</w:t>
      </w:r>
      <w:r>
        <w:tab/>
        <w:t>is the service charge calculated in accordance with item 25;</w:t>
      </w:r>
    </w:p>
    <w:p>
      <w:pPr>
        <w:pStyle w:val="yMiscellaneousBody"/>
        <w:tabs>
          <w:tab w:val="left" w:pos="284"/>
          <w:tab w:val="left" w:pos="1985"/>
        </w:tabs>
        <w:ind w:left="1985" w:hanging="425"/>
      </w:pPr>
      <w:r>
        <w:rPr>
          <w:b/>
        </w:rPr>
        <w:t>Q</w:t>
      </w:r>
      <w:r>
        <w:tab/>
        <w:t>is the discharge charge calculated in accordance with item 26;</w:t>
      </w:r>
    </w:p>
    <w:p>
      <w:pPr>
        <w:pStyle w:val="yMiscellaneousBody"/>
        <w:tabs>
          <w:tab w:val="left" w:pos="284"/>
          <w:tab w:val="left" w:pos="1985"/>
        </w:tabs>
        <w:ind w:left="1985" w:hanging="425"/>
      </w:pPr>
      <w:r>
        <w:rPr>
          <w:b/>
        </w:rPr>
        <w:lastRenderedPageBreak/>
        <w:t>A</w:t>
      </w:r>
      <w:r>
        <w:tab/>
        <w:t>is the charge payable, for the previous financial year, under the item in Subdivision 4 for which this item is being applied;</w:t>
      </w:r>
    </w:p>
    <w:p>
      <w:pPr>
        <w:pStyle w:val="yMiscellaneousBody"/>
        <w:tabs>
          <w:tab w:val="left" w:pos="284"/>
          <w:tab w:val="left" w:pos="1985"/>
        </w:tabs>
        <w:ind w:left="1985" w:hanging="425"/>
      </w:pPr>
      <w:r>
        <w:rPr>
          <w:b/>
        </w:rPr>
        <w:t>S</w:t>
      </w:r>
      <w:r>
        <w:tab/>
        <w:t xml:space="preserve">is </w:t>
      </w:r>
      <w:r>
        <w:rPr>
          <w:szCs w:val="22"/>
        </w:rPr>
        <w:t>1.</w:t>
      </w:r>
      <w:r>
        <w:t>1175;</w:t>
      </w:r>
    </w:p>
    <w:p>
      <w:pPr>
        <w:pStyle w:val="yMiscellaneousBody"/>
        <w:tabs>
          <w:tab w:val="left" w:pos="284"/>
          <w:tab w:val="left" w:pos="1985"/>
        </w:tabs>
        <w:ind w:left="1985" w:hanging="425"/>
      </w:pPr>
      <w:r>
        <w:rPr>
          <w:b/>
        </w:rPr>
        <w:t>B</w:t>
      </w:r>
      <w:r>
        <w:tab/>
        <w:t>is $166.67.</w:t>
      </w:r>
    </w:p>
    <w:p>
      <w:pPr>
        <w:pStyle w:val="yFootnotesection"/>
      </w:pPr>
      <w:r>
        <w:tab/>
        <w:t>[Division 2 inserted: SL 2021/80 r. 8.]</w:t>
      </w:r>
    </w:p>
    <w:p>
      <w:pPr>
        <w:pStyle w:val="yHeading3"/>
      </w:pPr>
      <w:bookmarkStart w:id="315" w:name="_Toc106104062"/>
      <w:bookmarkStart w:id="316" w:name="_Toc106104290"/>
      <w:bookmarkStart w:id="317" w:name="_Toc106179818"/>
      <w:bookmarkStart w:id="318" w:name="_Toc106180046"/>
      <w:r>
        <w:rPr>
          <w:rStyle w:val="CharSDivNo"/>
        </w:rPr>
        <w:t>Division 3</w:t>
      </w:r>
      <w:r>
        <w:t> — </w:t>
      </w:r>
      <w:r>
        <w:rPr>
          <w:rStyle w:val="CharSDivText"/>
        </w:rPr>
        <w:t>Discharge charges: trade waste and effluent</w:t>
      </w:r>
      <w:bookmarkEnd w:id="315"/>
      <w:bookmarkEnd w:id="316"/>
      <w:bookmarkEnd w:id="317"/>
      <w:bookmarkEnd w:id="318"/>
    </w:p>
    <w:p>
      <w:pPr>
        <w:pStyle w:val="yFootnoteheading"/>
      </w:pPr>
      <w:r>
        <w:tab/>
        <w:t>[Heading inserted: SL 2021/80 r. 8.]</w:t>
      </w:r>
    </w:p>
    <w:p>
      <w:pPr>
        <w:pStyle w:val="yHeading5"/>
      </w:pPr>
      <w:bookmarkStart w:id="319" w:name="_Toc106180047"/>
      <w:r>
        <w:t>29.</w:t>
      </w:r>
      <w:r>
        <w:tab/>
        <w:t>Discharge charges for 2021/22 and subsequent years</w:t>
      </w:r>
      <w:bookmarkEnd w:id="319"/>
    </w:p>
    <w:p>
      <w:pPr>
        <w:pStyle w:val="ySubsection"/>
      </w:pPr>
      <w:r>
        <w:tab/>
      </w:r>
      <w:r>
        <w:tab/>
        <w:t>The charges set out in this Division apply for trade waste or effluent discharged in the 2021/22 financial year and each subsequent year.</w:t>
      </w:r>
    </w:p>
    <w:p>
      <w:pPr>
        <w:pStyle w:val="yHeading5"/>
      </w:pPr>
      <w:bookmarkStart w:id="320" w:name="_Toc106180048"/>
      <w:r>
        <w:t>30.</w:t>
      </w:r>
      <w:r>
        <w:tab/>
        <w:t>Trade waste discharged into sewer under approval</w:t>
      </w:r>
      <w:bookmarkEnd w:id="320"/>
    </w:p>
    <w:p>
      <w:pPr>
        <w:pStyle w:val="ySubsection"/>
      </w:pPr>
      <w:r>
        <w:tab/>
        <w:t>(1)</w:t>
      </w:r>
      <w:r>
        <w:tab/>
        <w:t xml:space="preserve">In this item — </w:t>
      </w:r>
    </w:p>
    <w:p>
      <w:pPr>
        <w:pStyle w:val="yDefstart"/>
      </w:pPr>
      <w:r>
        <w:tab/>
      </w:r>
      <w:r>
        <w:rPr>
          <w:rStyle w:val="CharDefText"/>
        </w:rPr>
        <w:t>B.O.D.</w:t>
      </w:r>
      <w:r>
        <w:t xml:space="preserve"> means biochemical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Subsection"/>
      </w:pPr>
      <w:r>
        <w:tab/>
        <w:t>(2)</w:t>
      </w:r>
      <w:r>
        <w:tab/>
        <w:t>For trade waste discharged into a sewer of the Water Corporation under an approval of the Water Corporation, the charge is —</w:t>
      </w:r>
    </w:p>
    <w:p>
      <w:pPr>
        <w:pStyle w:val="yIndenta"/>
        <w:tabs>
          <w:tab w:val="right" w:leader="dot" w:pos="6804"/>
        </w:tabs>
      </w:pPr>
      <w:r>
        <w:tab/>
        <w:t>(a)</w:t>
      </w:r>
      <w:r>
        <w:tab/>
        <w:t xml:space="preserve">for volume </w:t>
      </w:r>
      <w:r>
        <w:tab/>
        <w:t>153.5 c/kL</w:t>
      </w:r>
    </w:p>
    <w:p>
      <w:pPr>
        <w:pStyle w:val="yIndenta"/>
      </w:pPr>
      <w:r>
        <w:tab/>
        <w:t>(b)</w:t>
      </w:r>
      <w:r>
        <w:tab/>
        <w:t>for B.O.D. with a concentration of —</w:t>
      </w:r>
    </w:p>
    <w:p>
      <w:pPr>
        <w:pStyle w:val="yIndenti0"/>
        <w:tabs>
          <w:tab w:val="right" w:leader="dot" w:pos="6804"/>
        </w:tabs>
      </w:pPr>
      <w:r>
        <w:tab/>
        <w:t>(i)</w:t>
      </w:r>
      <w:r>
        <w:tab/>
        <w:t xml:space="preserve">up to 5 kg/kL </w:t>
      </w:r>
      <w:r>
        <w:tab/>
        <w:t xml:space="preserve"> 128.1 c/kg</w:t>
      </w:r>
    </w:p>
    <w:p>
      <w:pPr>
        <w:pStyle w:val="yIndenti0"/>
        <w:tabs>
          <w:tab w:val="right" w:leader="dot" w:pos="6804"/>
        </w:tabs>
      </w:pPr>
      <w:r>
        <w:tab/>
        <w:t>(ii)</w:t>
      </w:r>
      <w:r>
        <w:tab/>
        <w:t xml:space="preserve">over 5 kg/kL </w:t>
      </w:r>
      <w:r>
        <w:tab/>
        <w:t xml:space="preserve"> 261.5 c/kg</w:t>
      </w:r>
    </w:p>
    <w:p>
      <w:pPr>
        <w:pStyle w:val="yIndenta"/>
      </w:pPr>
      <w:r>
        <w:tab/>
        <w:t>(c)</w:t>
      </w:r>
      <w:r>
        <w:tab/>
        <w:t>for suspended solids with a concentration of —</w:t>
      </w:r>
    </w:p>
    <w:p>
      <w:pPr>
        <w:pStyle w:val="yIndenti0"/>
        <w:tabs>
          <w:tab w:val="right" w:leader="dot" w:pos="6804"/>
        </w:tabs>
      </w:pPr>
      <w:r>
        <w:tab/>
        <w:t>(i)</w:t>
      </w:r>
      <w:r>
        <w:tab/>
        <w:t xml:space="preserve">up to 2 kg/kL </w:t>
      </w:r>
      <w:r>
        <w:tab/>
        <w:t xml:space="preserve"> 174.7 c/kg</w:t>
      </w:r>
    </w:p>
    <w:p>
      <w:pPr>
        <w:pStyle w:val="yIndenti0"/>
        <w:tabs>
          <w:tab w:val="right" w:leader="dot" w:pos="6804"/>
        </w:tabs>
      </w:pPr>
      <w:r>
        <w:tab/>
        <w:t>(ii)</w:t>
      </w:r>
      <w:r>
        <w:tab/>
        <w:t xml:space="preserve">over 2 kg/kL </w:t>
      </w:r>
      <w:r>
        <w:tab/>
        <w:t xml:space="preserve"> 351.5 c/kg</w:t>
      </w:r>
    </w:p>
    <w:p>
      <w:pPr>
        <w:pStyle w:val="yIndenta"/>
      </w:pPr>
      <w:r>
        <w:tab/>
        <w:t>(d)</w:t>
      </w:r>
      <w:r>
        <w:tab/>
        <w:t>for oil and grease with a concentration of —</w:t>
      </w:r>
    </w:p>
    <w:p>
      <w:pPr>
        <w:pStyle w:val="yIndenti0"/>
        <w:tabs>
          <w:tab w:val="right" w:leader="dot" w:pos="6804"/>
        </w:tabs>
      </w:pPr>
      <w:r>
        <w:tab/>
        <w:t>(i)</w:t>
      </w:r>
      <w:r>
        <w:tab/>
        <w:t xml:space="preserve">up to 0.3 kg/kL </w:t>
      </w:r>
      <w:r>
        <w:tab/>
        <w:t xml:space="preserve"> 157.7 c/kg</w:t>
      </w:r>
    </w:p>
    <w:p>
      <w:pPr>
        <w:pStyle w:val="yIndenti0"/>
        <w:tabs>
          <w:tab w:val="right" w:leader="dot" w:pos="6804"/>
        </w:tabs>
      </w:pPr>
      <w:r>
        <w:tab/>
        <w:t>(ii)</w:t>
      </w:r>
      <w:r>
        <w:tab/>
        <w:t xml:space="preserve">over 0.3 kg/kL but </w:t>
      </w:r>
      <w:r>
        <w:br/>
        <w:t xml:space="preserve">not over 0.6 kg/kL </w:t>
      </w:r>
      <w:r>
        <w:tab/>
        <w:t xml:space="preserve"> 309.1 c/kg</w:t>
      </w:r>
    </w:p>
    <w:p>
      <w:pPr>
        <w:pStyle w:val="yIndenti0"/>
        <w:tabs>
          <w:tab w:val="right" w:leader="dot" w:pos="6804"/>
        </w:tabs>
      </w:pPr>
      <w:r>
        <w:lastRenderedPageBreak/>
        <w:tab/>
        <w:t>(iii)</w:t>
      </w:r>
      <w:r>
        <w:tab/>
        <w:t xml:space="preserve">over 0.6 kg/kL </w:t>
      </w:r>
      <w:r>
        <w:tab/>
        <w:t>623.5 c/kg</w:t>
      </w:r>
    </w:p>
    <w:p>
      <w:pPr>
        <w:pStyle w:val="yIndenta"/>
      </w:pPr>
      <w:r>
        <w:tab/>
        <w:t>(e)</w:t>
      </w:r>
      <w:r>
        <w:tab/>
        <w:t>for acidity to pH 6 (expressed as calcium carbonate) —</w:t>
      </w:r>
    </w:p>
    <w:p>
      <w:pPr>
        <w:pStyle w:val="yIndenti0"/>
        <w:tabs>
          <w:tab w:val="right" w:leader="dot" w:pos="6804"/>
        </w:tabs>
      </w:pPr>
      <w:r>
        <w:tab/>
        <w:t>(i)</w:t>
      </w:r>
      <w:r>
        <w:tab/>
        <w:t xml:space="preserve">up to 0.1 kg/kL </w:t>
      </w:r>
      <w:r>
        <w:tab/>
        <w:t>43.4 c/kg</w:t>
      </w:r>
    </w:p>
    <w:p>
      <w:pPr>
        <w:pStyle w:val="yIndenti0"/>
        <w:tabs>
          <w:tab w:val="right" w:leader="dot" w:pos="6804"/>
        </w:tabs>
      </w:pPr>
      <w:r>
        <w:tab/>
        <w:t>(ii)</w:t>
      </w:r>
      <w:r>
        <w:tab/>
        <w:t xml:space="preserve">over 0.1 kg/kL but </w:t>
      </w:r>
      <w:r>
        <w:br/>
        <w:t xml:space="preserve">not over 0.3 kg/kL </w:t>
      </w:r>
      <w:r>
        <w:tab/>
        <w:t>91.0 c/kg</w:t>
      </w:r>
    </w:p>
    <w:p>
      <w:pPr>
        <w:pStyle w:val="yIndenti0"/>
        <w:tabs>
          <w:tab w:val="right" w:leader="dot" w:pos="6804"/>
        </w:tabs>
      </w:pPr>
      <w:r>
        <w:tab/>
        <w:t>(iii)</w:t>
      </w:r>
      <w:r>
        <w:tab/>
        <w:t xml:space="preserve">over 0.3 kg/kL </w:t>
      </w:r>
      <w:r>
        <w:tab/>
        <w:t>181.0 c/kg</w:t>
      </w:r>
    </w:p>
    <w:p>
      <w:pPr>
        <w:pStyle w:val="yIndenta"/>
      </w:pPr>
      <w:r>
        <w:tab/>
        <w:t>(f)</w:t>
      </w:r>
      <w:r>
        <w:tab/>
        <w:t>for alkalinity to pH 10 (expressed as calcium carbonate) —</w:t>
      </w:r>
    </w:p>
    <w:p>
      <w:pPr>
        <w:pStyle w:val="yIndenti0"/>
        <w:tabs>
          <w:tab w:val="right" w:leader="dot" w:pos="6804"/>
        </w:tabs>
      </w:pPr>
      <w:r>
        <w:tab/>
        <w:t>(i)</w:t>
      </w:r>
      <w:r>
        <w:tab/>
        <w:t xml:space="preserve">up to 0.1 kg/kL </w:t>
      </w:r>
      <w:r>
        <w:tab/>
        <w:t>13.8 c/kg</w:t>
      </w:r>
    </w:p>
    <w:p>
      <w:pPr>
        <w:pStyle w:val="yIndenti0"/>
        <w:tabs>
          <w:tab w:val="right" w:leader="dot" w:pos="6804"/>
        </w:tabs>
      </w:pPr>
      <w:r>
        <w:tab/>
        <w:t>(ii)</w:t>
      </w:r>
      <w:r>
        <w:tab/>
        <w:t xml:space="preserve">over 0.1 kg/kL but </w:t>
      </w:r>
      <w:r>
        <w:br/>
        <w:t xml:space="preserve">not over 0.2 kg/kL </w:t>
      </w:r>
      <w:r>
        <w:tab/>
        <w:t>32.8 c/kg</w:t>
      </w:r>
    </w:p>
    <w:p>
      <w:pPr>
        <w:pStyle w:val="yIndenti0"/>
        <w:tabs>
          <w:tab w:val="right" w:leader="dot" w:pos="6804"/>
        </w:tabs>
      </w:pPr>
      <w:r>
        <w:tab/>
        <w:t>(iii)</w:t>
      </w:r>
      <w:r>
        <w:tab/>
        <w:t xml:space="preserve">over 0.2 kg/kL </w:t>
      </w:r>
      <w:r>
        <w:tab/>
        <w:t>65.6 c/kg</w:t>
      </w:r>
    </w:p>
    <w:p>
      <w:pPr>
        <w:pStyle w:val="yIndenta"/>
        <w:tabs>
          <w:tab w:val="right" w:leader="dot" w:pos="6804"/>
        </w:tabs>
      </w:pPr>
      <w:r>
        <w:tab/>
        <w:t>(g)</w:t>
      </w:r>
      <w:r>
        <w:tab/>
        <w:t xml:space="preserve">for nitrogen </w:t>
      </w:r>
      <w:r>
        <w:tab/>
        <w:t>139.7 c/kg</w:t>
      </w:r>
    </w:p>
    <w:p>
      <w:pPr>
        <w:pStyle w:val="yIndenta"/>
        <w:tabs>
          <w:tab w:val="right" w:leader="dot" w:pos="6804"/>
        </w:tabs>
      </w:pPr>
      <w:r>
        <w:tab/>
        <w:t>(h)</w:t>
      </w:r>
      <w:r>
        <w:tab/>
        <w:t xml:space="preserve">for phosphorus </w:t>
      </w:r>
      <w:r>
        <w:tab/>
        <w:t>39.2 c/kg</w:t>
      </w:r>
    </w:p>
    <w:p>
      <w:pPr>
        <w:pStyle w:val="yIndenta"/>
        <w:rPr>
          <w:szCs w:val="22"/>
        </w:rPr>
      </w:pPr>
      <w:r>
        <w:rPr>
          <w:szCs w:val="22"/>
        </w:rPr>
        <w:tab/>
        <w:t>(i)</w:t>
      </w:r>
      <w:r>
        <w:rPr>
          <w:szCs w:val="22"/>
        </w:rPr>
        <w:tab/>
        <w:t xml:space="preserve">for </w:t>
      </w:r>
      <w:r>
        <w:t>sulphate</w:t>
      </w:r>
      <w:r>
        <w:rPr>
          <w:szCs w:val="22"/>
        </w:rPr>
        <w:t xml:space="preserve"> with a concentration of —</w:t>
      </w:r>
    </w:p>
    <w:p>
      <w:pPr>
        <w:pStyle w:val="yIndenti0"/>
        <w:tabs>
          <w:tab w:val="right" w:leader="dot" w:pos="6804"/>
        </w:tabs>
      </w:pPr>
      <w:r>
        <w:tab/>
        <w:t>(i)</w:t>
      </w:r>
      <w:r>
        <w:tab/>
        <w:t xml:space="preserve">up to 0.05 kg/kL </w:t>
      </w:r>
      <w:r>
        <w:tab/>
        <w:t>no charge</w:t>
      </w:r>
    </w:p>
    <w:p>
      <w:pPr>
        <w:pStyle w:val="yIndenti0"/>
        <w:tabs>
          <w:tab w:val="right" w:leader="dot" w:pos="6804"/>
        </w:tabs>
      </w:pPr>
      <w:r>
        <w:tab/>
        <w:t>(ii)</w:t>
      </w:r>
      <w:r>
        <w:tab/>
        <w:t xml:space="preserve">over 0.05 kg/kL </w:t>
      </w:r>
      <w:r>
        <w:tab/>
        <w:t>74.1 c/kg</w:t>
      </w:r>
    </w:p>
    <w:p>
      <w:pPr>
        <w:pStyle w:val="yIndenta"/>
      </w:pPr>
      <w:r>
        <w:rPr>
          <w:szCs w:val="22"/>
        </w:rPr>
        <w:tab/>
        <w:t>(j)</w:t>
      </w:r>
      <w:r>
        <w:rPr>
          <w:szCs w:val="22"/>
        </w:rPr>
        <w:tab/>
        <w:t xml:space="preserve">for total dissolved </w:t>
      </w:r>
      <w:r>
        <w:t>salts</w:t>
      </w:r>
      <w:r>
        <w:rPr>
          <w:szCs w:val="22"/>
        </w:rPr>
        <w:t xml:space="preserve"> with a </w:t>
      </w:r>
      <w:r>
        <w:t>concentration</w:t>
      </w:r>
      <w:r>
        <w:rPr>
          <w:szCs w:val="22"/>
        </w:rPr>
        <w:t xml:space="preserve"> of —</w:t>
      </w:r>
    </w:p>
    <w:p>
      <w:pPr>
        <w:pStyle w:val="yIndenti0"/>
        <w:tabs>
          <w:tab w:val="right" w:leader="dot" w:pos="6804"/>
        </w:tabs>
      </w:pPr>
      <w:r>
        <w:tab/>
        <w:t>(i)</w:t>
      </w:r>
      <w:r>
        <w:tab/>
        <w:t xml:space="preserve">up to 1 kg/kL </w:t>
      </w:r>
      <w:r>
        <w:tab/>
        <w:t>no charge</w:t>
      </w:r>
    </w:p>
    <w:p>
      <w:pPr>
        <w:pStyle w:val="yIndenti0"/>
        <w:tabs>
          <w:tab w:val="right" w:leader="dot" w:pos="6804"/>
        </w:tabs>
      </w:pPr>
      <w:r>
        <w:tab/>
        <w:t>(ii)</w:t>
      </w:r>
      <w:r>
        <w:tab/>
        <w:t xml:space="preserve">over 1 kg/kL but not </w:t>
      </w:r>
      <w:r>
        <w:br/>
        <w:t xml:space="preserve">over 3 kg/kL </w:t>
      </w:r>
      <w:r>
        <w:tab/>
        <w:t>0.1 c/kg</w:t>
      </w:r>
    </w:p>
    <w:p>
      <w:pPr>
        <w:pStyle w:val="yIndenti0"/>
        <w:tabs>
          <w:tab w:val="right" w:leader="dot" w:pos="6804"/>
        </w:tabs>
      </w:pPr>
      <w:r>
        <w:tab/>
        <w:t>(iii)</w:t>
      </w:r>
      <w:r>
        <w:tab/>
        <w:t xml:space="preserve">over 3 kg/kL but not </w:t>
      </w:r>
      <w:r>
        <w:br/>
        <w:t xml:space="preserve">over 6 kg/kL </w:t>
      </w:r>
      <w:r>
        <w:tab/>
        <w:t>4.1 c/kg</w:t>
      </w:r>
    </w:p>
    <w:p>
      <w:pPr>
        <w:pStyle w:val="yIndenti0"/>
        <w:tabs>
          <w:tab w:val="right" w:leader="dot" w:pos="6804"/>
        </w:tabs>
      </w:pPr>
      <w:r>
        <w:tab/>
        <w:t>(iv)</w:t>
      </w:r>
      <w:r>
        <w:tab/>
        <w:t xml:space="preserve">over 6 kg/kL </w:t>
      </w:r>
      <w:r>
        <w:tab/>
        <w:t>14.7 c/kg</w:t>
      </w:r>
    </w:p>
    <w:p>
      <w:pPr>
        <w:pStyle w:val="yIndenta"/>
      </w:pPr>
      <w:r>
        <w:rPr>
          <w:szCs w:val="22"/>
        </w:rPr>
        <w:tab/>
        <w:t>(k)</w:t>
      </w:r>
      <w:r>
        <w:rPr>
          <w:szCs w:val="22"/>
        </w:rPr>
        <w:tab/>
        <w:t xml:space="preserve">for chromium </w:t>
      </w:r>
      <w:r>
        <w:t>with</w:t>
      </w:r>
      <w:r>
        <w:rPr>
          <w:szCs w:val="22"/>
        </w:rPr>
        <w:t xml:space="preserve">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not </w:t>
      </w:r>
      <w:r>
        <w:br/>
        <w:t>over 1 kg/day</w:t>
      </w:r>
      <w:r>
        <w:tab/>
        <w:t>2 314.1 c/kg</w:t>
      </w:r>
    </w:p>
    <w:p>
      <w:pPr>
        <w:pStyle w:val="yIndenti0"/>
        <w:tabs>
          <w:tab w:val="right" w:leader="dot" w:pos="6804"/>
        </w:tabs>
      </w:pPr>
      <w:r>
        <w:tab/>
        <w:t>(iii)</w:t>
      </w:r>
      <w:r>
        <w:tab/>
        <w:t xml:space="preserve">over 1 kg/day </w:t>
      </w:r>
      <w:r>
        <w:tab/>
        <w:t>9 272.3 c/kg</w:t>
      </w:r>
    </w:p>
    <w:p>
      <w:pPr>
        <w:pStyle w:val="yIndenta"/>
      </w:pPr>
      <w:r>
        <w:rPr>
          <w:szCs w:val="22"/>
        </w:rPr>
        <w:tab/>
        <w:t>(l)</w:t>
      </w:r>
      <w:r>
        <w:rPr>
          <w:szCs w:val="22"/>
        </w:rPr>
        <w:tab/>
        <w:t>for copper with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w:t>
      </w:r>
      <w:r>
        <w:br/>
        <w:t>not over 0.12 kg/day</w:t>
      </w:r>
      <w:r>
        <w:tab/>
        <w:t>2 314.1 c/kg</w:t>
      </w:r>
    </w:p>
    <w:p>
      <w:pPr>
        <w:pStyle w:val="yIndenti0"/>
        <w:tabs>
          <w:tab w:val="right" w:leader="dot" w:pos="6804"/>
        </w:tabs>
      </w:pPr>
      <w:r>
        <w:lastRenderedPageBreak/>
        <w:tab/>
        <w:t>(iii)</w:t>
      </w:r>
      <w:r>
        <w:tab/>
        <w:t xml:space="preserve">over 0.12 kg/day </w:t>
      </w:r>
      <w:r>
        <w:tab/>
        <w:t>9 272.3 c/kg</w:t>
      </w:r>
    </w:p>
    <w:p>
      <w:pPr>
        <w:pStyle w:val="yIndenta"/>
      </w:pPr>
      <w:r>
        <w:rPr>
          <w:szCs w:val="22"/>
        </w:rPr>
        <w:tab/>
        <w:t>(m)</w:t>
      </w:r>
      <w:r>
        <w:rPr>
          <w:szCs w:val="22"/>
        </w:rPr>
        <w:tab/>
        <w:t>for lead with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w:t>
      </w:r>
      <w:r>
        <w:br/>
        <w:t xml:space="preserve">not over 0.3 kg/day </w:t>
      </w:r>
      <w:r>
        <w:tab/>
        <w:t>2 314.1 c/kg</w:t>
      </w:r>
    </w:p>
    <w:p>
      <w:pPr>
        <w:pStyle w:val="yIndenti0"/>
        <w:tabs>
          <w:tab w:val="right" w:leader="dot" w:pos="6804"/>
        </w:tabs>
      </w:pPr>
      <w:r>
        <w:tab/>
        <w:t>(iii)</w:t>
      </w:r>
      <w:r>
        <w:tab/>
        <w:t xml:space="preserve">over 0.3 kg/day </w:t>
      </w:r>
      <w:r>
        <w:tab/>
        <w:t>9 272.3 c/kg</w:t>
      </w:r>
    </w:p>
    <w:p>
      <w:pPr>
        <w:pStyle w:val="yIndenta"/>
      </w:pPr>
      <w:r>
        <w:tab/>
        <w:t>(n)</w:t>
      </w:r>
      <w:r>
        <w:tab/>
        <w:t>for nickel with a discharge rate of —</w:t>
      </w:r>
    </w:p>
    <w:p>
      <w:pPr>
        <w:pStyle w:val="yIndenti0"/>
        <w:tabs>
          <w:tab w:val="right" w:leader="dot" w:pos="6804"/>
        </w:tabs>
      </w:pPr>
      <w:r>
        <w:tab/>
        <w:t>(i)</w:t>
      </w:r>
      <w:r>
        <w:tab/>
        <w:t xml:space="preserve">up to 0.006 kg/day </w:t>
      </w:r>
      <w:r>
        <w:tab/>
        <w:t>1 160.2 c/kg</w:t>
      </w:r>
    </w:p>
    <w:p>
      <w:pPr>
        <w:pStyle w:val="yIndenti0"/>
        <w:tabs>
          <w:tab w:val="right" w:leader="dot" w:pos="6804"/>
        </w:tabs>
      </w:pPr>
      <w:r>
        <w:tab/>
        <w:t>(ii)</w:t>
      </w:r>
      <w:r>
        <w:tab/>
        <w:t xml:space="preserve">over 0.006 kg/day but </w:t>
      </w:r>
      <w:r>
        <w:br/>
        <w:t xml:space="preserve">not over 0.15 kg/day </w:t>
      </w:r>
      <w:r>
        <w:tab/>
        <w:t>2 314.1 c/kg</w:t>
      </w:r>
    </w:p>
    <w:p>
      <w:pPr>
        <w:pStyle w:val="yIndenti0"/>
        <w:tabs>
          <w:tab w:val="right" w:leader="dot" w:pos="6804"/>
        </w:tabs>
      </w:pPr>
      <w:r>
        <w:tab/>
        <w:t>(iii)</w:t>
      </w:r>
      <w:r>
        <w:tab/>
        <w:t xml:space="preserve">over 0.15 kg/day </w:t>
      </w:r>
      <w:r>
        <w:tab/>
        <w:t>9 272.3 c/kg</w:t>
      </w:r>
    </w:p>
    <w:p>
      <w:pPr>
        <w:pStyle w:val="yIndenta"/>
      </w:pPr>
      <w:r>
        <w:tab/>
        <w:t>(o)</w:t>
      </w:r>
      <w:r>
        <w:tab/>
        <w:t>for zinc with a discharge rate of —</w:t>
      </w:r>
    </w:p>
    <w:p>
      <w:pPr>
        <w:pStyle w:val="yIndenti0"/>
        <w:tabs>
          <w:tab w:val="right" w:leader="dot" w:pos="6804"/>
        </w:tabs>
      </w:pPr>
      <w:r>
        <w:tab/>
        <w:t>(i)</w:t>
      </w:r>
      <w:r>
        <w:tab/>
        <w:t xml:space="preserve">up to 0.05 kg/day </w:t>
      </w:r>
      <w:r>
        <w:tab/>
        <w:t>1 160.2 c/kg</w:t>
      </w:r>
    </w:p>
    <w:p>
      <w:pPr>
        <w:pStyle w:val="yIndenti0"/>
        <w:tabs>
          <w:tab w:val="right" w:leader="dot" w:pos="6804"/>
        </w:tabs>
      </w:pPr>
      <w:r>
        <w:tab/>
        <w:t>(ii)</w:t>
      </w:r>
      <w:r>
        <w:tab/>
        <w:t>over 0.05 kg/day but</w:t>
      </w:r>
      <w:r>
        <w:br/>
        <w:t xml:space="preserve"> not over 0.5 kg/day </w:t>
      </w:r>
      <w:r>
        <w:tab/>
        <w:t>2 314.1 c/kg</w:t>
      </w:r>
    </w:p>
    <w:p>
      <w:pPr>
        <w:pStyle w:val="yIndenti0"/>
        <w:tabs>
          <w:tab w:val="right" w:leader="dot" w:pos="6804"/>
        </w:tabs>
      </w:pPr>
      <w:r>
        <w:tab/>
        <w:t>(iii)</w:t>
      </w:r>
      <w:r>
        <w:tab/>
        <w:t xml:space="preserve">over 0.5 kg/day </w:t>
      </w:r>
      <w:r>
        <w:tab/>
        <w:t>9 272.3 c/kg</w:t>
      </w:r>
    </w:p>
    <w:p>
      <w:pPr>
        <w:pStyle w:val="yIndenta"/>
      </w:pPr>
      <w:r>
        <w:tab/>
        <w:t>(p)</w:t>
      </w:r>
      <w:r>
        <w:tab/>
        <w:t>for arsenic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0.04 kg/day </w:t>
      </w:r>
      <w:r>
        <w:tab/>
        <w:t>11 587.5 c/kg</w:t>
      </w:r>
    </w:p>
    <w:p>
      <w:pPr>
        <w:pStyle w:val="yIndenti0"/>
        <w:tabs>
          <w:tab w:val="right" w:leader="dot" w:pos="6804"/>
        </w:tabs>
      </w:pPr>
      <w:r>
        <w:tab/>
        <w:t>(iii)</w:t>
      </w:r>
      <w:r>
        <w:tab/>
        <w:t xml:space="preserve">over 0.04 kg/day </w:t>
      </w:r>
      <w:r>
        <w:tab/>
        <w:t>115 873.0 c/kg</w:t>
      </w:r>
    </w:p>
    <w:p>
      <w:pPr>
        <w:pStyle w:val="yIndenta"/>
      </w:pPr>
      <w:r>
        <w:tab/>
        <w:t>(q)</w:t>
      </w:r>
      <w:r>
        <w:tab/>
        <w:t>for cadmium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0.015 kg/day </w:t>
      </w:r>
      <w:r>
        <w:tab/>
        <w:t>11 587.5 c/kg</w:t>
      </w:r>
    </w:p>
    <w:p>
      <w:pPr>
        <w:pStyle w:val="yIndenti0"/>
        <w:tabs>
          <w:tab w:val="right" w:leader="dot" w:pos="6804"/>
        </w:tabs>
      </w:pPr>
      <w:r>
        <w:tab/>
        <w:t>(iii)</w:t>
      </w:r>
      <w:r>
        <w:tab/>
        <w:t xml:space="preserve">over 0.015 kg/day </w:t>
      </w:r>
      <w:r>
        <w:tab/>
        <w:t>115 873.0 c/kg</w:t>
      </w:r>
    </w:p>
    <w:p>
      <w:pPr>
        <w:pStyle w:val="yIndenta"/>
      </w:pPr>
      <w:r>
        <w:tab/>
        <w:t>(r)</w:t>
      </w:r>
      <w:r>
        <w:tab/>
        <w:t>for molybdenum or selenium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0.02 kg/day </w:t>
      </w:r>
      <w:r>
        <w:tab/>
        <w:t>11 587.5 c/kg</w:t>
      </w:r>
    </w:p>
    <w:p>
      <w:pPr>
        <w:pStyle w:val="yIndenti0"/>
        <w:tabs>
          <w:tab w:val="right" w:leader="dot" w:pos="6804"/>
        </w:tabs>
      </w:pPr>
      <w:r>
        <w:tab/>
        <w:t>(iii)</w:t>
      </w:r>
      <w:r>
        <w:tab/>
        <w:t xml:space="preserve">over 0.02 kg/day </w:t>
      </w:r>
      <w:r>
        <w:tab/>
        <w:t>115 873.0 c/kg</w:t>
      </w:r>
    </w:p>
    <w:p>
      <w:pPr>
        <w:pStyle w:val="yIndenta"/>
        <w:keepNext/>
      </w:pPr>
      <w:r>
        <w:lastRenderedPageBreak/>
        <w:tab/>
        <w:t>(s)</w:t>
      </w:r>
      <w:r>
        <w:tab/>
        <w:t>for silver with a discharge rate of —</w:t>
      </w:r>
    </w:p>
    <w:p>
      <w:pPr>
        <w:pStyle w:val="yIndenti0"/>
        <w:tabs>
          <w:tab w:val="right" w:leader="dot" w:pos="6804"/>
        </w:tabs>
      </w:pPr>
      <w:r>
        <w:tab/>
        <w:t>(i)</w:t>
      </w:r>
      <w:r>
        <w:tab/>
        <w:t xml:space="preserve">up to 0.002 kg/day </w:t>
      </w:r>
      <w:r>
        <w:tab/>
        <w:t>1 160.2 c/kg</w:t>
      </w:r>
    </w:p>
    <w:p>
      <w:pPr>
        <w:pStyle w:val="yIndenti0"/>
        <w:tabs>
          <w:tab w:val="right" w:leader="dot" w:pos="6804"/>
        </w:tabs>
      </w:pPr>
      <w:r>
        <w:tab/>
        <w:t>(ii)</w:t>
      </w:r>
      <w:r>
        <w:tab/>
        <w:t xml:space="preserve">over 0.002 kg/day but </w:t>
      </w:r>
      <w:r>
        <w:br/>
        <w:t xml:space="preserve">not over 0.01 kg/day </w:t>
      </w:r>
      <w:r>
        <w:tab/>
        <w:t>11 587.5 c/kg</w:t>
      </w:r>
    </w:p>
    <w:p>
      <w:pPr>
        <w:pStyle w:val="yIndenti0"/>
        <w:tabs>
          <w:tab w:val="right" w:leader="dot" w:pos="6804"/>
        </w:tabs>
      </w:pPr>
      <w:r>
        <w:tab/>
        <w:t>(iii)</w:t>
      </w:r>
      <w:r>
        <w:tab/>
        <w:t xml:space="preserve">over 0.01 kg/day </w:t>
      </w:r>
      <w:r>
        <w:tab/>
        <w:t>115 873.0 c/kg</w:t>
      </w:r>
    </w:p>
    <w:p>
      <w:pPr>
        <w:pStyle w:val="yIndenta"/>
      </w:pPr>
      <w:r>
        <w:tab/>
        <w:t>(t)</w:t>
      </w:r>
      <w:r>
        <w:tab/>
        <w:t>for mercury with a discharge rate of —</w:t>
      </w:r>
    </w:p>
    <w:p>
      <w:pPr>
        <w:pStyle w:val="yIndenti0"/>
        <w:tabs>
          <w:tab w:val="right" w:leader="dot" w:pos="6804"/>
        </w:tabs>
      </w:pPr>
      <w:r>
        <w:tab/>
        <w:t>(i)</w:t>
      </w:r>
      <w:r>
        <w:tab/>
        <w:t xml:space="preserve">up to 0.0001 kg/day </w:t>
      </w:r>
      <w:r>
        <w:tab/>
        <w:t>1 160.2 c/kg</w:t>
      </w:r>
    </w:p>
    <w:p>
      <w:pPr>
        <w:pStyle w:val="yIndenti0"/>
        <w:tabs>
          <w:tab w:val="right" w:leader="dot" w:pos="6804"/>
        </w:tabs>
      </w:pPr>
      <w:r>
        <w:tab/>
        <w:t>(ii)</w:t>
      </w:r>
      <w:r>
        <w:tab/>
        <w:t xml:space="preserve">over 0.0001 kg/day but </w:t>
      </w:r>
      <w:r>
        <w:br/>
        <w:t xml:space="preserve">not over 0.001 kg/day </w:t>
      </w:r>
      <w:r>
        <w:tab/>
        <w:t>115 873.0 c/kg</w:t>
      </w:r>
    </w:p>
    <w:p>
      <w:pPr>
        <w:pStyle w:val="yIndenti0"/>
        <w:tabs>
          <w:tab w:val="right" w:leader="dot" w:pos="6804"/>
        </w:tabs>
      </w:pPr>
      <w:r>
        <w:tab/>
        <w:t>(iii)</w:t>
      </w:r>
      <w:r>
        <w:tab/>
        <w:t xml:space="preserve">over 0.001 kg/day </w:t>
      </w:r>
      <w:r>
        <w:tab/>
        <w:t>869 080.4 c/kg</w:t>
      </w:r>
    </w:p>
    <w:p>
      <w:pPr>
        <w:pStyle w:val="yHeading5"/>
      </w:pPr>
      <w:bookmarkStart w:id="321" w:name="_Toc106180049"/>
      <w:r>
        <w:t>31.</w:t>
      </w:r>
      <w:r>
        <w:tab/>
        <w:t>Effluent discharged from septic tank effluent pumping system into sewer</w:t>
      </w:r>
      <w:bookmarkEnd w:id="321"/>
    </w:p>
    <w:p>
      <w:pPr>
        <w:pStyle w:val="ySubsection"/>
        <w:tabs>
          <w:tab w:val="right" w:leader="dot" w:pos="6804"/>
        </w:tabs>
      </w:pPr>
      <w:r>
        <w:tab/>
      </w:r>
      <w:r>
        <w:tab/>
        <w:t xml:space="preserve">For effluent discharged from a </w:t>
      </w:r>
      <w:r>
        <w:br/>
        <w:t xml:space="preserve">septic tank effluent pumping system </w:t>
      </w:r>
      <w:r>
        <w:br/>
        <w:t xml:space="preserve">into a sewer of the Water Corporation, </w:t>
      </w:r>
      <w:r>
        <w:br/>
        <w:t xml:space="preserve">the charge is </w:t>
      </w:r>
      <w:r>
        <w:tab/>
        <w:t>175.7 cents/kL</w:t>
      </w:r>
    </w:p>
    <w:p>
      <w:pPr>
        <w:pStyle w:val="yFootnotesection"/>
      </w:pPr>
      <w:r>
        <w:tab/>
        <w:t>[Division 3 inserted: SL 2021/80 r. 8.]</w:t>
      </w:r>
    </w:p>
    <w:p>
      <w:pPr>
        <w:pStyle w:val="yScheduleHeading"/>
      </w:pPr>
      <w:bookmarkStart w:id="322" w:name="_Toc106104066"/>
      <w:bookmarkStart w:id="323" w:name="_Toc106104294"/>
      <w:bookmarkStart w:id="324" w:name="_Toc106179822"/>
      <w:bookmarkStart w:id="325" w:name="_Toc106180050"/>
      <w:r>
        <w:rPr>
          <w:rStyle w:val="CharSchNo"/>
        </w:rPr>
        <w:lastRenderedPageBreak/>
        <w:t>Schedule 5</w:t>
      </w:r>
      <w:r>
        <w:rPr>
          <w:rStyle w:val="CharSDivNo"/>
        </w:rPr>
        <w:t> </w:t>
      </w:r>
      <w:r>
        <w:t>—</w:t>
      </w:r>
      <w:r>
        <w:rPr>
          <w:rStyle w:val="CharSDivText"/>
        </w:rPr>
        <w:t> </w:t>
      </w:r>
      <w:r>
        <w:rPr>
          <w:rStyle w:val="CharSchText"/>
        </w:rPr>
        <w:t>Drainage charges for the Water Corporation</w:t>
      </w:r>
      <w:bookmarkEnd w:id="322"/>
      <w:bookmarkEnd w:id="323"/>
      <w:bookmarkEnd w:id="324"/>
      <w:bookmarkEnd w:id="325"/>
    </w:p>
    <w:p>
      <w:pPr>
        <w:pStyle w:val="yShoulderClause"/>
      </w:pPr>
      <w:r>
        <w:t>[r. 24 and 47]</w:t>
      </w:r>
    </w:p>
    <w:p>
      <w:pPr>
        <w:pStyle w:val="yFootnoteheading"/>
      </w:pPr>
      <w:r>
        <w:tab/>
        <w:t>[Heading inserted: SL 2021/80 r. 8.]</w:t>
      </w:r>
    </w:p>
    <w:p>
      <w:pPr>
        <w:pStyle w:val="yHeading5"/>
      </w:pPr>
      <w:bookmarkStart w:id="326" w:name="_Toc106180051"/>
      <w:r>
        <w:t>1.</w:t>
      </w:r>
      <w:r>
        <w:tab/>
        <w:t>Drainage charges for 2021/22 and subsequent years</w:t>
      </w:r>
      <w:bookmarkEnd w:id="326"/>
    </w:p>
    <w:p>
      <w:pPr>
        <w:pStyle w:val="ySubsection"/>
      </w:pPr>
      <w:r>
        <w:tab/>
      </w:r>
      <w:r>
        <w:tab/>
      </w:r>
      <w:r>
        <w:rPr>
          <w:szCs w:val="22"/>
        </w:rPr>
        <w:t>The</w:t>
      </w:r>
      <w:r>
        <w:t xml:space="preserve"> charges set out in this Schedule apply for drainage </w:t>
      </w:r>
      <w:r>
        <w:rPr>
          <w:szCs w:val="22"/>
        </w:rPr>
        <w:t>services</w:t>
      </w:r>
      <w:r>
        <w:t xml:space="preserve"> provided in the </w:t>
      </w:r>
      <w:r>
        <w:rPr>
          <w:szCs w:val="22"/>
        </w:rPr>
        <w:t xml:space="preserve">2021/22 </w:t>
      </w:r>
      <w:r>
        <w:t>financial year and each subsequent year.</w:t>
      </w:r>
    </w:p>
    <w:p>
      <w:pPr>
        <w:pStyle w:val="yHeading5"/>
      </w:pPr>
      <w:bookmarkStart w:id="327" w:name="_Toc106180052"/>
      <w:r>
        <w:t>2.</w:t>
      </w:r>
      <w:r>
        <w:tab/>
        <w:t>Strata</w:t>
      </w:r>
      <w:r>
        <w:noBreakHyphen/>
        <w:t>titled caravan bays</w:t>
      </w:r>
      <w:bookmarkEnd w:id="327"/>
    </w:p>
    <w:p>
      <w:pPr>
        <w:pStyle w:val="ySubsection"/>
        <w:tabs>
          <w:tab w:val="right" w:leader="dot" w:pos="6804"/>
        </w:tabs>
      </w:pPr>
      <w:r>
        <w:tab/>
      </w:r>
      <w:r>
        <w:tab/>
        <w:t>For a strata</w:t>
      </w:r>
      <w:r>
        <w:noBreakHyphen/>
        <w:t xml:space="preserve">titled caravan bay or a park home, </w:t>
      </w:r>
      <w:r>
        <w:br/>
        <w:t xml:space="preserve">the charge is </w:t>
      </w:r>
      <w:r>
        <w:tab/>
        <w:t>$38.09</w:t>
      </w:r>
    </w:p>
    <w:p>
      <w:pPr>
        <w:pStyle w:val="yHeading5"/>
      </w:pPr>
      <w:bookmarkStart w:id="328" w:name="_Toc106180053"/>
      <w:r>
        <w:t>3.</w:t>
      </w:r>
      <w:r>
        <w:tab/>
        <w:t>Storage units or parking bays in strata titles scheme or community titles scheme</w:t>
      </w:r>
      <w:bookmarkEnd w:id="328"/>
      <w:r>
        <w:t xml:space="preserve"> </w:t>
      </w:r>
    </w:p>
    <w:p>
      <w:pPr>
        <w:pStyle w:val="ySubsection"/>
        <w:tabs>
          <w:tab w:val="right" w:leader="dot" w:pos="6804"/>
        </w:tabs>
      </w:pPr>
      <w:r>
        <w:tab/>
      </w:r>
      <w:r>
        <w:tab/>
        <w:t xml:space="preserve">For a lot that is used for storage purposes or as a </w:t>
      </w:r>
      <w:r>
        <w:br/>
        <w:t>parking bay, in a strata titles scheme or a</w:t>
      </w:r>
      <w:r>
        <w:br/>
        <w:t xml:space="preserve">community titles scheme, the charge is </w:t>
      </w:r>
      <w:r>
        <w:tab/>
        <w:t>$14.66</w:t>
      </w:r>
    </w:p>
    <w:p>
      <w:pPr>
        <w:pStyle w:val="yHeading5"/>
      </w:pPr>
      <w:bookmarkStart w:id="329" w:name="_Toc106180054"/>
      <w:r>
        <w:t>4.</w:t>
      </w:r>
      <w:r>
        <w:tab/>
        <w:t>Residential or semi</w:t>
      </w:r>
      <w:r>
        <w:noBreakHyphen/>
        <w:t>rural residential</w:t>
      </w:r>
      <w:bookmarkEnd w:id="329"/>
    </w:p>
    <w:p>
      <w:pPr>
        <w:pStyle w:val="ySubsection"/>
        <w:tabs>
          <w:tab w:val="right" w:leader="dot" w:pos="6804"/>
        </w:tabs>
      </w:pPr>
      <w:r>
        <w:tab/>
        <w:t>(1)</w:t>
      </w:r>
      <w:r>
        <w:tab/>
        <w:t xml:space="preserve">For land that is classified as residential or </w:t>
      </w:r>
      <w:r>
        <w:br/>
        <w:t>semi</w:t>
      </w:r>
      <w:r>
        <w:noBreakHyphen/>
        <w:t xml:space="preserve">rural residential, the charge is </w:t>
      </w:r>
      <w:r>
        <w:tab/>
        <w:t>0.646 cents/$</w:t>
      </w:r>
    </w:p>
    <w:p>
      <w:pPr>
        <w:pStyle w:val="ySubsection"/>
        <w:spacing w:before="0"/>
        <w:ind w:right="283"/>
        <w:jc w:val="right"/>
      </w:pPr>
      <w:r>
        <w:t>of GRV</w:t>
      </w:r>
    </w:p>
    <w:p>
      <w:pPr>
        <w:pStyle w:val="ySubsection"/>
        <w:tabs>
          <w:tab w:val="right" w:leader="dot" w:pos="6804"/>
        </w:tabs>
      </w:pPr>
      <w:r>
        <w:tab/>
        <w:t>(2)</w:t>
      </w:r>
      <w:r>
        <w:tab/>
        <w:t xml:space="preserve">The </w:t>
      </w:r>
      <w:r>
        <w:rPr>
          <w:szCs w:val="22"/>
        </w:rPr>
        <w:t>minimum</w:t>
      </w:r>
      <w:r>
        <w:t xml:space="preserve"> charge under this item is </w:t>
      </w:r>
      <w:r>
        <w:tab/>
        <w:t xml:space="preserve"> </w:t>
      </w:r>
      <w:r>
        <w:rPr>
          <w:szCs w:val="22"/>
        </w:rPr>
        <w:t>$125.96</w:t>
      </w:r>
    </w:p>
    <w:p>
      <w:pPr>
        <w:pStyle w:val="yHeading5"/>
      </w:pPr>
      <w:bookmarkStart w:id="330" w:name="_Toc106180055"/>
      <w:r>
        <w:t>5.</w:t>
      </w:r>
      <w:r>
        <w:tab/>
        <w:t>Vacant land</w:t>
      </w:r>
      <w:bookmarkEnd w:id="330"/>
    </w:p>
    <w:p>
      <w:pPr>
        <w:pStyle w:val="ySubsection"/>
        <w:tabs>
          <w:tab w:val="right" w:leader="dot" w:pos="6804"/>
        </w:tabs>
      </w:pPr>
      <w:r>
        <w:tab/>
        <w:t>(1)</w:t>
      </w:r>
      <w:r>
        <w:tab/>
      </w:r>
      <w:r>
        <w:rPr>
          <w:szCs w:val="22"/>
        </w:rPr>
        <w:t xml:space="preserve">For land </w:t>
      </w:r>
      <w:r>
        <w:t>that</w:t>
      </w:r>
      <w:r>
        <w:rPr>
          <w:szCs w:val="22"/>
        </w:rPr>
        <w:t xml:space="preserve"> is </w:t>
      </w:r>
      <w:r>
        <w:t>classified</w:t>
      </w:r>
      <w:r>
        <w:rPr>
          <w:szCs w:val="22"/>
        </w:rPr>
        <w:t xml:space="preserve"> as vacant land, </w:t>
      </w:r>
      <w:r>
        <w:rPr>
          <w:szCs w:val="22"/>
        </w:rPr>
        <w:br/>
        <w:t xml:space="preserve">the </w:t>
      </w:r>
      <w:r>
        <w:t>charge</w:t>
      </w:r>
      <w:r>
        <w:rPr>
          <w:szCs w:val="22"/>
        </w:rPr>
        <w:t xml:space="preserve"> is </w:t>
      </w:r>
      <w:r>
        <w:rPr>
          <w:szCs w:val="22"/>
        </w:rPr>
        <w:tab/>
        <w:t xml:space="preserve">0.714 </w:t>
      </w:r>
      <w:r>
        <w:t>cents/$</w:t>
      </w:r>
    </w:p>
    <w:p>
      <w:pPr>
        <w:pStyle w:val="ySubsection"/>
        <w:spacing w:before="0"/>
        <w:ind w:right="283"/>
        <w:jc w:val="right"/>
      </w:pPr>
      <w:r>
        <w:t>of GRV</w:t>
      </w:r>
    </w:p>
    <w:p>
      <w:pPr>
        <w:pStyle w:val="ySubsection"/>
        <w:tabs>
          <w:tab w:val="right" w:leader="dot" w:pos="6804"/>
        </w:tabs>
      </w:pPr>
      <w:r>
        <w:tab/>
        <w:t>(2)</w:t>
      </w:r>
      <w:r>
        <w:tab/>
        <w:t xml:space="preserve">The </w:t>
      </w:r>
      <w:r>
        <w:rPr>
          <w:szCs w:val="22"/>
        </w:rPr>
        <w:t>minimum</w:t>
      </w:r>
      <w:r>
        <w:t xml:space="preserve"> charge under this item is </w:t>
      </w:r>
      <w:r>
        <w:tab/>
      </w:r>
      <w:r>
        <w:rPr>
          <w:szCs w:val="22"/>
        </w:rPr>
        <w:t>$125.96</w:t>
      </w:r>
    </w:p>
    <w:p>
      <w:pPr>
        <w:pStyle w:val="yHeading5"/>
      </w:pPr>
      <w:bookmarkStart w:id="331" w:name="_Toc106180056"/>
      <w:r>
        <w:lastRenderedPageBreak/>
        <w:t>6.</w:t>
      </w:r>
      <w:r>
        <w:tab/>
        <w:t>Non</w:t>
      </w:r>
      <w:r>
        <w:noBreakHyphen/>
        <w:t>residential (except strata titled caravan bays and storage units or parking bays in strata titles scheme or community titles scheme)</w:t>
      </w:r>
      <w:bookmarkEnd w:id="331"/>
    </w:p>
    <w:p>
      <w:pPr>
        <w:pStyle w:val="ySubsection"/>
        <w:tabs>
          <w:tab w:val="right" w:leader="dot" w:pos="6804"/>
        </w:tabs>
      </w:pPr>
      <w:r>
        <w:tab/>
        <w:t>(1)</w:t>
      </w:r>
      <w:r>
        <w:tab/>
      </w:r>
      <w:r>
        <w:rPr>
          <w:szCs w:val="22"/>
        </w:rPr>
        <w:t xml:space="preserve">For land that is </w:t>
      </w:r>
      <w:r>
        <w:t>classified</w:t>
      </w:r>
      <w:r>
        <w:rPr>
          <w:szCs w:val="22"/>
        </w:rPr>
        <w:t xml:space="preserve"> as </w:t>
      </w:r>
      <w:r>
        <w:rPr>
          <w:szCs w:val="22"/>
        </w:rPr>
        <w:br/>
        <w:t>non</w:t>
      </w:r>
      <w:r>
        <w:rPr>
          <w:szCs w:val="22"/>
        </w:rPr>
        <w:noBreakHyphen/>
      </w:r>
      <w:r>
        <w:t>residential</w:t>
      </w:r>
      <w:r>
        <w:rPr>
          <w:szCs w:val="22"/>
        </w:rPr>
        <w:t xml:space="preserve"> and not covered by </w:t>
      </w:r>
      <w:r>
        <w:rPr>
          <w:szCs w:val="22"/>
        </w:rPr>
        <w:br/>
        <w:t xml:space="preserve">item 2 or 3, the charge is </w:t>
      </w:r>
      <w:r>
        <w:rPr>
          <w:szCs w:val="22"/>
        </w:rPr>
        <w:tab/>
        <w:t xml:space="preserve">0.363 </w:t>
      </w:r>
      <w:r>
        <w:t>cents/$</w:t>
      </w:r>
    </w:p>
    <w:p>
      <w:pPr>
        <w:pStyle w:val="ySubsection"/>
        <w:spacing w:before="0"/>
        <w:ind w:right="283"/>
        <w:jc w:val="right"/>
      </w:pPr>
      <w:r>
        <w:t>of GRV</w:t>
      </w:r>
    </w:p>
    <w:p>
      <w:pPr>
        <w:pStyle w:val="ySubsection"/>
        <w:tabs>
          <w:tab w:val="right" w:leader="dot" w:pos="6804"/>
        </w:tabs>
        <w:rPr>
          <w:szCs w:val="22"/>
        </w:rPr>
      </w:pPr>
      <w:r>
        <w:tab/>
        <w:t>(2)</w:t>
      </w:r>
      <w:r>
        <w:tab/>
        <w:t xml:space="preserve">The minimum charge under this item is </w:t>
      </w:r>
      <w:r>
        <w:tab/>
      </w:r>
      <w:r>
        <w:rPr>
          <w:szCs w:val="22"/>
        </w:rPr>
        <w:t>$125.96</w:t>
      </w:r>
    </w:p>
    <w:p>
      <w:pPr>
        <w:pStyle w:val="yFootnotesection"/>
      </w:pPr>
      <w:r>
        <w:tab/>
        <w:t>[Schedule 5 inserted: SL 2021/80 r. 8.]</w:t>
      </w:r>
    </w:p>
    <w:p>
      <w:pPr>
        <w:pStyle w:val="yScheduleHeading"/>
      </w:pPr>
      <w:bookmarkStart w:id="332" w:name="_Toc106104073"/>
      <w:bookmarkStart w:id="333" w:name="_Toc106104301"/>
      <w:bookmarkStart w:id="334" w:name="_Toc106179829"/>
      <w:bookmarkStart w:id="335" w:name="_Toc106180057"/>
      <w:r>
        <w:rPr>
          <w:rStyle w:val="CharSchNo"/>
        </w:rPr>
        <w:lastRenderedPageBreak/>
        <w:t>Schedule 6</w:t>
      </w:r>
      <w:r>
        <w:t> — </w:t>
      </w:r>
      <w:r>
        <w:rPr>
          <w:rStyle w:val="CharSchText"/>
        </w:rPr>
        <w:t>Irrigation charges for the Water Corporation (Ord Irrigation District)</w:t>
      </w:r>
      <w:bookmarkEnd w:id="332"/>
      <w:bookmarkEnd w:id="333"/>
      <w:bookmarkEnd w:id="334"/>
      <w:bookmarkEnd w:id="335"/>
    </w:p>
    <w:p>
      <w:pPr>
        <w:pStyle w:val="yShoulderClause"/>
      </w:pPr>
      <w:r>
        <w:t>[r. 50]</w:t>
      </w:r>
    </w:p>
    <w:p>
      <w:pPr>
        <w:pStyle w:val="yFootnoteheading"/>
      </w:pPr>
      <w:r>
        <w:tab/>
        <w:t>[Heading inserted: SL 2021/80 r. 8.]</w:t>
      </w:r>
    </w:p>
    <w:p>
      <w:pPr>
        <w:pStyle w:val="yHeading5"/>
      </w:pPr>
      <w:bookmarkStart w:id="336" w:name="_Toc106180058"/>
      <w:r>
        <w:t>1.</w:t>
      </w:r>
      <w:r>
        <w:tab/>
        <w:t>Irrigation charges for 2021/22 and subsequent years</w:t>
      </w:r>
      <w:bookmarkEnd w:id="336"/>
    </w:p>
    <w:p>
      <w:pPr>
        <w:pStyle w:val="ySubsection"/>
      </w:pPr>
      <w:r>
        <w:tab/>
      </w:r>
      <w:r>
        <w:tab/>
        <w:t xml:space="preserve">The charges set out in this Schedule apply for irrigation services provided in the </w:t>
      </w:r>
      <w:r>
        <w:rPr>
          <w:szCs w:val="22"/>
        </w:rPr>
        <w:t>2021/22</w:t>
      </w:r>
      <w:r>
        <w:t> financial year and each subsequent year.</w:t>
      </w:r>
    </w:p>
    <w:p>
      <w:pPr>
        <w:pStyle w:val="yHeading5"/>
      </w:pPr>
      <w:bookmarkStart w:id="337" w:name="_Toc106180059"/>
      <w:r>
        <w:t>2.</w:t>
      </w:r>
      <w:r>
        <w:tab/>
        <w:t>Water provided as irrigation service</w:t>
      </w:r>
      <w:bookmarkEnd w:id="337"/>
    </w:p>
    <w:p>
      <w:pPr>
        <w:pStyle w:val="ySubsection"/>
      </w:pPr>
      <w:r>
        <w:tab/>
      </w:r>
      <w:r>
        <w:tab/>
        <w:t>For land to which water is supplied from irrigation works of the Water Corporation in the Ord Irrigation District, the charge is —</w:t>
      </w:r>
    </w:p>
    <w:p>
      <w:pPr>
        <w:pStyle w:val="yIndenta"/>
        <w:tabs>
          <w:tab w:val="right" w:leader="dot" w:pos="6804"/>
        </w:tabs>
      </w:pPr>
      <w:r>
        <w:tab/>
        <w:t>(a)</w:t>
      </w:r>
      <w:r>
        <w:tab/>
        <w:t>if the maximum area of</w:t>
      </w:r>
      <w:r>
        <w:br/>
        <w:t>land is not more than</w:t>
      </w:r>
      <w:r>
        <w:br/>
        <w:t xml:space="preserve">1 hectare </w:t>
      </w:r>
      <w:r>
        <w:tab/>
        <w:t xml:space="preserve"> $288.74</w:t>
      </w:r>
    </w:p>
    <w:p>
      <w:pPr>
        <w:pStyle w:val="yIndenta"/>
        <w:tabs>
          <w:tab w:val="right" w:leader="dot" w:pos="6804"/>
        </w:tabs>
      </w:pPr>
      <w:r>
        <w:tab/>
        <w:t>(b)</w:t>
      </w:r>
      <w:r>
        <w:tab/>
        <w:t>if the maximum area of</w:t>
      </w:r>
      <w:r>
        <w:br/>
        <w:t>land is more than</w:t>
      </w:r>
      <w:r>
        <w:br/>
        <w:t xml:space="preserve">1 hectare </w:t>
      </w:r>
      <w:r>
        <w:tab/>
        <w:t xml:space="preserve"> $199.37 per ha (pro rata)</w:t>
      </w:r>
    </w:p>
    <w:p>
      <w:pPr>
        <w:pStyle w:val="yFootnotesection"/>
      </w:pPr>
      <w:r>
        <w:tab/>
        <w:t>[Schedule 6 inserted: SL 2021/80 r. 8.]</w:t>
      </w:r>
    </w:p>
    <w:p>
      <w:pPr>
        <w:pStyle w:val="yScheduleHeading"/>
      </w:pPr>
      <w:bookmarkStart w:id="338" w:name="_Toc106104076"/>
      <w:bookmarkStart w:id="339" w:name="_Toc106104304"/>
      <w:bookmarkStart w:id="340" w:name="_Toc106179832"/>
      <w:bookmarkStart w:id="341" w:name="_Toc106180060"/>
      <w:r>
        <w:rPr>
          <w:rStyle w:val="CharSchNo"/>
        </w:rPr>
        <w:lastRenderedPageBreak/>
        <w:t>Schedule 7</w:t>
      </w:r>
      <w:r>
        <w:t> — </w:t>
      </w:r>
      <w:r>
        <w:rPr>
          <w:rStyle w:val="CharSchText"/>
        </w:rPr>
        <w:t>Miscellaneous charges for the Water Corporation</w:t>
      </w:r>
      <w:bookmarkEnd w:id="338"/>
      <w:bookmarkEnd w:id="339"/>
      <w:bookmarkEnd w:id="340"/>
      <w:bookmarkEnd w:id="341"/>
    </w:p>
    <w:p>
      <w:pPr>
        <w:pStyle w:val="yShoulderClause"/>
      </w:pPr>
      <w:r>
        <w:t>[r.  51]</w:t>
      </w:r>
    </w:p>
    <w:p>
      <w:pPr>
        <w:pStyle w:val="yFootnoteheading"/>
      </w:pPr>
      <w:r>
        <w:tab/>
        <w:t>[Heading inserted: SL 2021/80 r. 8.]</w:t>
      </w:r>
    </w:p>
    <w:p>
      <w:pPr>
        <w:pStyle w:val="yHeading5"/>
      </w:pPr>
      <w:bookmarkStart w:id="342" w:name="_Toc106180061"/>
      <w:r>
        <w:t>1.</w:t>
      </w:r>
      <w:r>
        <w:tab/>
        <w:t>Requests for sub</w:t>
      </w:r>
      <w:r>
        <w:noBreakHyphen/>
        <w:t>meter installations: multi</w:t>
      </w:r>
      <w:r>
        <w:noBreakHyphen/>
        <w:t>unit developments</w:t>
      </w:r>
      <w:bookmarkEnd w:id="342"/>
    </w:p>
    <w:p>
      <w:pPr>
        <w:pStyle w:val="ySubsection"/>
        <w:tabs>
          <w:tab w:val="right" w:leader="dot" w:pos="6804"/>
        </w:tabs>
      </w:pPr>
      <w:r>
        <w:tab/>
      </w:r>
      <w:r>
        <w:tab/>
        <w:t>For assessing a request to supply and connect</w:t>
      </w:r>
      <w:r>
        <w:br/>
        <w:t>one or more sub</w:t>
      </w:r>
      <w:r>
        <w:noBreakHyphen/>
        <w:t>meters to a pipe supplying</w:t>
      </w:r>
      <w:r>
        <w:br/>
        <w:t>water to a unit in a multi</w:t>
      </w:r>
      <w:r>
        <w:noBreakHyphen/>
        <w:t>unit development</w:t>
      </w:r>
      <w:r>
        <w:br/>
        <w:t xml:space="preserve">under the </w:t>
      </w:r>
      <w:r>
        <w:rPr>
          <w:i/>
        </w:rPr>
        <w:t>Water Services Regulations 2013</w:t>
      </w:r>
      <w:r>
        <w:t xml:space="preserve"> </w:t>
      </w:r>
      <w:r>
        <w:br/>
        <w:t xml:space="preserve">regulation 23A(2), the charge is </w:t>
      </w:r>
      <w:r>
        <w:tab/>
      </w:r>
      <w:r>
        <w:rPr>
          <w:szCs w:val="22"/>
        </w:rPr>
        <w:t>$118.71</w:t>
      </w:r>
    </w:p>
    <w:p>
      <w:pPr>
        <w:pStyle w:val="yHeading5"/>
      </w:pPr>
      <w:bookmarkStart w:id="343" w:name="_Toc106180062"/>
      <w:r>
        <w:rPr>
          <w:rStyle w:val="CharSClsNo"/>
        </w:rPr>
        <w:t>2</w:t>
      </w:r>
      <w:r>
        <w:t>.</w:t>
      </w:r>
      <w:r>
        <w:tab/>
        <w:t>Sub</w:t>
      </w:r>
      <w:r>
        <w:noBreakHyphen/>
        <w:t>meter installations: multi</w:t>
      </w:r>
      <w:r>
        <w:noBreakHyphen/>
        <w:t>unit developments</w:t>
      </w:r>
      <w:bookmarkEnd w:id="343"/>
    </w:p>
    <w:p>
      <w:pPr>
        <w:pStyle w:val="ySubsection"/>
        <w:tabs>
          <w:tab w:val="right" w:leader="dot" w:pos="6804"/>
        </w:tabs>
      </w:pPr>
      <w:r>
        <w:tab/>
      </w:r>
      <w:r>
        <w:tab/>
        <w:t>For supplying and connecting a sub</w:t>
      </w:r>
      <w:r>
        <w:noBreakHyphen/>
        <w:t xml:space="preserve">meter to </w:t>
      </w:r>
      <w:r>
        <w:br/>
        <w:t xml:space="preserve">a pipe supplying water to a unit in a </w:t>
      </w:r>
      <w:r>
        <w:br/>
        <w:t>multi</w:t>
      </w:r>
      <w:r>
        <w:noBreakHyphen/>
        <w:t xml:space="preserve">unit development under the </w:t>
      </w:r>
      <w:r>
        <w:br/>
      </w:r>
      <w:r>
        <w:rPr>
          <w:i/>
        </w:rPr>
        <w:t>Water Services Regulations 2013</w:t>
      </w:r>
      <w:r>
        <w:t xml:space="preserve"> </w:t>
      </w:r>
      <w:r>
        <w:br/>
      </w:r>
      <w:r>
        <w:rPr>
          <w:szCs w:val="22"/>
        </w:rPr>
        <w:t>regulation 23A(3)</w:t>
      </w:r>
      <w:r>
        <w:t xml:space="preserve">, the charge is </w:t>
      </w:r>
      <w:r>
        <w:tab/>
      </w:r>
      <w:r>
        <w:rPr>
          <w:szCs w:val="22"/>
        </w:rPr>
        <w:t>$185.66</w:t>
      </w:r>
    </w:p>
    <w:p>
      <w:pPr>
        <w:pStyle w:val="yHeading5"/>
      </w:pPr>
      <w:bookmarkStart w:id="344" w:name="_Toc106180063"/>
      <w:r>
        <w:t>3.</w:t>
      </w:r>
      <w:r>
        <w:tab/>
        <w:t>Testing meters</w:t>
      </w:r>
      <w:bookmarkEnd w:id="344"/>
    </w:p>
    <w:p>
      <w:pPr>
        <w:pStyle w:val="ySubsection"/>
      </w:pPr>
      <w:r>
        <w:tab/>
      </w:r>
      <w:r>
        <w:tab/>
        <w:t xml:space="preserve">For testing a meter under the </w:t>
      </w:r>
      <w:r>
        <w:rPr>
          <w:i/>
        </w:rPr>
        <w:t>Water Services Regulations 2013</w:t>
      </w:r>
      <w:r>
        <w:t xml:space="preserve"> regulation 26(3), the charge, according to the size of the meter, is —</w:t>
      </w:r>
    </w:p>
    <w:p>
      <w:pPr>
        <w:pStyle w:val="yMiscellaneousBody"/>
        <w:keepNext/>
        <w:tabs>
          <w:tab w:val="right" w:leader="dot" w:pos="6804"/>
        </w:tabs>
        <w:ind w:left="993"/>
      </w:pPr>
      <w:r>
        <w:t>20</w:t>
      </w:r>
      <w:r>
        <w:noBreakHyphen/>
        <w:t xml:space="preserve">25 mm </w:t>
      </w:r>
      <w:r>
        <w:tab/>
      </w:r>
      <w:r>
        <w:rPr>
          <w:szCs w:val="22"/>
        </w:rPr>
        <w:t>$117.51</w:t>
      </w:r>
    </w:p>
    <w:p>
      <w:pPr>
        <w:pStyle w:val="yMiscellaneousBody"/>
        <w:tabs>
          <w:tab w:val="right" w:leader="dot" w:pos="6804"/>
        </w:tabs>
        <w:ind w:left="993"/>
      </w:pPr>
      <w:r>
        <w:t xml:space="preserve">more than 25 mm </w:t>
      </w:r>
      <w:r>
        <w:tab/>
        <w:t>an amount</w:t>
      </w:r>
    </w:p>
    <w:p>
      <w:pPr>
        <w:pStyle w:val="yMiscellaneousBody"/>
        <w:tabs>
          <w:tab w:val="right" w:pos="6804"/>
        </w:tabs>
        <w:spacing w:before="0"/>
      </w:pPr>
      <w:r>
        <w:tab/>
        <w:t>equal to the</w:t>
      </w:r>
      <w:r>
        <w:br/>
      </w:r>
      <w:r>
        <w:tab/>
        <w:t>cost of testing</w:t>
      </w:r>
    </w:p>
    <w:p>
      <w:pPr>
        <w:pStyle w:val="yHeading5"/>
      </w:pPr>
      <w:bookmarkStart w:id="345" w:name="_Toc106180064"/>
      <w:r>
        <w:t>4.</w:t>
      </w:r>
      <w:r>
        <w:tab/>
        <w:t>Installing water supply connection</w:t>
      </w:r>
      <w:bookmarkEnd w:id="345"/>
    </w:p>
    <w:p>
      <w:pPr>
        <w:pStyle w:val="ySubsection"/>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right" w:leader="dot" w:pos="6804"/>
        </w:tabs>
        <w:ind w:left="993"/>
      </w:pPr>
      <w:r>
        <w:t xml:space="preserve">20 mm </w:t>
      </w:r>
      <w:r>
        <w:tab/>
        <w:t>$1 663.00</w:t>
      </w:r>
    </w:p>
    <w:p>
      <w:pPr>
        <w:pStyle w:val="yMiscellaneousBody"/>
        <w:tabs>
          <w:tab w:val="right" w:leader="dot" w:pos="6804"/>
        </w:tabs>
        <w:ind w:left="993"/>
      </w:pPr>
      <w:r>
        <w:t xml:space="preserve">25 mm </w:t>
      </w:r>
      <w:r>
        <w:tab/>
        <w:t>$2 131.00</w:t>
      </w:r>
    </w:p>
    <w:p>
      <w:pPr>
        <w:pStyle w:val="yMiscellaneousBody"/>
        <w:tabs>
          <w:tab w:val="right" w:leader="dot" w:pos="6804"/>
        </w:tabs>
        <w:ind w:left="993"/>
      </w:pPr>
      <w:r>
        <w:t xml:space="preserve">40 mm </w:t>
      </w:r>
      <w:r>
        <w:tab/>
        <w:t>$3 769.00</w:t>
      </w:r>
    </w:p>
    <w:p>
      <w:pPr>
        <w:pStyle w:val="yMiscellaneousBody"/>
        <w:tabs>
          <w:tab w:val="right" w:leader="dot" w:pos="6804"/>
        </w:tabs>
        <w:ind w:left="993"/>
      </w:pPr>
      <w:r>
        <w:lastRenderedPageBreak/>
        <w:t xml:space="preserve">50 mm </w:t>
      </w:r>
      <w:r>
        <w:tab/>
        <w:t>$5 073.00</w:t>
      </w:r>
    </w:p>
    <w:p>
      <w:pPr>
        <w:pStyle w:val="yMiscellaneousBody"/>
        <w:tabs>
          <w:tab w:val="right" w:leader="dot" w:pos="6804"/>
        </w:tabs>
        <w:ind w:left="993"/>
      </w:pPr>
      <w:r>
        <w:t>80</w:t>
      </w:r>
      <w:r>
        <w:noBreakHyphen/>
        <w:t xml:space="preserve">100 mm </w:t>
      </w:r>
      <w:r>
        <w:tab/>
        <w:t>$8 656.00</w:t>
      </w:r>
    </w:p>
    <w:p>
      <w:pPr>
        <w:pStyle w:val="yMiscellaneousBody"/>
        <w:tabs>
          <w:tab w:val="right" w:leader="dot" w:pos="6804"/>
        </w:tabs>
        <w:ind w:left="993"/>
      </w:pPr>
      <w:r>
        <w:t xml:space="preserve">150 mm </w:t>
      </w:r>
      <w:r>
        <w:tab/>
        <w:t>$11 378.00</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 the</w:t>
      </w:r>
      <w:r>
        <w:br/>
      </w:r>
      <w:r>
        <w:tab/>
        <w:t>cost of</w:t>
      </w:r>
      <w:r>
        <w:br/>
      </w:r>
      <w:r>
        <w:tab/>
        <w:t>installation</w:t>
      </w:r>
    </w:p>
    <w:p>
      <w:pPr>
        <w:pStyle w:val="ySubsection"/>
        <w:tabs>
          <w:tab w:val="right" w:leader="dot" w:pos="6804"/>
        </w:tabs>
      </w:pPr>
      <w:r>
        <w:tab/>
        <w:t>(2)</w:t>
      </w:r>
      <w:r>
        <w:tab/>
        <w:t xml:space="preserve">For installing a water supply connection in relation to land in the central business districts, the charge is </w:t>
      </w:r>
      <w:r>
        <w:tab/>
      </w:r>
      <w:r>
        <w:rPr>
          <w:szCs w:val="22"/>
        </w:rPr>
        <w:t>an amount</w:t>
      </w:r>
    </w:p>
    <w:p>
      <w:pPr>
        <w:pStyle w:val="ySubsection"/>
        <w:spacing w:before="0"/>
        <w:ind w:right="284"/>
        <w:jc w:val="right"/>
      </w:pPr>
      <w:r>
        <w:tab/>
        <w:t>equal to the</w:t>
      </w:r>
      <w:r>
        <w:br/>
      </w:r>
      <w:r>
        <w:tab/>
        <w:t>cost of</w:t>
      </w:r>
      <w:r>
        <w:br/>
      </w:r>
      <w:r>
        <w:tab/>
        <w:t>installation</w:t>
      </w:r>
    </w:p>
    <w:p>
      <w:pPr>
        <w:pStyle w:val="yHeading5"/>
      </w:pPr>
      <w:bookmarkStart w:id="346" w:name="_Toc106180065"/>
      <w:r>
        <w:t>5.</w:t>
      </w:r>
      <w:r>
        <w:tab/>
        <w:t>Activating water supply connection</w:t>
      </w:r>
      <w:bookmarkEnd w:id="346"/>
    </w:p>
    <w:p>
      <w:pPr>
        <w:pStyle w:val="ySubsection"/>
        <w:tabs>
          <w:tab w:val="right" w:leader="dot" w:pos="6804"/>
        </w:tabs>
      </w:pPr>
      <w:r>
        <w:tab/>
        <w:t>(1)</w:t>
      </w:r>
      <w:r>
        <w:tab/>
        <w:t xml:space="preserve">For activating a water supply connection </w:t>
      </w:r>
      <w:r>
        <w:br/>
        <w:t xml:space="preserve">in relation to land in the metropolitan area, </w:t>
      </w:r>
      <w:r>
        <w:br/>
        <w:t xml:space="preserve">whether or not at the same time as installing </w:t>
      </w:r>
      <w:r>
        <w:br/>
        <w:t xml:space="preserve">the connection, the charge is </w:t>
      </w:r>
      <w:r>
        <w:tab/>
      </w:r>
      <w:r>
        <w:rPr>
          <w:szCs w:val="22"/>
        </w:rPr>
        <w:t>$196.01</w:t>
      </w:r>
    </w:p>
    <w:p>
      <w:pPr>
        <w:pStyle w:val="ySubsection"/>
      </w:pPr>
      <w:r>
        <w:tab/>
        <w:t>(2)</w:t>
      </w:r>
      <w:r>
        <w:tab/>
        <w:t>The charge under this item covers the supply of a meter, stopcock and, if required, a temporary standpipe.</w:t>
      </w:r>
    </w:p>
    <w:p>
      <w:pPr>
        <w:pStyle w:val="yHeading5"/>
      </w:pPr>
      <w:bookmarkStart w:id="347" w:name="_Toc106180066"/>
      <w:r>
        <w:t>6.</w:t>
      </w:r>
      <w:r>
        <w:tab/>
        <w:t>Disconnecting water supply connection</w:t>
      </w:r>
      <w:bookmarkEnd w:id="347"/>
    </w:p>
    <w:p>
      <w:pPr>
        <w:pStyle w:val="ySubsection"/>
        <w:tabs>
          <w:tab w:val="right" w:leader="dot" w:pos="6804"/>
        </w:tabs>
      </w:pPr>
      <w:r>
        <w:tab/>
        <w:t>(1)</w:t>
      </w:r>
      <w:r>
        <w:tab/>
        <w:t xml:space="preserve">For disconnecting a water supply connection </w:t>
      </w:r>
      <w:r>
        <w:br/>
        <w:t xml:space="preserve">to land, the charge is </w:t>
      </w:r>
      <w:r>
        <w:tab/>
      </w:r>
      <w:r>
        <w:rPr>
          <w:szCs w:val="22"/>
        </w:rPr>
        <w:t>$1 181.00</w:t>
      </w:r>
    </w:p>
    <w:p>
      <w:pPr>
        <w:pStyle w:val="ySubsection"/>
      </w:pPr>
      <w:r>
        <w:tab/>
        <w:t>(2)</w:t>
      </w:r>
      <w:r>
        <w:tab/>
        <w:t>For the purposes of this item, cutting off or reducing the rate of flow of a supply of water under section 95 of the Act is not disconnecting a water supply connection.</w:t>
      </w:r>
    </w:p>
    <w:p>
      <w:pPr>
        <w:pStyle w:val="yHeading5"/>
      </w:pPr>
      <w:bookmarkStart w:id="348" w:name="_Toc106180067"/>
      <w:r>
        <w:t>7.</w:t>
      </w:r>
      <w:r>
        <w:tab/>
        <w:t>Relocating water supply connection</w:t>
      </w:r>
      <w:bookmarkEnd w:id="348"/>
    </w:p>
    <w:p>
      <w:pPr>
        <w:pStyle w:val="ySubsection"/>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ind w:left="993"/>
      </w:pPr>
      <w:r>
        <w:t xml:space="preserve">20 mm </w:t>
      </w:r>
      <w:r>
        <w:tab/>
        <w:t>$929.00</w:t>
      </w:r>
    </w:p>
    <w:p>
      <w:pPr>
        <w:pStyle w:val="yMiscellaneousBody"/>
        <w:tabs>
          <w:tab w:val="right" w:leader="dot" w:pos="6804"/>
        </w:tabs>
        <w:ind w:left="993"/>
      </w:pPr>
      <w:r>
        <w:lastRenderedPageBreak/>
        <w:t xml:space="preserve">25 mm </w:t>
      </w:r>
      <w:r>
        <w:tab/>
        <w:t>$1 184.00</w:t>
      </w:r>
    </w:p>
    <w:p>
      <w:pPr>
        <w:pStyle w:val="yMiscellaneousBody"/>
        <w:tabs>
          <w:tab w:val="right" w:leader="dot" w:pos="6804"/>
        </w:tabs>
        <w:ind w:left="993"/>
      </w:pPr>
      <w:r>
        <w:t xml:space="preserve">40 mm </w:t>
      </w:r>
      <w:r>
        <w:tab/>
        <w:t>$2 082.00</w:t>
      </w:r>
    </w:p>
    <w:p>
      <w:pPr>
        <w:pStyle w:val="yMiscellaneousBody"/>
        <w:keepNext/>
        <w:keepLines/>
        <w:tabs>
          <w:tab w:val="right" w:leader="dot" w:pos="6804"/>
        </w:tabs>
        <w:ind w:left="993"/>
      </w:pPr>
      <w:r>
        <w:t xml:space="preserve">50 mm </w:t>
      </w:r>
      <w:r>
        <w:tab/>
        <w:t>$2 797.00</w:t>
      </w:r>
    </w:p>
    <w:p>
      <w:pPr>
        <w:pStyle w:val="yMiscellaneousBody"/>
        <w:tabs>
          <w:tab w:val="right" w:leader="dot" w:pos="6804"/>
        </w:tabs>
        <w:ind w:left="993"/>
      </w:pPr>
      <w:r>
        <w:t xml:space="preserve">more than 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ind w:left="993"/>
      </w:pPr>
      <w:r>
        <w:t xml:space="preserve">20 mm </w:t>
      </w:r>
      <w:r>
        <w:tab/>
        <w:t>$1 836.00</w:t>
      </w:r>
    </w:p>
    <w:p>
      <w:pPr>
        <w:pStyle w:val="yMiscellaneousBody"/>
        <w:tabs>
          <w:tab w:val="right" w:leader="dot" w:pos="6804"/>
        </w:tabs>
        <w:ind w:left="993"/>
      </w:pPr>
      <w:r>
        <w:t xml:space="preserve">25 mm </w:t>
      </w:r>
      <w:r>
        <w:tab/>
        <w:t>$2 303.00</w:t>
      </w:r>
    </w:p>
    <w:p>
      <w:pPr>
        <w:pStyle w:val="yMiscellaneousBody"/>
        <w:tabs>
          <w:tab w:val="right" w:leader="dot" w:pos="6804"/>
        </w:tabs>
        <w:ind w:left="993"/>
      </w:pPr>
      <w:r>
        <w:t xml:space="preserve">40 mm </w:t>
      </w:r>
      <w:r>
        <w:tab/>
        <w:t>$3 942.00</w:t>
      </w:r>
    </w:p>
    <w:p>
      <w:pPr>
        <w:pStyle w:val="yMiscellaneousBody"/>
        <w:tabs>
          <w:tab w:val="right" w:leader="dot" w:pos="6804"/>
        </w:tabs>
        <w:ind w:left="993"/>
      </w:pPr>
      <w:r>
        <w:t xml:space="preserve">50 mm </w:t>
      </w:r>
      <w:r>
        <w:tab/>
        <w:t>$5 244.00</w:t>
      </w:r>
    </w:p>
    <w:p>
      <w:pPr>
        <w:pStyle w:val="yMiscellaneousBody"/>
        <w:tabs>
          <w:tab w:val="right" w:leader="dot" w:pos="6804"/>
        </w:tabs>
        <w:ind w:left="993"/>
      </w:pPr>
      <w:r>
        <w:t>80</w:t>
      </w:r>
      <w:r>
        <w:noBreakHyphen/>
        <w:t xml:space="preserve">100 mm </w:t>
      </w:r>
      <w:r>
        <w:tab/>
        <w:t>$8 828.00</w:t>
      </w:r>
    </w:p>
    <w:p>
      <w:pPr>
        <w:pStyle w:val="yMiscellaneousBody"/>
        <w:tabs>
          <w:tab w:val="right" w:leader="dot" w:pos="6804"/>
        </w:tabs>
        <w:ind w:left="993"/>
      </w:pPr>
      <w:r>
        <w:t xml:space="preserve">150 mm </w:t>
      </w:r>
      <w:r>
        <w:tab/>
        <w:t>$11 551.00</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tabs>
          <w:tab w:val="right" w:leader="dot" w:pos="6804"/>
        </w:tabs>
      </w:pPr>
      <w:r>
        <w:tab/>
        <w:t>(3)</w:t>
      </w:r>
      <w:r>
        <w:tab/>
        <w:t xml:space="preserve">For relocating a water supply connection </w:t>
      </w:r>
      <w:r>
        <w:br/>
        <w:t xml:space="preserve">in relation to land in the central business </w:t>
      </w:r>
      <w:r>
        <w:br/>
        <w:t xml:space="preserve">districts, the charge is </w:t>
      </w:r>
      <w:r>
        <w:tab/>
        <w:t>an amount</w:t>
      </w:r>
    </w:p>
    <w:p>
      <w:pPr>
        <w:pStyle w:val="ySubsection"/>
        <w:spacing w:before="0"/>
        <w:ind w:right="284"/>
        <w:jc w:val="right"/>
      </w:pPr>
      <w:r>
        <w:tab/>
        <w:t>equal to the</w:t>
      </w:r>
      <w:r>
        <w:br/>
      </w:r>
      <w:r>
        <w:tab/>
        <w:t>cost of</w:t>
      </w:r>
      <w:r>
        <w:br/>
      </w:r>
      <w:r>
        <w:tab/>
        <w:t>installation</w:t>
      </w:r>
    </w:p>
    <w:p>
      <w:pPr>
        <w:pStyle w:val="yHeading5"/>
      </w:pPr>
      <w:bookmarkStart w:id="349" w:name="_Toc106180068"/>
      <w:r>
        <w:t>8.</w:t>
      </w:r>
      <w:r>
        <w:tab/>
        <w:t>Proposal to connect to sewer</w:t>
      </w:r>
      <w:bookmarkEnd w:id="349"/>
    </w:p>
    <w:p>
      <w:pPr>
        <w:pStyle w:val="ySubsection"/>
        <w:tabs>
          <w:tab w:val="right" w:leader="dot" w:pos="6804"/>
        </w:tabs>
      </w:pPr>
      <w:r>
        <w:tab/>
      </w:r>
      <w:r>
        <w:tab/>
        <w:t xml:space="preserve">For assessing a proposal to connect a </w:t>
      </w:r>
      <w:r>
        <w:br/>
        <w:t xml:space="preserve">wastewater inlet on land to a sewer, the </w:t>
      </w:r>
      <w:r>
        <w:br/>
        <w:t xml:space="preserve">charge is </w:t>
      </w:r>
      <w:r>
        <w:tab/>
      </w:r>
      <w:r>
        <w:rPr>
          <w:szCs w:val="22"/>
        </w:rPr>
        <w:t>$33.76</w:t>
      </w:r>
    </w:p>
    <w:p>
      <w:pPr>
        <w:pStyle w:val="yHeading5"/>
      </w:pPr>
      <w:bookmarkStart w:id="350" w:name="_Toc106180069"/>
      <w:r>
        <w:lastRenderedPageBreak/>
        <w:t>9.</w:t>
      </w:r>
      <w:r>
        <w:tab/>
        <w:t>Installing sewer junction</w:t>
      </w:r>
      <w:bookmarkEnd w:id="350"/>
    </w:p>
    <w:p>
      <w:pPr>
        <w:pStyle w:val="ySubsection"/>
      </w:pPr>
      <w:r>
        <w:tab/>
      </w:r>
      <w:r>
        <w:tab/>
        <w:t>For installing a sewer junction for land, the charge, according to the size of the sewer, is —</w:t>
      </w:r>
    </w:p>
    <w:p>
      <w:pPr>
        <w:pStyle w:val="yMiscellaneousBody"/>
        <w:tabs>
          <w:tab w:val="right" w:leader="dot" w:pos="6804"/>
        </w:tabs>
        <w:ind w:left="993"/>
      </w:pPr>
      <w:r>
        <w:t xml:space="preserve">100 mm </w:t>
      </w:r>
      <w:r>
        <w:tab/>
        <w:t>$865.26</w:t>
      </w:r>
    </w:p>
    <w:p>
      <w:pPr>
        <w:pStyle w:val="yMiscellaneousBody"/>
        <w:tabs>
          <w:tab w:val="right" w:leader="dot" w:pos="6804"/>
        </w:tabs>
        <w:ind w:left="993"/>
      </w:pPr>
      <w:r>
        <w:t xml:space="preserve">150 mm </w:t>
      </w:r>
      <w:r>
        <w:tab/>
        <w:t>$1 060.43</w:t>
      </w:r>
    </w:p>
    <w:p>
      <w:pPr>
        <w:pStyle w:val="yHeading5"/>
      </w:pPr>
      <w:bookmarkStart w:id="351" w:name="_Toc106180070"/>
      <w:r>
        <w:t>10.</w:t>
      </w:r>
      <w:r>
        <w:tab/>
        <w:t>Hire of standpipe for fire hydrant</w:t>
      </w:r>
      <w:bookmarkEnd w:id="351"/>
    </w:p>
    <w:p>
      <w:pPr>
        <w:pStyle w:val="ySubsection"/>
        <w:tabs>
          <w:tab w:val="right" w:leader="dot" w:pos="6804"/>
        </w:tabs>
      </w:pPr>
      <w:r>
        <w:tab/>
        <w:t>(1)</w:t>
      </w:r>
      <w:r>
        <w:tab/>
        <w:t xml:space="preserve">For an application to hire a standpipe from </w:t>
      </w:r>
      <w:r>
        <w:br/>
        <w:t xml:space="preserve">the Water Corporation for attachment to a </w:t>
      </w:r>
      <w:r>
        <w:br/>
        <w:t xml:space="preserve">fire hydrant connected to water supply </w:t>
      </w:r>
      <w:r>
        <w:br/>
        <w:t xml:space="preserve">works of the Water Corporation in the </w:t>
      </w:r>
      <w:r>
        <w:br/>
        <w:t xml:space="preserve">metropolitan area, the charge is </w:t>
      </w:r>
      <w:r>
        <w:tab/>
      </w:r>
      <w:r>
        <w:rPr>
          <w:szCs w:val="22"/>
        </w:rPr>
        <w:t>$120.58</w:t>
      </w:r>
    </w:p>
    <w:p>
      <w:pPr>
        <w:pStyle w:val="ySubsection"/>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ind w:left="993"/>
      </w:pPr>
      <w:r>
        <w:t xml:space="preserve">25 mm or less </w:t>
      </w:r>
      <w:r>
        <w:tab/>
      </w:r>
      <w:r>
        <w:rPr>
          <w:szCs w:val="22"/>
        </w:rPr>
        <w:t>$247.97</w:t>
      </w:r>
      <w:r>
        <w:t>/month</w:t>
      </w:r>
    </w:p>
    <w:p>
      <w:pPr>
        <w:pStyle w:val="yMiscellaneousBody"/>
        <w:tabs>
          <w:tab w:val="right" w:pos="6804"/>
        </w:tabs>
        <w:spacing w:before="0"/>
      </w:pPr>
      <w:r>
        <w:tab/>
        <w:t>pro rata</w:t>
      </w:r>
    </w:p>
    <w:p>
      <w:pPr>
        <w:pStyle w:val="yMiscellaneousBody"/>
        <w:tabs>
          <w:tab w:val="right" w:leader="dot" w:pos="6804"/>
        </w:tabs>
        <w:ind w:left="993"/>
      </w:pPr>
      <w:r>
        <w:t xml:space="preserve">more than 25 mm </w:t>
      </w:r>
      <w:r>
        <w:tab/>
      </w:r>
      <w:r>
        <w:rPr>
          <w:szCs w:val="22"/>
        </w:rPr>
        <w:t>$414.96</w:t>
      </w:r>
      <w:r>
        <w:t>/month</w:t>
      </w:r>
    </w:p>
    <w:p>
      <w:pPr>
        <w:pStyle w:val="yMiscellaneousBody"/>
        <w:tabs>
          <w:tab w:val="right" w:pos="6804"/>
        </w:tabs>
        <w:spacing w:before="0"/>
      </w:pPr>
      <w:r>
        <w:tab/>
        <w:t>pro rata</w:t>
      </w:r>
    </w:p>
    <w:p>
      <w:pPr>
        <w:pStyle w:val="yHeading5"/>
      </w:pPr>
      <w:bookmarkStart w:id="352" w:name="_Toc106180071"/>
      <w:r>
        <w:t>11.</w:t>
      </w:r>
      <w:r>
        <w:tab/>
        <w:t>Trade waste: routine services</w:t>
      </w:r>
      <w:bookmarkEnd w:id="352"/>
    </w:p>
    <w:p>
      <w:pPr>
        <w:pStyle w:val="ySubsection"/>
      </w:pPr>
      <w:r>
        <w:tab/>
      </w:r>
      <w:r>
        <w:tab/>
        <w:t>For the following scheduled services in relation to the discharge of trade waste into a sewer of the Water Corporation, the charge is —</w:t>
      </w:r>
    </w:p>
    <w:p>
      <w:pPr>
        <w:pStyle w:val="yIndenta"/>
        <w:tabs>
          <w:tab w:val="right" w:leader="dot" w:pos="6804"/>
        </w:tabs>
      </w:pPr>
      <w:r>
        <w:tab/>
        <w:t>(a)</w:t>
      </w:r>
      <w:r>
        <w:tab/>
        <w:t xml:space="preserve">for inspection </w:t>
      </w:r>
      <w:r>
        <w:tab/>
      </w:r>
      <w:r>
        <w:rPr>
          <w:szCs w:val="22"/>
        </w:rPr>
        <w:t>$154.00</w:t>
      </w:r>
      <w:r>
        <w:t>/hour</w:t>
      </w:r>
    </w:p>
    <w:p>
      <w:pPr>
        <w:pStyle w:val="yIndenta"/>
        <w:tabs>
          <w:tab w:val="right" w:leader="dot" w:pos="6804"/>
        </w:tabs>
      </w:pPr>
      <w:r>
        <w:tab/>
        <w:t>(b)</w:t>
      </w:r>
      <w:r>
        <w:tab/>
        <w:t xml:space="preserve">for a meter reading </w:t>
      </w:r>
      <w:r>
        <w:tab/>
      </w:r>
      <w:r>
        <w:rPr>
          <w:szCs w:val="22"/>
        </w:rPr>
        <w:t>$42.02</w:t>
      </w:r>
    </w:p>
    <w:p>
      <w:pPr>
        <w:pStyle w:val="yIndenta"/>
        <w:tabs>
          <w:tab w:val="right" w:leader="dot" w:pos="6804"/>
        </w:tabs>
        <w:rPr>
          <w:szCs w:val="22"/>
        </w:rPr>
      </w:pPr>
      <w:r>
        <w:tab/>
        <w:t>(c)</w:t>
      </w:r>
      <w:r>
        <w:tab/>
        <w:t xml:space="preserve">for a grab sample </w:t>
      </w:r>
      <w:r>
        <w:tab/>
      </w:r>
      <w:r>
        <w:rPr>
          <w:szCs w:val="22"/>
        </w:rPr>
        <w:t>$474.98</w:t>
      </w:r>
    </w:p>
    <w:p>
      <w:pPr>
        <w:pStyle w:val="yIndenta"/>
        <w:tabs>
          <w:tab w:val="right" w:leader="dot" w:pos="6804"/>
        </w:tabs>
        <w:rPr>
          <w:szCs w:val="22"/>
        </w:rPr>
      </w:pPr>
      <w:r>
        <w:tab/>
        <w:t>(d)</w:t>
      </w:r>
      <w:r>
        <w:tab/>
        <w:t xml:space="preserve">for a composite sample </w:t>
      </w:r>
      <w:r>
        <w:tab/>
      </w:r>
      <w:r>
        <w:rPr>
          <w:szCs w:val="22"/>
        </w:rPr>
        <w:t>$752.40</w:t>
      </w:r>
    </w:p>
    <w:p>
      <w:pPr>
        <w:pStyle w:val="yIndenta"/>
        <w:tabs>
          <w:tab w:val="right" w:leader="dot" w:pos="6804"/>
        </w:tabs>
      </w:pPr>
      <w:r>
        <w:tab/>
        <w:t>(e)</w:t>
      </w:r>
      <w:r>
        <w:tab/>
        <w:t>for assessing an application to</w:t>
      </w:r>
      <w:r>
        <w:br/>
        <w:t xml:space="preserve">discharge </w:t>
      </w:r>
      <w:r>
        <w:tab/>
      </w:r>
      <w:r>
        <w:rPr>
          <w:szCs w:val="22"/>
        </w:rPr>
        <w:t>$140.09/hour</w:t>
      </w:r>
    </w:p>
    <w:p>
      <w:pPr>
        <w:pStyle w:val="yHeading5"/>
      </w:pPr>
      <w:bookmarkStart w:id="353" w:name="_Toc106180072"/>
      <w:r>
        <w:lastRenderedPageBreak/>
        <w:t>12.</w:t>
      </w:r>
      <w:r>
        <w:tab/>
        <w:t>Trade waste: ad hoc services</w:t>
      </w:r>
      <w:bookmarkEnd w:id="353"/>
    </w:p>
    <w:p>
      <w:pPr>
        <w:pStyle w:val="ySubsection"/>
        <w:keepNext/>
      </w:pPr>
      <w:r>
        <w:tab/>
        <w:t>(1)</w:t>
      </w:r>
      <w:r>
        <w:tab/>
        <w:t xml:space="preserve">In this item — </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Subsection"/>
      </w:pPr>
      <w:r>
        <w:tab/>
        <w:t>(2)</w:t>
      </w:r>
      <w:r>
        <w:tab/>
        <w:t>For product evaluation in relation to the discharge of trade waste into a sewer of the Water Corporation, the charge is $183.87 per hour.</w:t>
      </w:r>
    </w:p>
    <w:p>
      <w:pPr>
        <w:pStyle w:val="yHeading5"/>
      </w:pPr>
      <w:bookmarkStart w:id="354" w:name="_Toc106180073"/>
      <w:r>
        <w:t>13.</w:t>
      </w:r>
      <w:r>
        <w:tab/>
        <w:t>Trade waste: one</w:t>
      </w:r>
      <w:r>
        <w:noBreakHyphen/>
        <w:t>off discharge services</w:t>
      </w:r>
      <w:bookmarkEnd w:id="354"/>
    </w:p>
    <w:p>
      <w:pPr>
        <w:pStyle w:val="ySubsection"/>
        <w:tabs>
          <w:tab w:val="right" w:leader="dot" w:pos="6804"/>
        </w:tabs>
      </w:pPr>
      <w:r>
        <w:tab/>
      </w:r>
      <w:r>
        <w:tab/>
        <w:t>For a one</w:t>
      </w:r>
      <w:r>
        <w:noBreakHyphen/>
        <w:t xml:space="preserve">off discharge of trade waste </w:t>
      </w:r>
      <w:r>
        <w:br/>
        <w:t xml:space="preserve">into a sewer of the Water Corporation, </w:t>
      </w:r>
      <w:r>
        <w:br/>
        <w:t xml:space="preserve">the charge is </w:t>
      </w:r>
      <w:r>
        <w:tab/>
      </w:r>
      <w:r>
        <w:rPr>
          <w:szCs w:val="22"/>
        </w:rPr>
        <w:t>$140.09</w:t>
      </w:r>
      <w:r>
        <w:t>/hour</w:t>
      </w:r>
    </w:p>
    <w:p>
      <w:pPr>
        <w:pStyle w:val="yHeading5"/>
      </w:pPr>
      <w:bookmarkStart w:id="355" w:name="_Toc106180074"/>
      <w:r>
        <w:t>14.</w:t>
      </w:r>
      <w:r>
        <w:tab/>
        <w:t>Meter reading and other information</w:t>
      </w:r>
      <w:bookmarkEnd w:id="355"/>
    </w:p>
    <w:p>
      <w:pPr>
        <w:pStyle w:val="ySubsection"/>
      </w:pPr>
      <w:r>
        <w:tab/>
      </w:r>
      <w:r>
        <w:tab/>
        <w:t xml:space="preserve">For — </w:t>
      </w:r>
    </w:p>
    <w:p>
      <w:pPr>
        <w:pStyle w:val="yIndenta"/>
        <w:tabs>
          <w:tab w:val="right" w:leader="dot" w:pos="6804"/>
        </w:tabs>
      </w:pPr>
      <w:r>
        <w:tab/>
        <w:t>(a)</w:t>
      </w:r>
      <w:r>
        <w:tab/>
        <w:t xml:space="preserve">a meter reading, the charge is </w:t>
      </w:r>
      <w:r>
        <w:tab/>
        <w:t xml:space="preserve"> $22.42</w:t>
      </w:r>
    </w:p>
    <w:p>
      <w:pPr>
        <w:pStyle w:val="yIndenta"/>
        <w:tabs>
          <w:tab w:val="right" w:leader="dot" w:pos="6804"/>
        </w:tabs>
      </w:pPr>
      <w:r>
        <w:tab/>
        <w:t>(b)</w:t>
      </w:r>
      <w:r>
        <w:tab/>
        <w:t xml:space="preserve">an urgent meter reading, the charge is </w:t>
      </w:r>
      <w:r>
        <w:tab/>
        <w:t xml:space="preserve"> $34.40</w:t>
      </w:r>
    </w:p>
    <w:p>
      <w:pPr>
        <w:pStyle w:val="yIndenta"/>
        <w:tabs>
          <w:tab w:val="right" w:leader="dot" w:pos="6804"/>
        </w:tabs>
      </w:pPr>
      <w:r>
        <w:tab/>
        <w:t>(c)</w:t>
      </w:r>
      <w:r>
        <w:tab/>
        <w:t xml:space="preserve">the provision of information in relation </w:t>
      </w:r>
      <w:r>
        <w:br/>
        <w:t xml:space="preserve">to water services for land and a meter </w:t>
      </w:r>
      <w:r>
        <w:br/>
        <w:t xml:space="preserve">reading, the charge is </w:t>
      </w:r>
      <w:r>
        <w:tab/>
        <w:t>$30.71</w:t>
      </w:r>
    </w:p>
    <w:p>
      <w:pPr>
        <w:pStyle w:val="yIndenta"/>
        <w:tabs>
          <w:tab w:val="right" w:leader="dot" w:pos="6804"/>
        </w:tabs>
      </w:pPr>
      <w:r>
        <w:tab/>
        <w:t>(d)</w:t>
      </w:r>
      <w:r>
        <w:tab/>
        <w:t xml:space="preserve">the provision of information in relation </w:t>
      </w:r>
      <w:r>
        <w:br/>
        <w:t xml:space="preserve">to water services for land and an urgent </w:t>
      </w:r>
      <w:r>
        <w:br/>
        <w:t xml:space="preserve">meter reading, the charge is </w:t>
      </w:r>
      <w:r>
        <w:tab/>
        <w:t xml:space="preserve"> $42.68</w:t>
      </w:r>
    </w:p>
    <w:p>
      <w:pPr>
        <w:pStyle w:val="yIndenta"/>
        <w:tabs>
          <w:tab w:val="right" w:leader="dot" w:pos="6804"/>
        </w:tabs>
      </w:pPr>
      <w:r>
        <w:tab/>
        <w:t>(e)</w:t>
      </w:r>
      <w:r>
        <w:tab/>
        <w:t xml:space="preserve">the provision of information not </w:t>
      </w:r>
      <w:r>
        <w:br/>
        <w:t xml:space="preserve">covered by paragraphs (a) to (d), </w:t>
      </w:r>
      <w:r>
        <w:br/>
        <w:t xml:space="preserve">involving research or investigation </w:t>
      </w:r>
      <w:r>
        <w:br/>
        <w:t xml:space="preserve">of more than 15 minutes, the </w:t>
      </w:r>
      <w:r>
        <w:br/>
        <w:t xml:space="preserve">charge is </w:t>
      </w:r>
      <w:r>
        <w:tab/>
      </w:r>
      <w:r>
        <w:rPr>
          <w:szCs w:val="22"/>
        </w:rPr>
        <w:t>$95.85/hour</w:t>
      </w:r>
    </w:p>
    <w:p>
      <w:pPr>
        <w:pStyle w:val="yIndenta"/>
        <w:spacing w:before="0"/>
        <w:ind w:right="284"/>
        <w:jc w:val="right"/>
      </w:pPr>
      <w:r>
        <w:t>or part hour</w:t>
      </w:r>
    </w:p>
    <w:p>
      <w:pPr>
        <w:pStyle w:val="yHeading5"/>
      </w:pPr>
      <w:bookmarkStart w:id="356" w:name="_Toc106180075"/>
      <w:r>
        <w:t>15.</w:t>
      </w:r>
      <w:r>
        <w:tab/>
        <w:t>Copies of records</w:t>
      </w:r>
      <w:bookmarkEnd w:id="356"/>
    </w:p>
    <w:p>
      <w:pPr>
        <w:pStyle w:val="ySubsection"/>
        <w:tabs>
          <w:tab w:val="right" w:leader="dot" w:pos="6804"/>
        </w:tabs>
      </w:pPr>
      <w:r>
        <w:tab/>
      </w:r>
      <w:r>
        <w:tab/>
        <w:t xml:space="preserve">For a copy of records under the </w:t>
      </w:r>
      <w:r>
        <w:br/>
      </w:r>
      <w:r>
        <w:rPr>
          <w:i/>
        </w:rPr>
        <w:t>Water Services Regulations 2013</w:t>
      </w:r>
      <w:r>
        <w:t xml:space="preserve"> </w:t>
      </w:r>
      <w:r>
        <w:br/>
        <w:t xml:space="preserve">regulation 65(4)(b), the charge is </w:t>
      </w:r>
      <w:r>
        <w:tab/>
      </w:r>
      <w:r>
        <w:rPr>
          <w:szCs w:val="22"/>
        </w:rPr>
        <w:t>$18.48</w:t>
      </w:r>
    </w:p>
    <w:p>
      <w:pPr>
        <w:pStyle w:val="yFootnotesection"/>
      </w:pPr>
      <w:r>
        <w:tab/>
        <w:t>[Schedule 7 inserted: SL 2021/80 r. 8.]</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358" w:name="_Toc106104092"/>
      <w:bookmarkStart w:id="359" w:name="_Toc106104320"/>
      <w:bookmarkStart w:id="360" w:name="_Toc106179848"/>
      <w:bookmarkStart w:id="361" w:name="_Toc106180076"/>
      <w:r>
        <w:rPr>
          <w:rStyle w:val="CharSchNo"/>
        </w:rPr>
        <w:lastRenderedPageBreak/>
        <w:t>Schedule 8</w:t>
      </w:r>
      <w:r>
        <w:rPr>
          <w:rStyle w:val="CharSDivNo"/>
        </w:rPr>
        <w:t> </w:t>
      </w:r>
      <w:r>
        <w:t>—</w:t>
      </w:r>
      <w:r>
        <w:rPr>
          <w:rStyle w:val="CharSDivText"/>
        </w:rPr>
        <w:t> </w:t>
      </w:r>
      <w:r>
        <w:rPr>
          <w:rStyle w:val="CharSchText"/>
        </w:rPr>
        <w:t>Government trading organisations</w:t>
      </w:r>
      <w:bookmarkEnd w:id="358"/>
      <w:bookmarkEnd w:id="359"/>
      <w:bookmarkEnd w:id="360"/>
      <w:bookmarkEnd w:id="361"/>
    </w:p>
    <w:p>
      <w:pPr>
        <w:pStyle w:val="yShoulderClause"/>
      </w:pPr>
      <w:r>
        <w:t>[r. 16(1)]</w:t>
      </w:r>
    </w:p>
    <w:p>
      <w:pPr>
        <w:pStyle w:val="yMiscellaneousHeading"/>
        <w:rPr>
          <w:b/>
          <w:bCs/>
          <w:snapToGrid w:val="0"/>
        </w:rPr>
      </w:pPr>
      <w:r>
        <w:rPr>
          <w:b/>
          <w:bCs/>
          <w:snapToGrid w:val="0"/>
        </w:rPr>
        <w:t>Government trading organisations</w:t>
      </w:r>
    </w:p>
    <w:p>
      <w:pPr>
        <w:pStyle w:val="yEdnotesubsection"/>
      </w:pPr>
      <w:r>
        <w:t>[(1)</w:t>
      </w:r>
      <w:r>
        <w:noBreakHyphen/>
        <w:t>(2)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lastRenderedPageBreak/>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w:t>
      </w:r>
    </w:p>
    <w:p>
      <w:pPr>
        <w:pStyle w:val="yFootnotesection"/>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362" w:name="_Toc106104093"/>
      <w:bookmarkStart w:id="363" w:name="_Toc106104321"/>
      <w:bookmarkStart w:id="364" w:name="_Toc106179849"/>
      <w:bookmarkStart w:id="365" w:name="_Toc106180077"/>
      <w:r>
        <w:rPr>
          <w:rStyle w:val="CharSchNo"/>
        </w:rPr>
        <w:lastRenderedPageBreak/>
        <w:t>Schedule 9</w:t>
      </w:r>
      <w:r>
        <w:rPr>
          <w:rStyle w:val="CharSDivNo"/>
        </w:rPr>
        <w:t> </w:t>
      </w:r>
      <w:r>
        <w:t>—</w:t>
      </w:r>
      <w:r>
        <w:rPr>
          <w:rStyle w:val="CharSDivText"/>
        </w:rPr>
        <w:t> </w:t>
      </w:r>
      <w:r>
        <w:rPr>
          <w:rStyle w:val="CharSchText"/>
        </w:rPr>
        <w:t>Central business districts</w:t>
      </w:r>
      <w:bookmarkEnd w:id="362"/>
      <w:bookmarkEnd w:id="363"/>
      <w:bookmarkEnd w:id="364"/>
      <w:bookmarkEnd w:id="365"/>
    </w:p>
    <w:p>
      <w:pPr>
        <w:pStyle w:val="yShoulderClause"/>
      </w:pPr>
      <w:r>
        <w:t>[r. 16(1)]</w:t>
      </w:r>
    </w:p>
    <w:p>
      <w:pPr>
        <w:pStyle w:val="yHeading5"/>
      </w:pPr>
      <w:bookmarkStart w:id="366" w:name="_Toc106180078"/>
      <w:r>
        <w:rPr>
          <w:rStyle w:val="CharSClsNo"/>
        </w:rPr>
        <w:t>1</w:t>
      </w:r>
      <w:r>
        <w:t>.</w:t>
      </w:r>
      <w:r>
        <w:tab/>
        <w:t>Central business districts</w:t>
      </w:r>
      <w:bookmarkEnd w:id="366"/>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367" w:name="_Toc106104095"/>
      <w:bookmarkStart w:id="368" w:name="_Toc106104323"/>
      <w:bookmarkStart w:id="369" w:name="_Toc106179851"/>
      <w:bookmarkStart w:id="370" w:name="_Toc106180079"/>
      <w:r>
        <w:rPr>
          <w:rStyle w:val="CharSchNo"/>
        </w:rPr>
        <w:lastRenderedPageBreak/>
        <w:t>Schedule 10</w:t>
      </w:r>
      <w:r>
        <w:t> — </w:t>
      </w:r>
      <w:r>
        <w:rPr>
          <w:rStyle w:val="CharSchText"/>
        </w:rPr>
        <w:t>Class of town or area: current consumption year</w:t>
      </w:r>
      <w:bookmarkEnd w:id="367"/>
      <w:bookmarkEnd w:id="368"/>
      <w:bookmarkEnd w:id="369"/>
      <w:bookmarkEnd w:id="370"/>
    </w:p>
    <w:p>
      <w:pPr>
        <w:pStyle w:val="yShoulderClause"/>
      </w:pPr>
      <w:r>
        <w:t>[Sch. 3 it. 23]</w:t>
      </w:r>
    </w:p>
    <w:p>
      <w:pPr>
        <w:pStyle w:val="yFootnoteheading"/>
        <w:spacing w:after="120"/>
      </w:pPr>
      <w:r>
        <w:tab/>
        <w:t>[Heading inserted: SL 2021/80 r. 9.]</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lastRenderedPageBreak/>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10 inserted: SL 2021/80 r. 9.]</w:t>
      </w:r>
    </w:p>
    <w:p>
      <w:pPr>
        <w:pStyle w:val="yScheduleHeading"/>
      </w:pPr>
      <w:bookmarkStart w:id="371" w:name="_Toc106104096"/>
      <w:bookmarkStart w:id="372" w:name="_Toc106104324"/>
      <w:bookmarkStart w:id="373" w:name="_Toc106179852"/>
      <w:bookmarkStart w:id="374" w:name="_Toc106180080"/>
      <w:r>
        <w:rPr>
          <w:rStyle w:val="CharSchNo"/>
        </w:rPr>
        <w:lastRenderedPageBreak/>
        <w:t>Schedule 11</w:t>
      </w:r>
      <w:r>
        <w:t> — </w:t>
      </w:r>
      <w:r>
        <w:rPr>
          <w:rStyle w:val="CharSchText"/>
        </w:rPr>
        <w:t>Class of town or area: previous consumption year</w:t>
      </w:r>
      <w:bookmarkEnd w:id="371"/>
      <w:bookmarkEnd w:id="372"/>
      <w:bookmarkEnd w:id="373"/>
      <w:bookmarkEnd w:id="374"/>
    </w:p>
    <w:p>
      <w:pPr>
        <w:pStyle w:val="yShoulderClause"/>
      </w:pPr>
      <w:r>
        <w:t>[Sch. 3 it. 23]</w:t>
      </w:r>
    </w:p>
    <w:p>
      <w:pPr>
        <w:pStyle w:val="yFootnoteheading"/>
        <w:spacing w:after="120"/>
      </w:pPr>
      <w:r>
        <w:tab/>
        <w:t>[Heading inserted: SL 2021/80 r. 9.]</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bCs/>
              </w:rPr>
            </w:pPr>
            <w:r>
              <w:rPr>
                <w:b/>
                <w:bCs/>
              </w:rPr>
              <w:t>Town/area</w:t>
            </w:r>
          </w:p>
        </w:tc>
        <w:tc>
          <w:tcPr>
            <w:tcW w:w="1842" w:type="dxa"/>
            <w:tcBorders>
              <w:top w:val="single" w:sz="4" w:space="0" w:color="auto"/>
              <w:bottom w:val="single" w:sz="4" w:space="0" w:color="auto"/>
            </w:tcBorders>
            <w:vAlign w:val="center"/>
          </w:tcPr>
          <w:p>
            <w:pPr>
              <w:pStyle w:val="yTableNAm"/>
              <w:rPr>
                <w:b/>
                <w:bCs/>
              </w:rPr>
            </w:pPr>
            <w:r>
              <w:rPr>
                <w:b/>
                <w:bCs/>
              </w:rPr>
              <w:t>Residential classification</w:t>
            </w:r>
          </w:p>
        </w:tc>
        <w:tc>
          <w:tcPr>
            <w:tcW w:w="1843" w:type="dxa"/>
            <w:tcBorders>
              <w:top w:val="single" w:sz="4" w:space="0" w:color="auto"/>
              <w:bottom w:val="single" w:sz="4" w:space="0" w:color="auto"/>
            </w:tcBorders>
            <w:vAlign w:val="center"/>
          </w:tcPr>
          <w:p>
            <w:pPr>
              <w:pStyle w:val="yTableNAm"/>
              <w:rPr>
                <w:b/>
                <w:bCs/>
              </w:rPr>
            </w:pPr>
            <w:r>
              <w:rPr>
                <w:b/>
                <w:bCs/>
              </w:rPr>
              <w:t>Non</w:t>
            </w:r>
            <w:r>
              <w:rPr>
                <w:b/>
                <w:bCs/>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lastRenderedPageBreak/>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11 inserted: SL 2021/80 r. 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375" w:name="_Toc106104097"/>
      <w:bookmarkStart w:id="376" w:name="_Toc106104325"/>
      <w:bookmarkStart w:id="377" w:name="_Toc106179853"/>
      <w:bookmarkStart w:id="378" w:name="_Toc106180081"/>
      <w:r>
        <w:lastRenderedPageBreak/>
        <w:t>Notes</w:t>
      </w:r>
      <w:bookmarkEnd w:id="375"/>
      <w:bookmarkEnd w:id="376"/>
      <w:bookmarkEnd w:id="377"/>
      <w:bookmarkEnd w:id="378"/>
    </w:p>
    <w:p>
      <w:pPr>
        <w:pStyle w:val="nStatement"/>
      </w:pPr>
      <w:r>
        <w:t xml:space="preserve">This is a compilation of the </w:t>
      </w:r>
      <w:r>
        <w:rPr>
          <w:i/>
          <w:noProof/>
        </w:rPr>
        <w:t>Water Services (Water Corporations Charges)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79" w:name="_Toc106180082"/>
      <w:r>
        <w:t>Compilation table</w:t>
      </w:r>
      <w:bookmarkEnd w:id="37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380" w:name="OLE_LINK1"/>
            <w:r>
              <w:rPr>
                <w:i/>
              </w:rPr>
              <w:t>Water Services (Water Corporations Charges) Amendment Regulations 2017</w:t>
            </w:r>
            <w:bookmarkEnd w:id="380"/>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lastRenderedPageBreak/>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14 Jun 2019 p. 1929</w:t>
            </w:r>
            <w:r>
              <w:noBreakHyphen/>
              <w:t>2010</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pPr>
              <w:pStyle w:val="nTable"/>
              <w:spacing w:after="40"/>
            </w:pPr>
            <w:r>
              <w:t>31 Dec 2019 p. 4663</w:t>
            </w:r>
            <w:r>
              <w:noBreakHyphen/>
              <w:t>5</w:t>
            </w:r>
          </w:p>
        </w:tc>
        <w:tc>
          <w:tcPr>
            <w:tcW w:w="2693" w:type="dxa"/>
            <w:gridSpan w:val="2"/>
            <w:tcBorders>
              <w:top w:val="nil"/>
              <w:bottom w:val="nil"/>
            </w:tcBorders>
            <w:shd w:val="clear" w:color="auto" w:fill="auto"/>
          </w:tcPr>
          <w:p>
            <w:pPr>
              <w:pStyle w:val="nTable"/>
              <w:spacing w:after="40"/>
              <w:rPr>
                <w:bCs/>
                <w:snapToGrid w:val="0"/>
                <w:spacing w:val="-2"/>
              </w:rPr>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2</w:t>
            </w:r>
          </w:p>
        </w:tc>
        <w:tc>
          <w:tcPr>
            <w:tcW w:w="1276" w:type="dxa"/>
            <w:gridSpan w:val="2"/>
            <w:tcBorders>
              <w:top w:val="nil"/>
              <w:bottom w:val="nil"/>
            </w:tcBorders>
            <w:shd w:val="clear" w:color="auto" w:fill="auto"/>
          </w:tcPr>
          <w:p>
            <w:pPr>
              <w:pStyle w:val="nTable"/>
              <w:spacing w:after="40"/>
            </w:pPr>
            <w:r>
              <w:t>SL 2020/95 26 Jun 2020</w:t>
            </w:r>
          </w:p>
        </w:tc>
        <w:tc>
          <w:tcPr>
            <w:tcW w:w="2693" w:type="dxa"/>
            <w:gridSpan w:val="2"/>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2020</w:t>
            </w:r>
          </w:p>
        </w:tc>
        <w:tc>
          <w:tcPr>
            <w:tcW w:w="1276" w:type="dxa"/>
            <w:gridSpan w:val="2"/>
            <w:tcBorders>
              <w:top w:val="nil"/>
              <w:bottom w:val="nil"/>
            </w:tcBorders>
            <w:shd w:val="clear" w:color="auto" w:fill="auto"/>
          </w:tcPr>
          <w:p>
            <w:pPr>
              <w:pStyle w:val="nTable"/>
              <w:spacing w:after="40"/>
            </w:pPr>
            <w:r>
              <w:t>SL 2020/177 25 Sep 2020</w:t>
            </w:r>
          </w:p>
        </w:tc>
        <w:tc>
          <w:tcPr>
            <w:tcW w:w="2693" w:type="dxa"/>
            <w:gridSpan w:val="2"/>
            <w:tcBorders>
              <w:top w:val="nil"/>
              <w:bottom w:val="nil"/>
            </w:tcBorders>
            <w:shd w:val="clear" w:color="auto" w:fill="auto"/>
          </w:tcPr>
          <w:p>
            <w:pPr>
              <w:pStyle w:val="nTable"/>
              <w:spacing w:after="40"/>
            </w:pPr>
            <w:r>
              <w:rPr>
                <w:bCs/>
                <w:snapToGrid w:val="0"/>
              </w:rPr>
              <w:t>r. 1 and 2: 25</w:t>
            </w:r>
            <w:r>
              <w:t> Sep 2020</w:t>
            </w:r>
            <w:r>
              <w:rPr>
                <w:bCs/>
                <w:snapToGrid w:val="0"/>
              </w:rPr>
              <w:t xml:space="preserve"> (see r. 2(a));</w:t>
            </w:r>
            <w:r>
              <w:rPr>
                <w:bCs/>
                <w:snapToGrid w:val="0"/>
              </w:rPr>
              <w:br/>
              <w:t>Regulations other than r. 1 and 2: 26 Sep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3</w:t>
            </w:r>
            <w:r>
              <w:rPr>
                <w:i/>
              </w:rPr>
              <w:t xml:space="preserve"> </w:t>
            </w:r>
          </w:p>
        </w:tc>
        <w:tc>
          <w:tcPr>
            <w:tcW w:w="1276" w:type="dxa"/>
            <w:gridSpan w:val="2"/>
            <w:tcBorders>
              <w:top w:val="nil"/>
              <w:bottom w:val="nil"/>
            </w:tcBorders>
            <w:shd w:val="clear" w:color="auto" w:fill="auto"/>
          </w:tcPr>
          <w:p>
            <w:pPr>
              <w:pStyle w:val="nTable"/>
              <w:spacing w:after="40"/>
            </w:pPr>
            <w:r>
              <w:t>SL 2021/79 18 Jun 2021</w:t>
            </w:r>
          </w:p>
        </w:tc>
        <w:tc>
          <w:tcPr>
            <w:tcW w:w="2693" w:type="dxa"/>
            <w:gridSpan w:val="2"/>
            <w:tcBorders>
              <w:top w:val="nil"/>
              <w:bottom w:val="nil"/>
            </w:tcBorders>
            <w:shd w:val="clear" w:color="auto" w:fill="auto"/>
          </w:tcPr>
          <w:p>
            <w:pPr>
              <w:pStyle w:val="nTable"/>
              <w:spacing w:after="40"/>
              <w:rPr>
                <w:bCs/>
                <w:snapToGrid w:val="0"/>
              </w:rPr>
            </w:pPr>
            <w:r>
              <w:t>30 Jun 2021 (see r. 2(b) and SL 2021/69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2021</w:t>
            </w:r>
            <w:r>
              <w:t xml:space="preserve"> Pt. 2</w:t>
            </w:r>
          </w:p>
        </w:tc>
        <w:tc>
          <w:tcPr>
            <w:tcW w:w="1276" w:type="dxa"/>
            <w:gridSpan w:val="2"/>
            <w:tcBorders>
              <w:top w:val="nil"/>
              <w:bottom w:val="nil"/>
            </w:tcBorders>
            <w:shd w:val="clear" w:color="auto" w:fill="auto"/>
          </w:tcPr>
          <w:p>
            <w:pPr>
              <w:pStyle w:val="nTable"/>
              <w:spacing w:after="40"/>
            </w:pPr>
            <w:r>
              <w:t>SL 2021/80 18 Jun 2021</w:t>
            </w:r>
          </w:p>
        </w:tc>
        <w:tc>
          <w:tcPr>
            <w:tcW w:w="2693" w:type="dxa"/>
            <w:gridSpan w:val="2"/>
            <w:tcBorders>
              <w:top w:val="nil"/>
              <w:bottom w:val="nil"/>
            </w:tcBorders>
            <w:shd w:val="clear" w:color="auto" w:fill="auto"/>
          </w:tcPr>
          <w:p>
            <w:pPr>
              <w:pStyle w:val="nTable"/>
              <w:spacing w:after="40"/>
              <w:rPr>
                <w:bCs/>
                <w:snapToGrid w:val="0"/>
              </w:rPr>
            </w:pPr>
            <w:r>
              <w:t>1 Jul 2021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2021</w:t>
            </w:r>
          </w:p>
        </w:tc>
        <w:tc>
          <w:tcPr>
            <w:tcW w:w="1276" w:type="dxa"/>
            <w:gridSpan w:val="2"/>
            <w:tcBorders>
              <w:top w:val="nil"/>
              <w:bottom w:val="nil"/>
            </w:tcBorders>
            <w:shd w:val="clear" w:color="auto" w:fill="auto"/>
          </w:tcPr>
          <w:p>
            <w:pPr>
              <w:pStyle w:val="nTable"/>
              <w:spacing w:after="40"/>
            </w:pPr>
            <w:r>
              <w:t>SL 2021/128 16 Jul 2021</w:t>
            </w:r>
          </w:p>
        </w:tc>
        <w:tc>
          <w:tcPr>
            <w:tcW w:w="2693" w:type="dxa"/>
            <w:gridSpan w:val="2"/>
            <w:tcBorders>
              <w:top w:val="nil"/>
              <w:bottom w:val="nil"/>
            </w:tcBorders>
            <w:shd w:val="clear" w:color="auto" w:fill="auto"/>
          </w:tcPr>
          <w:p>
            <w:pPr>
              <w:pStyle w:val="nTable"/>
              <w:spacing w:after="40"/>
            </w:pPr>
            <w:r>
              <w:rPr>
                <w:bCs/>
                <w:snapToGrid w:val="0"/>
              </w:rPr>
              <w:t xml:space="preserve">r. 1 and 2: </w:t>
            </w:r>
            <w:r>
              <w:t>16 Jul 2021</w:t>
            </w:r>
            <w:r>
              <w:rPr>
                <w:bCs/>
                <w:snapToGrid w:val="0"/>
              </w:rPr>
              <w:t xml:space="preserve"> (see r. 2(a));</w:t>
            </w:r>
            <w:r>
              <w:rPr>
                <w:bCs/>
                <w:snapToGrid w:val="0"/>
              </w:rPr>
              <w:br/>
              <w:t xml:space="preserve">Regulations other than r. 1 and 2: </w:t>
            </w:r>
            <w:r>
              <w:t>1 Aug 2021 (see r. 2(b) and SL 2021/124 cl. 2)</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(Water Corporations Charges) Amendment Regulations (No. 2) 2021</w:t>
            </w:r>
          </w:p>
        </w:tc>
        <w:tc>
          <w:tcPr>
            <w:tcW w:w="1276" w:type="dxa"/>
            <w:gridSpan w:val="2"/>
            <w:tcBorders>
              <w:top w:val="nil"/>
              <w:bottom w:val="single" w:sz="4" w:space="0" w:color="auto"/>
            </w:tcBorders>
            <w:shd w:val="clear" w:color="auto" w:fill="auto"/>
          </w:tcPr>
          <w:p>
            <w:pPr>
              <w:pStyle w:val="nTable"/>
              <w:spacing w:after="40"/>
            </w:pPr>
            <w:r>
              <w:t>SL 2021/144 13 Aug 2021</w:t>
            </w:r>
          </w:p>
        </w:tc>
        <w:tc>
          <w:tcPr>
            <w:tcW w:w="2693" w:type="dxa"/>
            <w:gridSpan w:val="2"/>
            <w:tcBorders>
              <w:top w:val="nil"/>
              <w:bottom w:val="single" w:sz="4" w:space="0" w:color="auto"/>
            </w:tcBorders>
            <w:shd w:val="clear" w:color="auto" w:fill="auto"/>
          </w:tcPr>
          <w:p>
            <w:pPr>
              <w:pStyle w:val="nTable"/>
              <w:spacing w:after="40"/>
              <w:rPr>
                <w:bCs/>
                <w:snapToGrid w:val="0"/>
              </w:rPr>
            </w:pPr>
            <w:r>
              <w:rPr>
                <w:bCs/>
                <w:snapToGrid w:val="0"/>
              </w:rPr>
              <w:t xml:space="preserve">r. 1 and 2: </w:t>
            </w:r>
            <w:r>
              <w:t>13 Aug 2021</w:t>
            </w:r>
            <w:r>
              <w:rPr>
                <w:bCs/>
                <w:snapToGrid w:val="0"/>
              </w:rPr>
              <w:t xml:space="preserve"> (see r. 2(a));</w:t>
            </w:r>
            <w:r>
              <w:rPr>
                <w:bCs/>
                <w:snapToGrid w:val="0"/>
              </w:rPr>
              <w:br/>
              <w:t xml:space="preserve">Regulations other than r. 1 and 2: </w:t>
            </w:r>
            <w:r>
              <w:t>14 Aug 2021 (see r. 2(b))</w:t>
            </w:r>
          </w:p>
        </w:tc>
      </w:tr>
    </w:tbl>
    <w:p>
      <w:pPr>
        <w:pStyle w:val="nHeading3"/>
      </w:pPr>
      <w:bookmarkStart w:id="381" w:name="_Toc106180083"/>
      <w:r>
        <w:t>Uncommenced provisions table</w:t>
      </w:r>
      <w:bookmarkEnd w:id="381"/>
    </w:p>
    <w:p>
      <w:pPr>
        <w:pStyle w:val="nStatement"/>
        <w:keepNext/>
        <w:spacing w:after="240"/>
      </w:pPr>
      <w:r>
        <w:t xml:space="preserve">To view the text of the uncommenced provisions see </w:t>
      </w:r>
      <w:r>
        <w:rPr>
          <w:i/>
        </w:rPr>
        <w:t xml:space="preserve">Subsidiary legislation as made </w:t>
      </w:r>
      <w:r>
        <w:t>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Water Services (Water Corporations Charges) Amendment Regulations 2022</w:t>
            </w:r>
            <w:r>
              <w:t xml:space="preserve"> r. 3 and 4</w:t>
            </w:r>
          </w:p>
        </w:tc>
        <w:tc>
          <w:tcPr>
            <w:tcW w:w="1276" w:type="dxa"/>
            <w:tcBorders>
              <w:bottom w:val="nil"/>
            </w:tcBorders>
          </w:tcPr>
          <w:p>
            <w:pPr>
              <w:pStyle w:val="nTable"/>
              <w:spacing w:after="40"/>
            </w:pPr>
            <w:r>
              <w:t>SL 2022/2</w:t>
            </w:r>
            <w:r>
              <w:br/>
              <w:t>18 Jan 2022</w:t>
            </w:r>
          </w:p>
        </w:tc>
        <w:tc>
          <w:tcPr>
            <w:tcW w:w="2693" w:type="dxa"/>
            <w:tcBorders>
              <w:bottom w:val="nil"/>
            </w:tcBorders>
          </w:tcPr>
          <w:p>
            <w:pPr>
              <w:pStyle w:val="nTable"/>
              <w:spacing w:after="40"/>
            </w:pPr>
            <w:r>
              <w:t>1 Jul 2022 (see r. 2(b) and SL 2022/77 cl. 2)</w:t>
            </w:r>
          </w:p>
        </w:tc>
      </w:tr>
      <w:tr>
        <w:tc>
          <w:tcPr>
            <w:tcW w:w="3118" w:type="dxa"/>
            <w:tcBorders>
              <w:top w:val="nil"/>
            </w:tcBorders>
          </w:tcPr>
          <w:p>
            <w:pPr>
              <w:pStyle w:val="nTable"/>
              <w:spacing w:after="40"/>
              <w:rPr>
                <w:i/>
              </w:rPr>
            </w:pPr>
            <w:r>
              <w:rPr>
                <w:i/>
              </w:rPr>
              <w:lastRenderedPageBreak/>
              <w:t>Water Services Regulations Amendment (Fees and Charges) Regulations 2022</w:t>
            </w:r>
            <w:r>
              <w:t xml:space="preserve"> Pt. 2</w:t>
            </w:r>
          </w:p>
        </w:tc>
        <w:tc>
          <w:tcPr>
            <w:tcW w:w="1276" w:type="dxa"/>
            <w:tcBorders>
              <w:top w:val="nil"/>
            </w:tcBorders>
          </w:tcPr>
          <w:p>
            <w:pPr>
              <w:pStyle w:val="nTable"/>
              <w:spacing w:after="40"/>
            </w:pPr>
            <w:r>
              <w:t>SL 2022/82 17 Jun 2022</w:t>
            </w:r>
          </w:p>
        </w:tc>
        <w:tc>
          <w:tcPr>
            <w:tcW w:w="2693" w:type="dxa"/>
            <w:tcBorders>
              <w:top w:val="nil"/>
            </w:tcBorders>
          </w:tcPr>
          <w:p>
            <w:pPr>
              <w:pStyle w:val="nTable"/>
              <w:spacing w:after="40"/>
            </w:pPr>
            <w:r>
              <w:t>1 Jul 2022 (see r. 2(b))</w:t>
            </w:r>
          </w:p>
        </w:tc>
      </w:tr>
    </w:tbl>
    <w:p>
      <w:pPr>
        <w:pStyle w:val="nHeading3"/>
      </w:pPr>
      <w:bookmarkStart w:id="382" w:name="_Toc106180084"/>
      <w:r>
        <w:t>Other notes</w:t>
      </w:r>
      <w:bookmarkEnd w:id="382"/>
    </w:p>
    <w:p>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384" w:name="_Toc106104101"/>
      <w:bookmarkStart w:id="385" w:name="_Toc106104329"/>
      <w:bookmarkStart w:id="386" w:name="_Toc106179857"/>
      <w:bookmarkStart w:id="387" w:name="_Toc106180085"/>
      <w:r>
        <w:rPr>
          <w:sz w:val="28"/>
        </w:rPr>
        <w:lastRenderedPageBreak/>
        <w:t>Defined terms</w:t>
      </w:r>
      <w:bookmarkEnd w:id="384"/>
      <w:bookmarkEnd w:id="385"/>
      <w:bookmarkEnd w:id="386"/>
      <w:bookmarkEnd w:id="3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aged home</w:t>
      </w:r>
      <w:r>
        <w:tab/>
        <w:t>16(1)</w:t>
      </w:r>
    </w:p>
    <w:p>
      <w:pPr>
        <w:pStyle w:val="DefinedTerms"/>
      </w:pPr>
      <w:r>
        <w:t>alienated land</w:t>
      </w:r>
      <w:r>
        <w:tab/>
        <w:t>16(1)</w:t>
      </w:r>
    </w:p>
    <w:p>
      <w:pPr>
        <w:pStyle w:val="DefinedTerms"/>
      </w:pPr>
      <w:r>
        <w:t>approved meter</w:t>
      </w:r>
      <w:r>
        <w:tab/>
        <w:t>23(1)</w:t>
      </w:r>
    </w:p>
    <w:p>
      <w:pPr>
        <w:pStyle w:val="DefinedTerms"/>
      </w:pPr>
      <w:r>
        <w:t>B.O.D.</w:t>
      </w:r>
      <w:r>
        <w:tab/>
        <w:t>Sch. 4 cl. 30(1)</w:t>
      </w:r>
    </w:p>
    <w:p>
      <w:pPr>
        <w:pStyle w:val="DefinedTerms"/>
      </w:pPr>
      <w:r>
        <w:t>boundary volume</w:t>
      </w:r>
      <w:r>
        <w:tab/>
        <w:t>16(1)</w:t>
      </w:r>
    </w:p>
    <w:p>
      <w:pPr>
        <w:pStyle w:val="DefinedTerms"/>
      </w:pPr>
      <w:r>
        <w:t>caravan bay</w:t>
      </w:r>
      <w:r>
        <w:tab/>
        <w:t>16(1)</w:t>
      </w:r>
    </w:p>
    <w:p>
      <w:pPr>
        <w:pStyle w:val="DefinedTerms"/>
      </w:pPr>
      <w:r>
        <w:t>central business districts</w:t>
      </w:r>
      <w:r>
        <w:tab/>
        <w:t>16(1)</w:t>
      </w:r>
    </w:p>
    <w:p>
      <w:pPr>
        <w:pStyle w:val="DefinedTerms"/>
      </w:pPr>
      <w:r>
        <w:t>change of circumstances</w:t>
      </w:r>
      <w:r>
        <w:tab/>
        <w:t>16(1)</w:t>
      </w:r>
    </w:p>
    <w:p>
      <w:pPr>
        <w:pStyle w:val="DefinedTerms"/>
      </w:pPr>
      <w:r>
        <w:t>charge period</w:t>
      </w:r>
      <w:r>
        <w:tab/>
        <w:t>3(1)</w:t>
      </w:r>
    </w:p>
    <w:p>
      <w:pPr>
        <w:pStyle w:val="DefinedTerms"/>
      </w:pPr>
      <w:r>
        <w:t>charitable purposes</w:t>
      </w:r>
      <w:r>
        <w:tab/>
        <w:t>16(1)</w:t>
      </w:r>
    </w:p>
    <w:p>
      <w:pPr>
        <w:pStyle w:val="DefinedTerms"/>
      </w:pPr>
      <w:r>
        <w:t>c/kg</w:t>
      </w:r>
      <w:r>
        <w:tab/>
        <w:t>Sch. 4 cl. 30(1)</w:t>
      </w:r>
    </w:p>
    <w:p>
      <w:pPr>
        <w:pStyle w:val="DefinedTerms"/>
      </w:pPr>
      <w:r>
        <w:t>c/kL</w:t>
      </w:r>
      <w:r>
        <w:tab/>
        <w:t>Sch. 4 cl. 30(1)</w:t>
      </w:r>
    </w:p>
    <w:p>
      <w:pPr>
        <w:pStyle w:val="DefinedTerms"/>
      </w:pPr>
      <w:r>
        <w:t>combined charge</w:t>
      </w:r>
      <w:r>
        <w:tab/>
        <w:t>42(1)</w:t>
      </w:r>
    </w:p>
    <w:p>
      <w:pPr>
        <w:pStyle w:val="DefinedTerms"/>
      </w:pPr>
      <w:r>
        <w:t>commercial standpipe</w:t>
      </w:r>
      <w:r>
        <w:tab/>
        <w:t>36A(1)</w:t>
      </w:r>
    </w:p>
    <w:p>
      <w:pPr>
        <w:pStyle w:val="DefinedTerms"/>
      </w:pPr>
      <w:r>
        <w:t>Commonwealth seniors health card</w:t>
      </w:r>
      <w:r>
        <w:tab/>
        <w:t>3(1)</w:t>
      </w:r>
    </w:p>
    <w:p>
      <w:pPr>
        <w:pStyle w:val="DefinedTerms"/>
      </w:pPr>
      <w:r>
        <w:t>community titles scheme</w:t>
      </w:r>
      <w:r>
        <w:tab/>
        <w:t>16(1)</w:t>
      </w:r>
    </w:p>
    <w:p>
      <w:pPr>
        <w:pStyle w:val="DefinedTerms"/>
      </w:pPr>
      <w:r>
        <w:t>concessional land</w:t>
      </w:r>
      <w:r>
        <w:tab/>
        <w:t>16(1)</w:t>
      </w:r>
    </w:p>
    <w:p>
      <w:pPr>
        <w:pStyle w:val="DefinedTerms"/>
      </w:pPr>
      <w:r>
        <w:t>concession card holder</w:t>
      </w:r>
      <w:r>
        <w:tab/>
        <w:t>16(1)</w:t>
      </w:r>
    </w:p>
    <w:p>
      <w:pPr>
        <w:pStyle w:val="DefinedTerms"/>
      </w:pPr>
      <w:r>
        <w:t>consumption year</w:t>
      </w:r>
      <w:r>
        <w:tab/>
        <w:t>6, 11, 16(1)</w:t>
      </w:r>
    </w:p>
    <w:p>
      <w:pPr>
        <w:pStyle w:val="DefinedTerms"/>
      </w:pPr>
      <w:r>
        <w:t>cost of sampling</w:t>
      </w:r>
      <w:r>
        <w:tab/>
        <w:t>Sch. 7 cl. 13(1)</w:t>
      </w:r>
    </w:p>
    <w:p>
      <w:pPr>
        <w:pStyle w:val="DefinedTerms"/>
      </w:pPr>
      <w:r>
        <w:t>desalinated water</w:t>
      </w:r>
      <w:r>
        <w:tab/>
        <w:t>16(1)</w:t>
      </w:r>
    </w:p>
    <w:p>
      <w:pPr>
        <w:pStyle w:val="DefinedTerms"/>
      </w:pPr>
      <w:r>
        <w:t>development</w:t>
      </w:r>
      <w:r>
        <w:tab/>
        <w:t>47(4)</w:t>
      </w:r>
    </w:p>
    <w:p>
      <w:pPr>
        <w:pStyle w:val="DefinedTerms"/>
      </w:pPr>
      <w:r>
        <w:t>discharge factor</w:t>
      </w:r>
      <w:r>
        <w:tab/>
        <w:t>16(1)</w:t>
      </w:r>
    </w:p>
    <w:p>
      <w:pPr>
        <w:pStyle w:val="DefinedTerms"/>
      </w:pPr>
      <w:r>
        <w:t>discharge volume</w:t>
      </w:r>
      <w:r>
        <w:tab/>
        <w:t>16(1)</w:t>
      </w:r>
    </w:p>
    <w:p>
      <w:pPr>
        <w:pStyle w:val="DefinedTerms"/>
      </w:pPr>
      <w:r>
        <w:t>discharge year</w:t>
      </w:r>
      <w:r>
        <w:tab/>
        <w:t>16(1)</w:t>
      </w:r>
    </w:p>
    <w:p>
      <w:pPr>
        <w:pStyle w:val="DefinedTerms"/>
      </w:pPr>
      <w:r>
        <w:t>drainage area</w:t>
      </w:r>
      <w:r>
        <w:tab/>
        <w:t>16(1)</w:t>
      </w:r>
    </w:p>
    <w:p>
      <w:pPr>
        <w:pStyle w:val="DefinedTerms"/>
      </w:pPr>
      <w:r>
        <w:t>drainage charge</w:t>
      </w:r>
      <w:r>
        <w:tab/>
        <w:t>16(1)</w:t>
      </w:r>
    </w:p>
    <w:p>
      <w:pPr>
        <w:pStyle w:val="DefinedTerms"/>
      </w:pPr>
      <w:r>
        <w:t>eligible pensioner</w:t>
      </w:r>
      <w:r>
        <w:tab/>
        <w:t>3(1)</w:t>
      </w:r>
    </w:p>
    <w:p>
      <w:pPr>
        <w:pStyle w:val="DefinedTerms"/>
      </w:pPr>
      <w:r>
        <w:t>financial year</w:t>
      </w:r>
      <w:r>
        <w:tab/>
        <w:t>6, 11, 16(1)</w:t>
      </w:r>
    </w:p>
    <w:p>
      <w:pPr>
        <w:pStyle w:val="DefinedTerms"/>
      </w:pPr>
      <w:r>
        <w:t>garden service connection</w:t>
      </w:r>
      <w:r>
        <w:tab/>
        <w:t>3(1)</w:t>
      </w:r>
    </w:p>
    <w:p>
      <w:pPr>
        <w:pStyle w:val="DefinedTerms"/>
      </w:pPr>
      <w:r>
        <w:t>government trading organisation</w:t>
      </w:r>
      <w:r>
        <w:tab/>
        <w:t>16(1)</w:t>
      </w:r>
    </w:p>
    <w:p>
      <w:pPr>
        <w:pStyle w:val="DefinedTerms"/>
      </w:pPr>
      <w:r>
        <w:t>GRV</w:t>
      </w:r>
      <w:r>
        <w:tab/>
        <w:t>16(1)</w:t>
      </w:r>
    </w:p>
    <w:p>
      <w:pPr>
        <w:pStyle w:val="DefinedTerms"/>
      </w:pPr>
      <w:r>
        <w:t>holiday accommodation</w:t>
      </w:r>
      <w:r>
        <w:tab/>
        <w:t>16(1)</w:t>
      </w:r>
    </w:p>
    <w:p>
      <w:pPr>
        <w:pStyle w:val="DefinedTerms"/>
      </w:pPr>
      <w:r>
        <w:t>hydrant standpipe</w:t>
      </w:r>
      <w:r>
        <w:tab/>
        <w:t>16(1)</w:t>
      </w:r>
    </w:p>
    <w:p>
      <w:pPr>
        <w:pStyle w:val="DefinedTerms"/>
      </w:pPr>
      <w:r>
        <w:t>irrigation district</w:t>
      </w:r>
      <w:r>
        <w:tab/>
        <w:t>16(1)</w:t>
      </w:r>
    </w:p>
    <w:p>
      <w:pPr>
        <w:pStyle w:val="DefinedTerms"/>
      </w:pPr>
      <w:r>
        <w:t>irrigation works</w:t>
      </w:r>
      <w:r>
        <w:tab/>
        <w:t>16(1)</w:t>
      </w:r>
    </w:p>
    <w:p>
      <w:pPr>
        <w:pStyle w:val="DefinedTerms"/>
      </w:pPr>
      <w:r>
        <w:t>local government standpipe</w:t>
      </w:r>
      <w:r>
        <w:tab/>
        <w:t>16(1)</w:t>
      </w:r>
    </w:p>
    <w:p>
      <w:pPr>
        <w:pStyle w:val="DefinedTerms"/>
      </w:pPr>
      <w:r>
        <w:t>long-term residential caravan bay</w:t>
      </w:r>
      <w:r>
        <w:tab/>
        <w:t>16(1)</w:t>
      </w:r>
    </w:p>
    <w:p>
      <w:pPr>
        <w:pStyle w:val="DefinedTerms"/>
      </w:pPr>
      <w:r>
        <w:t>lot</w:t>
      </w:r>
      <w:r>
        <w:tab/>
        <w:t>6, 11, 16(1)</w:t>
      </w:r>
    </w:p>
    <w:p>
      <w:pPr>
        <w:pStyle w:val="DefinedTerms"/>
      </w:pPr>
      <w:r>
        <w:t>major fixture</w:t>
      </w:r>
      <w:r>
        <w:tab/>
        <w:t>16(1)</w:t>
      </w:r>
    </w:p>
    <w:p>
      <w:pPr>
        <w:pStyle w:val="DefinedTerms"/>
      </w:pPr>
      <w:r>
        <w:lastRenderedPageBreak/>
        <w:t>non-commercial government property</w:t>
      </w:r>
      <w:r>
        <w:tab/>
        <w:t>16(1)</w:t>
      </w:r>
    </w:p>
    <w:p>
      <w:pPr>
        <w:pStyle w:val="DefinedTerms"/>
      </w:pPr>
      <w:r>
        <w:t>non-profit private organisation</w:t>
      </w:r>
      <w:r>
        <w:tab/>
        <w:t>16(1)</w:t>
      </w:r>
    </w:p>
    <w:p>
      <w:pPr>
        <w:pStyle w:val="DefinedTerms"/>
      </w:pPr>
      <w:r>
        <w:t>non-residential lot</w:t>
      </w:r>
      <w:r>
        <w:tab/>
        <w:t>6, 11</w:t>
      </w:r>
    </w:p>
    <w:p>
      <w:pPr>
        <w:pStyle w:val="DefinedTerms"/>
      </w:pPr>
      <w:r>
        <w:t>nursing home</w:t>
      </w:r>
      <w:r>
        <w:tab/>
        <w:t>16(1)</w:t>
      </w:r>
    </w:p>
    <w:p>
      <w:pPr>
        <w:pStyle w:val="DefinedTerms"/>
      </w:pPr>
      <w:r>
        <w:t>old provision</w:t>
      </w:r>
      <w:r>
        <w:tab/>
        <w:t>55(1)</w:t>
      </w:r>
    </w:p>
    <w:p>
      <w:pPr>
        <w:pStyle w:val="DefinedTerms"/>
      </w:pPr>
      <w:r>
        <w:t>park home</w:t>
      </w:r>
      <w:r>
        <w:tab/>
        <w:t>16(1)</w:t>
      </w:r>
    </w:p>
    <w:p>
      <w:pPr>
        <w:pStyle w:val="DefinedTerms"/>
      </w:pPr>
      <w:r>
        <w:t>permitted surcharge</w:t>
      </w:r>
      <w:r>
        <w:tab/>
        <w:t>15A(1), 20(1)</w:t>
      </w:r>
    </w:p>
    <w:p>
      <w:pPr>
        <w:pStyle w:val="DefinedTerms"/>
      </w:pPr>
      <w:r>
        <w:t>product evaluation</w:t>
      </w:r>
      <w:r>
        <w:tab/>
        <w:t>Sch. 7 cl. 13(1)</w:t>
      </w:r>
    </w:p>
    <w:p>
      <w:pPr>
        <w:pStyle w:val="DefinedTerms"/>
      </w:pPr>
      <w:r>
        <w:t>public land</w:t>
      </w:r>
      <w:r>
        <w:tab/>
        <w:t>16(1)</w:t>
      </w:r>
    </w:p>
    <w:p>
      <w:pPr>
        <w:pStyle w:val="DefinedTerms"/>
      </w:pPr>
      <w:r>
        <w:t>RBA Standard No. 3 of 2016</w:t>
      </w:r>
      <w:r>
        <w:tab/>
        <w:t>15A(1), 20(1)</w:t>
      </w:r>
    </w:p>
    <w:p>
      <w:pPr>
        <w:pStyle w:val="DefinedTerms"/>
      </w:pPr>
      <w:r>
        <w:t>registered pensioner</w:t>
      </w:r>
      <w:r>
        <w:tab/>
        <w:t>3(1)</w:t>
      </w:r>
    </w:p>
    <w:p>
      <w:pPr>
        <w:pStyle w:val="DefinedTerms"/>
      </w:pPr>
      <w:r>
        <w:t>registered senior</w:t>
      </w:r>
      <w:r>
        <w:tab/>
        <w:t>3(1)</w:t>
      </w:r>
    </w:p>
    <w:p>
      <w:pPr>
        <w:pStyle w:val="DefinedTerms"/>
      </w:pPr>
      <w:r>
        <w:t>residential lot</w:t>
      </w:r>
      <w:r>
        <w:tab/>
        <w:t>6, 11</w:t>
      </w:r>
    </w:p>
    <w:p>
      <w:pPr>
        <w:pStyle w:val="DefinedTerms"/>
      </w:pPr>
      <w:r>
        <w:t>residential property</w:t>
      </w:r>
      <w:r>
        <w:tab/>
        <w:t>16(1)</w:t>
      </w:r>
    </w:p>
    <w:p>
      <w:pPr>
        <w:pStyle w:val="DefinedTerms"/>
      </w:pPr>
      <w:r>
        <w:t>residential rate</w:t>
      </w:r>
      <w:r>
        <w:tab/>
        <w:t>27(3)</w:t>
      </w:r>
    </w:p>
    <w:p>
      <w:pPr>
        <w:pStyle w:val="DefinedTerms"/>
      </w:pPr>
      <w:r>
        <w:t>retirement village</w:t>
      </w:r>
      <w:r>
        <w:tab/>
        <w:t>16(1)</w:t>
      </w:r>
    </w:p>
    <w:p>
      <w:pPr>
        <w:pStyle w:val="DefinedTerms"/>
      </w:pPr>
      <w:r>
        <w:t>rural land</w:t>
      </w:r>
      <w:r>
        <w:tab/>
        <w:t>47(4)</w:t>
      </w:r>
    </w:p>
    <w:p>
      <w:pPr>
        <w:pStyle w:val="DefinedTerms"/>
      </w:pPr>
      <w:r>
        <w:t>scheme plan</w:t>
      </w:r>
      <w:r>
        <w:tab/>
        <w:t>16(1)</w:t>
      </w:r>
    </w:p>
    <w:p>
      <w:pPr>
        <w:pStyle w:val="DefinedTerms"/>
      </w:pPr>
      <w:r>
        <w:t>semi-rural residential property</w:t>
      </w:r>
      <w:r>
        <w:tab/>
        <w:t>16(1)</w:t>
      </w:r>
    </w:p>
    <w:p>
      <w:pPr>
        <w:pStyle w:val="DefinedTerms"/>
      </w:pPr>
      <w:r>
        <w:t>sewerage area</w:t>
      </w:r>
      <w:r>
        <w:tab/>
        <w:t>16(1)</w:t>
      </w:r>
    </w:p>
    <w:p>
      <w:pPr>
        <w:pStyle w:val="DefinedTerms"/>
      </w:pPr>
      <w:r>
        <w:t>sewerage charge</w:t>
      </w:r>
      <w:r>
        <w:tab/>
        <w:t>16(1)</w:t>
      </w:r>
    </w:p>
    <w:p>
      <w:pPr>
        <w:pStyle w:val="DefinedTerms"/>
      </w:pPr>
      <w:r>
        <w:t>shared grease arrestor</w:t>
      </w:r>
      <w:r>
        <w:tab/>
        <w:t>Sch. 4 cl. 8(1)</w:t>
      </w:r>
    </w:p>
    <w:p>
      <w:pPr>
        <w:pStyle w:val="DefinedTerms"/>
      </w:pPr>
      <w:r>
        <w:t>single capital infrastructure charge</w:t>
      </w:r>
      <w:r>
        <w:tab/>
        <w:t>16(1)</w:t>
      </w:r>
    </w:p>
    <w:p>
      <w:pPr>
        <w:pStyle w:val="DefinedTerms"/>
      </w:pPr>
      <w:r>
        <w:t>special meter reading</w:t>
      </w:r>
      <w:r>
        <w:tab/>
        <w:t>16(1)</w:t>
      </w:r>
    </w:p>
    <w:p>
      <w:pPr>
        <w:pStyle w:val="DefinedTerms"/>
      </w:pPr>
      <w:r>
        <w:t>strata-titled caravan bay</w:t>
      </w:r>
      <w:r>
        <w:tab/>
        <w:t>16(1)</w:t>
      </w:r>
    </w:p>
    <w:p>
      <w:pPr>
        <w:pStyle w:val="DefinedTerms"/>
      </w:pPr>
      <w:r>
        <w:t>strata titles scheme</w:t>
      </w:r>
      <w:r>
        <w:tab/>
        <w:t>16(1)</w:t>
      </w:r>
    </w:p>
    <w:p>
      <w:pPr>
        <w:pStyle w:val="DefinedTerms"/>
      </w:pPr>
      <w:r>
        <w:t>trade waste charge</w:t>
      </w:r>
      <w:r>
        <w:tab/>
        <w:t>19(1)</w:t>
      </w:r>
    </w:p>
    <w:p>
      <w:pPr>
        <w:pStyle w:val="DefinedTerms"/>
      </w:pPr>
      <w:r>
        <w:t>vacant land</w:t>
      </w:r>
      <w:r>
        <w:tab/>
        <w:t>3(1)</w:t>
      </w:r>
    </w:p>
    <w:p>
      <w:pPr>
        <w:pStyle w:val="DefinedTerms"/>
      </w:pPr>
      <w:r>
        <w:t>water deficiency declaration</w:t>
      </w:r>
      <w:r>
        <w:tab/>
        <w:t>36A(1)</w:t>
      </w:r>
    </w:p>
    <w:p>
      <w:pPr>
        <w:pStyle w:val="DefinedTerms"/>
      </w:pPr>
      <w:r>
        <w:t>water supply charge</w:t>
      </w:r>
      <w:r>
        <w:tab/>
        <w:t>16(1)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01-u0-00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01-u0-00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gridAfter w:val="1"/>
        <w:wAfter w:w="5715" w:type="dxa"/>
        <w:jc w:val="center"/>
      </w:trPr>
      <w:tc>
        <w:tcPr>
          <w:tcW w:w="15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357" w:name="Schedule"/>
    <w:bookmarkEnd w:id="3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83" w:name="Compilation"/>
    <w:bookmarkEnd w:id="38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8" w:name="DefinedTerms"/>
    <w:bookmarkEnd w:id="388"/>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9" w:name="Coversheet"/>
    <w:bookmarkEnd w:id="38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88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25414"/>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 w:name="WAFER_2020092216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5943_GUID" w:val="5a4b82fa-dc42-4d08-8dcf-b34a7d2eed38"/>
    <w:docVar w:name="WAFER_20210615150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0827_GUID" w:val="cc40ca22-cd95-4a87-bfde-b4c73e97873c"/>
    <w:docVar w:name="WAFER_20210622145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5254_GUID" w:val="694bf8e5-e38b-46c5-828d-9181dba626bc"/>
    <w:docVar w:name="WAFER_202106251106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654_GUID" w:val="b7a7f35d-22bd-437d-a301-4bde57a99c0a"/>
    <w:docVar w:name="WAFER_20210714113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3319_GUID" w:val="88d4e11c-77d2-4eec-b23c-acff7ab79fa3"/>
    <w:docVar w:name="WAFER_20210726150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0026_GUID" w:val="65363b84-1c86-42fc-92f8-1e0d3972d7d9"/>
    <w:docVar w:name="WAFER_20210810120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0823_GUID" w:val="29a6cb5b-b95d-4f28-b61a-5deb6c77a31b"/>
    <w:docVar w:name="WAFER_20220111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53959_GUID" w:val="05eeae70-66be-4020-bbad-ba0356214b31"/>
    <w:docVar w:name="WAFER_20220111160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60047_GUID" w:val="c1cf7778-367f-44d7-bf93-4748ff497ad9"/>
    <w:docVar w:name="WAFER_20220302160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2160136_GUID" w:val="97caea11-fa90-4e3a-84c1-8758b3676175"/>
    <w:docVar w:name="WAFER_202206141254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25414_GUID" w:val="6cb2f04a-8351-438b-8b92-015dcdd08e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5:docId w15:val="{AF26BC4C-07BB-4555-AB6C-4A55C41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0356F-156F-40D6-B96A-4B7DE7F5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28068</Words>
  <Characters>135008</Characters>
  <Application>Microsoft Office Word</Application>
  <DocSecurity>0</DocSecurity>
  <Lines>5869</Lines>
  <Paragraphs>4659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2014 - 01-u0-00</dc:title>
  <dc:subject/>
  <dc:creator/>
  <cp:keywords/>
  <dc:description/>
  <cp:lastModifiedBy>Master Repository Process</cp:lastModifiedBy>
  <cp:revision>4</cp:revision>
  <cp:lastPrinted>2019-06-24T04:53:00Z</cp:lastPrinted>
  <dcterms:created xsi:type="dcterms:W3CDTF">2022-06-17T03:12:00Z</dcterms:created>
  <dcterms:modified xsi:type="dcterms:W3CDTF">2022-06-17T03:12:00Z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AsAtDate">
    <vt:lpwstr>17 Jun 2022</vt:lpwstr>
  </property>
  <property fmtid="{D5CDD505-2E9C-101B-9397-08002B2CF9AE}" pid="7" name="Suffix">
    <vt:lpwstr>01-u0-00</vt:lpwstr>
  </property>
  <property fmtid="{D5CDD505-2E9C-101B-9397-08002B2CF9AE}" pid="8" name="CommencementDate">
    <vt:lpwstr>20220617</vt:lpwstr>
  </property>
</Properties>
</file>