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_Toc106204978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_Toc106204979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_Toc106204980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_Toc106204981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_Toc106204982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_Toc106204983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_Toc106204984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_Toc106204985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9(2)(b))</w:t>
      </w:r>
      <w:r>
        <w:tab/>
      </w:r>
      <w:r>
        <w:fldChar w:fldCharType="begin"/>
      </w:r>
      <w:r>
        <w:instrText xml:space="preserve"> PAGEREF _Toc106204986 \h </w:instrText>
      </w:r>
      <w:r>
        <w:fldChar w:fldCharType="separate"/>
      </w:r>
      <w:r>
        <w:t>5</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_Toc106204987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_Toc106204988 \h </w:instrText>
      </w:r>
      <w:r>
        <w:fldChar w:fldCharType="separate"/>
      </w:r>
      <w:r>
        <w:t>6</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_Toc106204989 \h </w:instrText>
      </w:r>
      <w:r>
        <w:fldChar w:fldCharType="separate"/>
      </w:r>
      <w:r>
        <w:t>7</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_Toc106204990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_Toc106204991 \h </w:instrText>
      </w:r>
      <w:r>
        <w:fldChar w:fldCharType="separate"/>
      </w:r>
      <w:r>
        <w:t>8</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_Toc106204992 \h </w:instrText>
      </w:r>
      <w:r>
        <w:fldChar w:fldCharType="separate"/>
      </w:r>
      <w:r>
        <w:t>8</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_Toc106204993 \h </w:instrText>
      </w:r>
      <w:r>
        <w:fldChar w:fldCharType="separate"/>
      </w:r>
      <w:r>
        <w:t>8</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_Toc106204994 \h </w:instrText>
      </w:r>
      <w:r>
        <w:fldChar w:fldCharType="separate"/>
      </w:r>
      <w:r>
        <w:t>9</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_Toc106204995 \h </w:instrText>
      </w:r>
      <w:r>
        <w:fldChar w:fldCharType="separate"/>
      </w:r>
      <w:r>
        <w:t>10</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_Toc106204996 \h </w:instrText>
      </w:r>
      <w:r>
        <w:fldChar w:fldCharType="separate"/>
      </w:r>
      <w:r>
        <w:t>10</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_Toc106204997 \h </w:instrText>
      </w:r>
      <w:r>
        <w:fldChar w:fldCharType="separate"/>
      </w:r>
      <w:r>
        <w:t>10</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_Toc106204998 \h </w:instrText>
      </w:r>
      <w:r>
        <w:fldChar w:fldCharType="separate"/>
      </w:r>
      <w:r>
        <w:t>10</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_Toc106204999 \h </w:instrText>
      </w:r>
      <w:r>
        <w:fldChar w:fldCharType="separate"/>
      </w:r>
      <w:r>
        <w:t>11</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_Toc106205000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24.</w:t>
      </w:r>
      <w:r>
        <w:tab/>
        <w:t>Duration of approval to breed cats (s. 37(6))</w:t>
      </w:r>
      <w:r>
        <w:tab/>
      </w:r>
      <w:r>
        <w:fldChar w:fldCharType="begin"/>
      </w:r>
      <w:r>
        <w:instrText xml:space="preserve"> PAGEREF _Toc106205001 \h </w:instrText>
      </w:r>
      <w:r>
        <w:fldChar w:fldCharType="separate"/>
      </w:r>
      <w:r>
        <w:t>12</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_Toc106205002 \h </w:instrText>
      </w:r>
      <w:r>
        <w:fldChar w:fldCharType="separate"/>
      </w:r>
      <w:r>
        <w:t>12</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_Toc106205003 \h </w:instrText>
      </w:r>
      <w:r>
        <w:fldChar w:fldCharType="separate"/>
      </w:r>
      <w:r>
        <w:t>12</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_Toc106205004 \h </w:instrText>
      </w:r>
      <w:r>
        <w:fldChar w:fldCharType="separate"/>
      </w:r>
      <w:r>
        <w:t>12</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_Toc106205005 \h </w:instrText>
      </w:r>
      <w:r>
        <w:fldChar w:fldCharType="separate"/>
      </w:r>
      <w:r>
        <w:t>12</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_Toc106205006 \h </w:instrText>
      </w:r>
      <w:r>
        <w:fldChar w:fldCharType="separate"/>
      </w:r>
      <w:r>
        <w:t>12</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_Toc106205007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_Toc106205011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_Toc106205013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Cat Act 2011</w:t>
      </w:r>
    </w:p>
    <w:p>
      <w:pPr>
        <w:pStyle w:val="NameofActReg"/>
      </w:pPr>
      <w:r>
        <w:t>Cat Regulations 2012</w:t>
      </w:r>
    </w:p>
    <w:p>
      <w:pPr>
        <w:pStyle w:val="Heading5"/>
      </w:pPr>
      <w:bookmarkStart w:id="3" w:name="_Toc106204978"/>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t>.</w:t>
      </w:r>
    </w:p>
    <w:p>
      <w:pPr>
        <w:pStyle w:val="Heading5"/>
      </w:pPr>
      <w:bookmarkStart w:id="5" w:name="_Toc106204979"/>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6" w:name="_Toc106204980"/>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7" w:name="_Toc106204981"/>
      <w:r>
        <w:rPr>
          <w:rStyle w:val="CharSectno"/>
        </w:rPr>
        <w:lastRenderedPageBreak/>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8" w:name="_Toc106204982"/>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9" w:name="_Toc106204983"/>
      <w:r>
        <w:rPr>
          <w:rStyle w:val="CharSectno"/>
        </w:rPr>
        <w:t>6</w:t>
      </w:r>
      <w:r>
        <w:t>.</w:t>
      </w:r>
      <w:r>
        <w:tab/>
        <w:t>Microchip database companies (s. 3(1))</w:t>
      </w:r>
      <w:bookmarkEnd w:id="9"/>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lastRenderedPageBreak/>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0" w:name="_Toc106204984"/>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Practice Act 2021</w:t>
      </w:r>
      <w:r>
        <w:t xml:space="preserve"> section 3.</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lastRenderedPageBreak/>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keepNext/>
      </w:pPr>
      <w:r>
        <w:tab/>
        <w:t>(3)</w:t>
      </w:r>
      <w:r>
        <w:tab/>
        <w:t xml:space="preserve">In subregulation (2) — </w:t>
      </w:r>
    </w:p>
    <w:p>
      <w:pPr>
        <w:pStyle w:val="Defstart"/>
        <w:keepNex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 SL 2020/69 r. 4; SL 2022/94 r. 4.]</w:t>
      </w:r>
    </w:p>
    <w:p>
      <w:pPr>
        <w:pStyle w:val="Heading5"/>
      </w:pPr>
      <w:bookmarkStart w:id="11" w:name="_Toc106204985"/>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106204986"/>
      <w:r>
        <w:rPr>
          <w:rStyle w:val="CharSectno"/>
        </w:rPr>
        <w:lastRenderedPageBreak/>
        <w:t>9</w:t>
      </w:r>
      <w:r>
        <w:t>.</w:t>
      </w:r>
      <w:r>
        <w:tab/>
        <w:t>Cats exempt from registration (s. 5(2)(c) and 9(2)(b))</w:t>
      </w:r>
      <w:bookmarkEnd w:id="12"/>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keepNext/>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veterinary premises as defined in the </w:t>
      </w:r>
      <w:r>
        <w:rPr>
          <w:i/>
        </w:rPr>
        <w:t>Veterinary Practice Act 2021</w:t>
      </w:r>
      <w:r>
        <w:t xml:space="preserve"> section 3.</w:t>
      </w:r>
    </w:p>
    <w:p>
      <w:pPr>
        <w:pStyle w:val="Subsection"/>
        <w:keepNext/>
      </w:pPr>
      <w:r>
        <w:tab/>
        <w:t>(3)</w:t>
      </w:r>
      <w:r>
        <w:tab/>
        <w:t>For the purposes of sections 5(2)(c) and 9(2)(b) of the Act, a cat that is in foster care is exempt from registration if —</w:t>
      </w:r>
    </w:p>
    <w:p>
      <w:pPr>
        <w:pStyle w:val="Indenta"/>
        <w:keepNext/>
      </w:pPr>
      <w:r>
        <w:tab/>
        <w:t>(a)</w:t>
      </w:r>
      <w:r>
        <w:tab/>
        <w:t xml:space="preserve">the cat has been placed into that foster care by either of the following — </w:t>
      </w:r>
    </w:p>
    <w:p>
      <w:pPr>
        <w:pStyle w:val="Indenti"/>
      </w:pPr>
      <w:r>
        <w:tab/>
        <w:t>(i)</w:t>
      </w:r>
      <w:r>
        <w:tab/>
        <w:t>Cat Welfare Society Inc., trading as “Cat Haven”;</w:t>
      </w:r>
    </w:p>
    <w:p>
      <w:pPr>
        <w:pStyle w:val="Indenti"/>
        <w:keepNext/>
      </w:pPr>
      <w:r>
        <w:tab/>
        <w:t>(ii)</w:t>
      </w:r>
      <w:r>
        <w:tab/>
        <w:t>Royal Society for the Prevention of Cruelty to Animals Western Australia (Incorporated);</w:t>
      </w:r>
    </w:p>
    <w:p>
      <w:pPr>
        <w:pStyle w:val="Indenta"/>
      </w:pPr>
      <w:r>
        <w:tab/>
      </w:r>
      <w:r>
        <w:tab/>
        <w:t>or</w:t>
      </w:r>
    </w:p>
    <w:p>
      <w:pPr>
        <w:pStyle w:val="Indenta"/>
        <w:keepNext/>
      </w:pPr>
      <w:r>
        <w:lastRenderedPageBreak/>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 amended: SL 2022/94 r. 5.]</w:t>
      </w:r>
    </w:p>
    <w:p>
      <w:pPr>
        <w:pStyle w:val="Heading5"/>
      </w:pPr>
      <w:bookmarkStart w:id="13" w:name="_Toc106204987"/>
      <w:r>
        <w:rPr>
          <w:rStyle w:val="CharSectno"/>
        </w:rPr>
        <w:t>10</w:t>
      </w:r>
      <w:r>
        <w:t>.</w:t>
      </w:r>
      <w:r>
        <w:tab/>
        <w:t>Cats exempt from wearing tag (s. 6(2))</w:t>
      </w:r>
      <w:bookmarkEnd w:id="13"/>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keepNext/>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14" w:name="_Toc106204988"/>
      <w:r>
        <w:rPr>
          <w:rStyle w:val="CharSectno"/>
        </w:rPr>
        <w:t>11</w:t>
      </w:r>
      <w:r>
        <w:t>.</w:t>
      </w:r>
      <w:r>
        <w:tab/>
        <w:t>Application for registration (s. 8(2))</w:t>
      </w:r>
      <w:bookmarkEnd w:id="14"/>
    </w:p>
    <w:p>
      <w:pPr>
        <w:pStyle w:val="Subsection"/>
        <w:keepNext/>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lastRenderedPageBreak/>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keepNext/>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15" w:name="_Toc106204989"/>
      <w:r>
        <w:rPr>
          <w:rStyle w:val="CharSectno"/>
        </w:rPr>
        <w:t>12</w:t>
      </w:r>
      <w:r>
        <w:t>.</w:t>
      </w:r>
      <w:r>
        <w:tab/>
        <w:t>Period of registration (s. 9(7))</w:t>
      </w:r>
      <w:bookmarkEnd w:id="15"/>
    </w:p>
    <w:p>
      <w:pPr>
        <w:pStyle w:val="Subsection"/>
        <w:keepNext/>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keepNext/>
      </w:pPr>
      <w:r>
        <w:tab/>
        <w:t>(2)</w:t>
      </w:r>
      <w:r>
        <w:tab/>
        <w:t xml:space="preserve">Registration of a cat — </w:t>
      </w:r>
    </w:p>
    <w:p>
      <w:pPr>
        <w:pStyle w:val="Indenta"/>
        <w:keepNext/>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keepNext/>
        <w:spacing w:before="70"/>
      </w:pPr>
      <w:r>
        <w:tab/>
        <w:t>(iii)</w:t>
      </w:r>
      <w:r>
        <w:tab/>
        <w:t>in the case of registration for the life of the cat — the death of the cat, unless cancelled sooner;</w:t>
      </w:r>
    </w:p>
    <w:p>
      <w:pPr>
        <w:pStyle w:val="Indenta"/>
        <w:spacing w:before="70"/>
      </w:pPr>
      <w:r>
        <w:tab/>
      </w:r>
      <w:r>
        <w:tab/>
        <w:t>and</w:t>
      </w:r>
    </w:p>
    <w:p>
      <w:pPr>
        <w:pStyle w:val="Indenta"/>
        <w:keepNext/>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16" w:name="_Toc106204990"/>
      <w:r>
        <w:rPr>
          <w:rStyle w:val="CharSectno"/>
        </w:rPr>
        <w:t>13</w:t>
      </w:r>
      <w:r>
        <w:t>.</w:t>
      </w:r>
      <w:r>
        <w:tab/>
        <w:t>Changes in registration</w:t>
      </w:r>
      <w:bookmarkEnd w:id="16"/>
    </w:p>
    <w:p>
      <w:pPr>
        <w:pStyle w:val="Subsection"/>
      </w:pPr>
      <w:r>
        <w:tab/>
      </w:r>
      <w:r>
        <w:tab/>
        <w:t xml:space="preserve">Where a cat is registered with a local government and the owner moves to another local government area, the owner may notify </w:t>
      </w:r>
      <w:r>
        <w:lastRenderedPageBreak/>
        <w:t>both the former and the new local government to continue that period of registration with the new local government.</w:t>
      </w:r>
    </w:p>
    <w:p>
      <w:pPr>
        <w:pStyle w:val="Heading5"/>
      </w:pPr>
      <w:bookmarkStart w:id="17" w:name="_Toc106204991"/>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106204992"/>
      <w:r>
        <w:rPr>
          <w:rStyle w:val="CharSectno"/>
        </w:rPr>
        <w:t>15</w:t>
      </w:r>
      <w:r>
        <w:t>.</w:t>
      </w:r>
      <w:r>
        <w:tab/>
        <w:t>Registration tags (s. 76(2))</w:t>
      </w:r>
      <w:bookmarkEnd w:id="18"/>
    </w:p>
    <w:p>
      <w:pPr>
        <w:pStyle w:val="Subsection"/>
        <w:keepNext/>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106204993"/>
      <w:r>
        <w:rPr>
          <w:rStyle w:val="CharSectno"/>
        </w:rPr>
        <w:t>16</w:t>
      </w:r>
      <w:r>
        <w:t>.</w:t>
      </w:r>
      <w:r>
        <w:tab/>
        <w:t>Information to be recorded in local government cat register (s. 12(3))</w:t>
      </w:r>
      <w:bookmarkEnd w:id="19"/>
    </w:p>
    <w:p>
      <w:pPr>
        <w:pStyle w:val="Subsection"/>
        <w:keepNext/>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lastRenderedPageBreak/>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106204994"/>
      <w:r>
        <w:rPr>
          <w:rStyle w:val="CharSectno"/>
        </w:rPr>
        <w:t>17</w:t>
      </w:r>
      <w:r>
        <w:t>.</w:t>
      </w:r>
      <w:r>
        <w:tab/>
        <w:t>Information to be given by microchip implanter to microchip database company (s. 15)</w:t>
      </w:r>
      <w:bookmarkEnd w:id="20"/>
    </w:p>
    <w:p>
      <w:pPr>
        <w:pStyle w:val="Subsection"/>
        <w:keepNext/>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106204995"/>
      <w:r>
        <w:rPr>
          <w:rStyle w:val="CharSectno"/>
        </w:rPr>
        <w:lastRenderedPageBreak/>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106204996"/>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106204997"/>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106204998"/>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keepNext/>
      </w:pPr>
      <w:r>
        <w:tab/>
        <w:t>(b)</w:t>
      </w:r>
      <w:r>
        <w:tab/>
        <w:t>be accompanied by the application fee payable under Schedule 3.</w:t>
      </w:r>
    </w:p>
    <w:p>
      <w:pPr>
        <w:pStyle w:val="Footnotesection"/>
      </w:pPr>
      <w:r>
        <w:tab/>
        <w:t>[Regulation 21 inserted: Gazette 23 Aug 2013 p. 4006.]</w:t>
      </w:r>
    </w:p>
    <w:p>
      <w:pPr>
        <w:pStyle w:val="Heading5"/>
      </w:pPr>
      <w:bookmarkStart w:id="25" w:name="_Toc106204999"/>
      <w:r>
        <w:rPr>
          <w:rStyle w:val="CharSectno"/>
        </w:rPr>
        <w:lastRenderedPageBreak/>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106205000"/>
      <w:r>
        <w:rPr>
          <w:rStyle w:val="CharSectno"/>
        </w:rPr>
        <w:t>23</w:t>
      </w:r>
      <w:r>
        <w:t>.</w:t>
      </w:r>
      <w:r>
        <w:tab/>
        <w:t>Person who may not be refused approval to breed cats (s. 37(5))</w:t>
      </w:r>
      <w:bookmarkEnd w:id="26"/>
    </w:p>
    <w:p>
      <w:pPr>
        <w:pStyle w:val="Subsection"/>
        <w:keepNext/>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keepNext/>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keepNext/>
        <w:spacing w:before="70"/>
      </w:pPr>
      <w:r>
        <w:tab/>
        <w:t>(iii)</w:t>
      </w:r>
      <w:r>
        <w:tab/>
        <w:t xml:space="preserve">the </w:t>
      </w:r>
      <w:r>
        <w:rPr>
          <w:i/>
        </w:rPr>
        <w:t>Animal Welfare Act 2002</w:t>
      </w:r>
      <w:r>
        <w:t xml:space="preserve">; </w:t>
      </w:r>
    </w:p>
    <w:p>
      <w:pPr>
        <w:pStyle w:val="Indenta"/>
        <w:spacing w:before="70"/>
      </w:pPr>
      <w:r>
        <w:tab/>
      </w:r>
      <w:r>
        <w:tab/>
        <w:t>and</w:t>
      </w:r>
    </w:p>
    <w:p>
      <w:pPr>
        <w:pStyle w:val="Indenta"/>
        <w:keepNext/>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keepNext/>
      </w:pPr>
      <w:r>
        <w:lastRenderedPageBreak/>
        <w:tab/>
        <w:t>(iv)</w:t>
      </w:r>
      <w:r>
        <w:tab/>
        <w:t>Cats United WA Incorporated.</w:t>
      </w:r>
    </w:p>
    <w:p>
      <w:pPr>
        <w:pStyle w:val="Footnotesection"/>
      </w:pPr>
      <w:r>
        <w:tab/>
        <w:t>[Regulation 23 amended: SL 2020/17 r. 5.]</w:t>
      </w:r>
    </w:p>
    <w:p>
      <w:pPr>
        <w:pStyle w:val="Heading5"/>
      </w:pPr>
      <w:bookmarkStart w:id="27" w:name="_Toc106205001"/>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106205002"/>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106205003"/>
      <w:r>
        <w:rPr>
          <w:rStyle w:val="CharSectno"/>
        </w:rPr>
        <w:t>26</w:t>
      </w:r>
      <w:r>
        <w:t>.</w:t>
      </w:r>
      <w:r>
        <w:tab/>
        <w:t>Warrant (s. 58)</w:t>
      </w:r>
      <w:bookmarkEnd w:id="29"/>
    </w:p>
    <w:p>
      <w:pPr>
        <w:pStyle w:val="Subsection"/>
      </w:pPr>
      <w:r>
        <w:tab/>
      </w:r>
      <w:r>
        <w:tab/>
        <w:t>The form of a warrant is Form 5.</w:t>
      </w:r>
    </w:p>
    <w:p>
      <w:pPr>
        <w:pStyle w:val="Heading5"/>
      </w:pPr>
      <w:bookmarkStart w:id="30" w:name="_Toc106205004"/>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106205005"/>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106205006"/>
      <w:r>
        <w:rPr>
          <w:rStyle w:val="CharSectno"/>
        </w:rPr>
        <w:t>29</w:t>
      </w:r>
      <w:r>
        <w:t>.</w:t>
      </w:r>
      <w:r>
        <w:tab/>
        <w:t>Objection (s. 69(2))</w:t>
      </w:r>
      <w:bookmarkEnd w:id="32"/>
    </w:p>
    <w:p>
      <w:pPr>
        <w:pStyle w:val="Subsection"/>
      </w:pPr>
      <w:r>
        <w:tab/>
      </w:r>
      <w:r>
        <w:tab/>
        <w:t>The form of an objection is Form 8.</w:t>
      </w:r>
    </w:p>
    <w:p>
      <w:pPr>
        <w:pStyle w:val="Heading5"/>
      </w:pPr>
      <w:bookmarkStart w:id="33" w:name="_Toc106205007"/>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2"/>
          <w:headerReference w:type="default" r:id="rId23"/>
          <w:headerReference w:type="first" r:id="rId24"/>
          <w:pgSz w:w="11907" w:h="16840" w:code="9"/>
          <w:pgMar w:top="2376" w:right="2404" w:bottom="3544" w:left="2404" w:header="709" w:footer="3379" w:gutter="0"/>
          <w:pgNumType w:start="1"/>
          <w:cols w:space="720"/>
          <w:noEndnote/>
          <w:titlePg/>
          <w:docGrid w:linePitch="326"/>
        </w:sectPr>
      </w:pPr>
    </w:p>
    <w:p>
      <w:pPr>
        <w:pStyle w:val="yScheduleHeading"/>
      </w:pPr>
      <w:bookmarkStart w:id="34" w:name="_Toc106196571"/>
      <w:bookmarkStart w:id="35" w:name="_Toc106196628"/>
      <w:bookmarkStart w:id="36" w:name="_Toc106196999"/>
      <w:bookmarkStart w:id="37" w:name="_Toc106205008"/>
      <w:r>
        <w:rPr>
          <w:rStyle w:val="CharSchNo"/>
        </w:rPr>
        <w:lastRenderedPageBreak/>
        <w:t>Schedule 1</w:t>
      </w:r>
      <w:r>
        <w:rPr>
          <w:rStyle w:val="CharSDivNo"/>
        </w:rPr>
        <w:t> </w:t>
      </w:r>
      <w:r>
        <w:t>—</w:t>
      </w:r>
      <w:r>
        <w:rPr>
          <w:rStyle w:val="CharSDivText"/>
        </w:rPr>
        <w:t> </w:t>
      </w:r>
      <w:r>
        <w:rPr>
          <w:rStyle w:val="CharSchText"/>
        </w:rPr>
        <w:t>Forms</w:t>
      </w:r>
      <w:bookmarkEnd w:id="34"/>
      <w:bookmarkEnd w:id="35"/>
      <w:bookmarkEnd w:id="36"/>
      <w:bookmarkEnd w:id="37"/>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lastRenderedPageBreak/>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lastRenderedPageBreak/>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lastRenderedPageBreak/>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lastRenderedPageBreak/>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885"/>
        <w:gridCol w:w="3594"/>
        <w:gridCol w:w="1610"/>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lastRenderedPageBreak/>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lastRenderedPageBreak/>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lastRenderedPageBreak/>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lastRenderedPageBreak/>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lastRenderedPageBreak/>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lastRenderedPageBreak/>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lastRenderedPageBreak/>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lastRenderedPageBreak/>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lastRenderedPageBreak/>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pPr>
      <w:r>
        <w:tab/>
        <w:t>[Form 6 amended: Gazette 20 Aug 2013 p. 3850; SL 2020/99 r. 6; SL 2020/169 r. 6.]</w:t>
      </w:r>
    </w:p>
    <w:p>
      <w:pPr>
        <w:pStyle w:val="yMiscellaneousHeading"/>
        <w:spacing w:before="0" w:after="120"/>
        <w:ind w:left="601"/>
        <w:rPr>
          <w:b/>
          <w:bCs/>
        </w:rPr>
      </w:pPr>
      <w:r>
        <w:rPr>
          <w:b/>
          <w:bCs/>
        </w:rPr>
        <w:br w:type="page"/>
      </w:r>
      <w:r>
        <w:rPr>
          <w:rStyle w:val="CharSClsNo"/>
          <w:b/>
        </w:rPr>
        <w:lastRenderedPageBreak/>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lastRenderedPageBreak/>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lastRenderedPageBreak/>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5"/>
          <w:headerReference w:type="default" r:id="rId26"/>
          <w:headerReference w:type="first" r:id="rId27"/>
          <w:pgSz w:w="11907" w:h="16840" w:code="9"/>
          <w:pgMar w:top="2376" w:right="2404" w:bottom="3544" w:left="2404" w:header="709" w:footer="3379" w:gutter="0"/>
          <w:cols w:space="720"/>
          <w:noEndnote/>
          <w:docGrid w:linePitch="326"/>
        </w:sectPr>
      </w:pPr>
    </w:p>
    <w:p>
      <w:pPr>
        <w:pStyle w:val="yScheduleHeading"/>
      </w:pPr>
      <w:bookmarkStart w:id="39" w:name="_Toc106196572"/>
      <w:bookmarkStart w:id="40" w:name="_Toc106196629"/>
      <w:bookmarkStart w:id="41" w:name="_Toc106197000"/>
      <w:bookmarkStart w:id="42" w:name="_Toc106205009"/>
      <w:r>
        <w:rPr>
          <w:rStyle w:val="CharSchNo"/>
        </w:rPr>
        <w:lastRenderedPageBreak/>
        <w:t>Schedule 2</w:t>
      </w:r>
      <w:r>
        <w:t> — </w:t>
      </w:r>
      <w:r>
        <w:rPr>
          <w:rStyle w:val="CharSchText"/>
        </w:rPr>
        <w:t>Modified penalties</w:t>
      </w:r>
      <w:bookmarkEnd w:id="39"/>
      <w:bookmarkEnd w:id="40"/>
      <w:bookmarkEnd w:id="41"/>
      <w:bookmarkEnd w:id="42"/>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8"/>
          <w:headerReference w:type="default" r:id="rId29"/>
          <w:headerReference w:type="first" r:id="rId30"/>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31"/>
          <w:headerReference w:type="default" r:id="rId32"/>
          <w:type w:val="continuous"/>
          <w:pgSz w:w="11907" w:h="16840" w:code="9"/>
          <w:pgMar w:top="2376" w:right="2404" w:bottom="3544" w:left="2404" w:header="709" w:footer="3379" w:gutter="0"/>
          <w:cols w:space="720"/>
          <w:noEndnote/>
          <w:docGrid w:linePitch="326"/>
        </w:sectPr>
      </w:pPr>
    </w:p>
    <w:p>
      <w:pPr>
        <w:pStyle w:val="yScheduleHeading"/>
      </w:pPr>
      <w:bookmarkStart w:id="43" w:name="_Toc106196573"/>
      <w:bookmarkStart w:id="44" w:name="_Toc106196630"/>
      <w:bookmarkStart w:id="45" w:name="_Toc106197001"/>
      <w:bookmarkStart w:id="46" w:name="_Toc106205010"/>
      <w:r>
        <w:rPr>
          <w:rStyle w:val="CharSchNo"/>
        </w:rPr>
        <w:lastRenderedPageBreak/>
        <w:t>Schedule 3</w:t>
      </w:r>
      <w:r>
        <w:t> — </w:t>
      </w:r>
      <w:r>
        <w:rPr>
          <w:rStyle w:val="CharSchText"/>
        </w:rPr>
        <w:t>Fees</w:t>
      </w:r>
      <w:bookmarkEnd w:id="43"/>
      <w:bookmarkEnd w:id="44"/>
      <w:bookmarkEnd w:id="45"/>
      <w:bookmarkEnd w:id="46"/>
    </w:p>
    <w:p>
      <w:pPr>
        <w:pStyle w:val="yShoulderClause"/>
      </w:pPr>
      <w:r>
        <w:t>[r. 11 and 21]</w:t>
      </w:r>
    </w:p>
    <w:p>
      <w:pPr>
        <w:pStyle w:val="yFootnoteheading"/>
      </w:pPr>
      <w:r>
        <w:tab/>
        <w:t>[Heading inserted: Gazette 23 Aug 2013 p. 4006.]</w:t>
      </w:r>
    </w:p>
    <w:p>
      <w:pPr>
        <w:pStyle w:val="yHeading5"/>
      </w:pPr>
      <w:bookmarkStart w:id="47" w:name="_Toc106205011"/>
      <w:r>
        <w:rPr>
          <w:rStyle w:val="CharSClsNo"/>
        </w:rPr>
        <w:t>1</w:t>
      </w:r>
      <w:r>
        <w:t>.</w:t>
      </w:r>
      <w:r>
        <w:tab/>
        <w:t>Fees payable</w:t>
      </w:r>
      <w:bookmarkEnd w:id="47"/>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lastRenderedPageBreak/>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4"/>
          <w:headerReference w:type="default" r:id="rId35"/>
          <w:type w:val="continuous"/>
          <w:pgSz w:w="11907" w:h="16840" w:code="9"/>
          <w:pgMar w:top="2376" w:right="2404" w:bottom="3544" w:left="2404" w:header="709" w:footer="3379" w:gutter="0"/>
          <w:cols w:space="720"/>
          <w:noEndnote/>
          <w:docGrid w:linePitch="326"/>
        </w:sectPr>
      </w:pPr>
    </w:p>
    <w:p>
      <w:pPr>
        <w:pStyle w:val="nHeading2"/>
      </w:pPr>
      <w:bookmarkStart w:id="48" w:name="_Toc106196575"/>
      <w:bookmarkStart w:id="49" w:name="_Toc106196632"/>
      <w:bookmarkStart w:id="50" w:name="_Toc106197003"/>
      <w:bookmarkStart w:id="51" w:name="_Toc106205012"/>
      <w:r>
        <w:lastRenderedPageBreak/>
        <w:t>Notes</w:t>
      </w:r>
      <w:bookmarkEnd w:id="48"/>
      <w:bookmarkEnd w:id="49"/>
      <w:bookmarkEnd w:id="50"/>
      <w:bookmarkEnd w:id="51"/>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52" w:name="_Toc106205013"/>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lastRenderedPageBreak/>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nil"/>
            </w:tcBorders>
            <w:shd w:val="clear" w:color="auto" w:fill="auto"/>
          </w:tcPr>
          <w:p>
            <w:pPr>
              <w:pStyle w:val="nTable"/>
              <w:keepNext/>
              <w:spacing w:after="40"/>
              <w:rPr>
                <w:i/>
              </w:rPr>
            </w:pPr>
            <w:r>
              <w:rPr>
                <w:i/>
              </w:rPr>
              <w:t>Cat Amendment Regulations 2020</w:t>
            </w:r>
          </w:p>
        </w:tc>
        <w:tc>
          <w:tcPr>
            <w:tcW w:w="1276" w:type="dxa"/>
            <w:tcBorders>
              <w:top w:val="nil"/>
              <w:bottom w:val="nil"/>
            </w:tcBorders>
            <w:shd w:val="clear" w:color="auto" w:fill="auto"/>
          </w:tcPr>
          <w:p>
            <w:pPr>
              <w:pStyle w:val="nTable"/>
              <w:keepNext/>
              <w:spacing w:after="40"/>
            </w:pPr>
            <w:r>
              <w:t>SL 2020/17 20 Mar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r>
        <w:tc>
          <w:tcPr>
            <w:tcW w:w="3118" w:type="dxa"/>
            <w:tcBorders>
              <w:top w:val="nil"/>
              <w:bottom w:val="nil"/>
            </w:tcBorders>
            <w:shd w:val="clear" w:color="auto" w:fill="auto"/>
          </w:tcPr>
          <w:p>
            <w:pPr>
              <w:pStyle w:val="nTable"/>
              <w:keepNext/>
              <w:spacing w:after="40"/>
              <w:rPr>
                <w:i/>
              </w:rPr>
            </w:pPr>
            <w:r>
              <w:rPr>
                <w:i/>
              </w:rPr>
              <w:t>Cat Amendment Regulations (No. 3) 2020</w:t>
            </w:r>
          </w:p>
        </w:tc>
        <w:tc>
          <w:tcPr>
            <w:tcW w:w="1276" w:type="dxa"/>
            <w:tcBorders>
              <w:top w:val="nil"/>
              <w:bottom w:val="nil"/>
            </w:tcBorders>
            <w:shd w:val="clear" w:color="auto" w:fill="auto"/>
          </w:tcPr>
          <w:p>
            <w:pPr>
              <w:pStyle w:val="nTable"/>
              <w:keepNext/>
              <w:spacing w:after="40"/>
            </w:pPr>
            <w:r>
              <w:t>SL 2020/69 5 Jun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5 Jun 2020 (see r. 2(a));</w:t>
            </w:r>
            <w:r>
              <w:rPr>
                <w:bCs/>
                <w:snapToGrid w:val="0"/>
              </w:rPr>
              <w:br/>
              <w:t>Regulations other than r. 1 and 2: 6 Jun 2020 (see r. 2(b))</w:t>
            </w:r>
          </w:p>
        </w:tc>
      </w:tr>
      <w:tr>
        <w:tc>
          <w:tcPr>
            <w:tcW w:w="3118" w:type="dxa"/>
            <w:tcBorders>
              <w:top w:val="nil"/>
              <w:bottom w:val="nil"/>
            </w:tcBorders>
            <w:shd w:val="clear" w:color="auto" w:fill="auto"/>
          </w:tcPr>
          <w:p>
            <w:pPr>
              <w:pStyle w:val="nTable"/>
              <w:keepNext/>
              <w:spacing w:after="40"/>
              <w:rPr>
                <w:i/>
              </w:rPr>
            </w:pPr>
            <w:r>
              <w:rPr>
                <w:i/>
              </w:rPr>
              <w:t>Local Government Regulations Amendment (Payment Method) Regulations 2020</w:t>
            </w:r>
            <w:r>
              <w:t xml:space="preserve"> Pt. 3</w:t>
            </w:r>
          </w:p>
        </w:tc>
        <w:tc>
          <w:tcPr>
            <w:tcW w:w="1276" w:type="dxa"/>
            <w:tcBorders>
              <w:top w:val="nil"/>
              <w:bottom w:val="nil"/>
            </w:tcBorders>
            <w:shd w:val="clear" w:color="auto" w:fill="auto"/>
          </w:tcPr>
          <w:p>
            <w:pPr>
              <w:pStyle w:val="nTable"/>
              <w:keepNext/>
              <w:spacing w:after="40"/>
            </w:pPr>
            <w:r>
              <w:t>SL 2020/99</w:t>
            </w:r>
            <w:r>
              <w:br/>
              <w:t>30 Jun 2020</w:t>
            </w:r>
          </w:p>
        </w:tc>
        <w:tc>
          <w:tcPr>
            <w:tcW w:w="2694" w:type="dxa"/>
            <w:tcBorders>
              <w:top w:val="nil"/>
              <w:bottom w:val="nil"/>
            </w:tcBorders>
            <w:shd w:val="clear" w:color="auto" w:fill="auto"/>
          </w:tcPr>
          <w:p>
            <w:pPr>
              <w:pStyle w:val="nTable"/>
              <w:keepNext/>
              <w:spacing w:after="40"/>
              <w:rPr>
                <w:bCs/>
                <w:snapToGrid w:val="0"/>
              </w:rPr>
            </w:pPr>
            <w:r>
              <w:rPr>
                <w:bCs/>
                <w:snapToGrid w:val="0"/>
                <w:spacing w:val="-2"/>
              </w:rPr>
              <w:t>1 Jul 2020 (see r. 2(b))</w:t>
            </w:r>
          </w:p>
        </w:tc>
      </w:tr>
      <w:tr>
        <w:tc>
          <w:tcPr>
            <w:tcW w:w="3118" w:type="dxa"/>
            <w:tcBorders>
              <w:top w:val="nil"/>
              <w:bottom w:val="nil"/>
            </w:tcBorders>
            <w:shd w:val="clear" w:color="auto" w:fill="auto"/>
          </w:tcPr>
          <w:p>
            <w:pPr>
              <w:pStyle w:val="nTable"/>
              <w:keepNext/>
              <w:spacing w:after="40"/>
              <w:rPr>
                <w:i/>
              </w:rPr>
            </w:pPr>
            <w:r>
              <w:rPr>
                <w:i/>
              </w:rPr>
              <w:t xml:space="preserve">Local Government Regulations Amendment (Infringement Notices) Regulations 2020 </w:t>
            </w:r>
            <w:r>
              <w:t>Pt. 3</w:t>
            </w:r>
          </w:p>
        </w:tc>
        <w:tc>
          <w:tcPr>
            <w:tcW w:w="1276" w:type="dxa"/>
            <w:tcBorders>
              <w:top w:val="nil"/>
              <w:bottom w:val="nil"/>
            </w:tcBorders>
            <w:shd w:val="clear" w:color="auto" w:fill="auto"/>
          </w:tcPr>
          <w:p>
            <w:pPr>
              <w:pStyle w:val="nTable"/>
              <w:keepNext/>
              <w:spacing w:after="40"/>
            </w:pPr>
            <w:r>
              <w:t>SL 2020/169</w:t>
            </w:r>
            <w:r>
              <w:br/>
              <w:t>25 Sep 2020</w:t>
            </w:r>
          </w:p>
        </w:tc>
        <w:tc>
          <w:tcPr>
            <w:tcW w:w="2694"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c>
          <w:tcPr>
            <w:tcW w:w="3118" w:type="dxa"/>
            <w:tcBorders>
              <w:top w:val="nil"/>
              <w:bottom w:val="single" w:sz="4" w:space="0" w:color="auto"/>
            </w:tcBorders>
            <w:shd w:val="clear" w:color="auto" w:fill="auto"/>
          </w:tcPr>
          <w:p>
            <w:pPr>
              <w:pStyle w:val="nTable"/>
              <w:keepNext/>
              <w:spacing w:after="40"/>
              <w:rPr>
                <w:i/>
              </w:rPr>
            </w:pPr>
            <w:r>
              <w:rPr>
                <w:i/>
              </w:rPr>
              <w:t>Local Government Regulations Amendment (Veterinary Practice) Regulations 2022</w:t>
            </w:r>
            <w:r>
              <w:t xml:space="preserve"> Pt. 2</w:t>
            </w:r>
          </w:p>
        </w:tc>
        <w:tc>
          <w:tcPr>
            <w:tcW w:w="1276" w:type="dxa"/>
            <w:tcBorders>
              <w:top w:val="nil"/>
              <w:bottom w:val="single" w:sz="4" w:space="0" w:color="auto"/>
            </w:tcBorders>
            <w:shd w:val="clear" w:color="auto" w:fill="auto"/>
          </w:tcPr>
          <w:p>
            <w:pPr>
              <w:pStyle w:val="nTable"/>
              <w:keepNext/>
              <w:spacing w:after="40"/>
            </w:pPr>
            <w:r>
              <w:t>SL 2022/94 17 Jun 2022</w:t>
            </w:r>
          </w:p>
        </w:tc>
        <w:tc>
          <w:tcPr>
            <w:tcW w:w="2694" w:type="dxa"/>
            <w:tcBorders>
              <w:top w:val="nil"/>
              <w:bottom w:val="single" w:sz="4" w:space="0" w:color="auto"/>
            </w:tcBorders>
            <w:shd w:val="clear" w:color="auto" w:fill="auto"/>
          </w:tcPr>
          <w:p>
            <w:pPr>
              <w:pStyle w:val="nTable"/>
              <w:keepNext/>
              <w:spacing w:after="40"/>
              <w:rPr>
                <w:bCs/>
                <w:snapToGrid w:val="0"/>
                <w:spacing w:val="-2"/>
              </w:rPr>
            </w:pPr>
            <w:r>
              <w:rPr>
                <w:bCs/>
                <w:snapToGrid w:val="0"/>
                <w:spacing w:val="-2"/>
              </w:rPr>
              <w:t>18 Jun 2022 (see r. 2(b) and SL 2022/81 cl. 2)</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4" w:name="_Toc106196577"/>
      <w:bookmarkStart w:id="55" w:name="_Toc106196634"/>
      <w:bookmarkStart w:id="56" w:name="_Toc106197005"/>
      <w:bookmarkStart w:id="57" w:name="_Toc106205014"/>
      <w:r>
        <w:rPr>
          <w:sz w:val="28"/>
        </w:rPr>
        <w:lastRenderedPageBreak/>
        <w:t>Defined terms</w:t>
      </w:r>
      <w:bookmarkEnd w:id="54"/>
      <w:bookmarkEnd w:id="55"/>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Pr>
        <w:pStyle w:val="DefinedTerms"/>
      </w:pPr>
      <w:r>
        <w:t>SAFE entity</w:t>
      </w:r>
      <w:r>
        <w:tab/>
        <w:t>9(1)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4003"/>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 w:name="WAFER_2020060412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10_GUID" w:val="6c9029de-3c8e-4ee2-adf9-6c031a8e50c1"/>
    <w:docVar w:name="WAFER_20200630105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5022_GUID" w:val="40d5c273-ed11-4556-bbd6-efddd1363bfc"/>
    <w:docVar w:name="WAFER_2020092216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548_GUID" w:val="6a03cd61-7cb7-4f67-84fc-a25c54d6e264"/>
    <w:docVar w:name="WAFER_20220615144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4003_GUID" w:val="8d73473c-0182-4cd6-b083-817078af6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29903FE-3E19-450D-8B99-E498DDC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6084-4091-455A-A8C7-30230C03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5765</Words>
  <Characters>33958</Characters>
  <Application>Microsoft Office Word</Application>
  <DocSecurity>0</DocSecurity>
  <Lines>1170</Lines>
  <Paragraphs>882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2012 - 01-i0-00</dc:title>
  <dc:subject/>
  <dc:creator/>
  <cp:keywords/>
  <dc:description/>
  <cp:lastModifiedBy>Master Repository Process</cp:lastModifiedBy>
  <cp:revision>4</cp:revision>
  <cp:lastPrinted>2015-12-11T06:15:00Z</cp:lastPrinted>
  <dcterms:created xsi:type="dcterms:W3CDTF">2022-06-17T03:26:00Z</dcterms:created>
  <dcterms:modified xsi:type="dcterms:W3CDTF">2022-06-17T03:26:00Z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18 Jun 2022</vt:lpwstr>
  </property>
  <property fmtid="{D5CDD505-2E9C-101B-9397-08002B2CF9AE}" pid="7" name="Suffix">
    <vt:lpwstr>01-i0-00</vt:lpwstr>
  </property>
  <property fmtid="{D5CDD505-2E9C-101B-9397-08002B2CF9AE}" pid="8" name="CommencementDate">
    <vt:lpwstr>20220618</vt:lpwstr>
  </property>
</Properties>
</file>