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476"/>
      </w:pPr>
      <w:r>
        <w:fldChar w:fldCharType="begin"/>
      </w:r>
      <w:r>
        <w:instrText xml:space="preserve"> STYLEREF "Name Of Act/Reg"</w:instrText>
      </w:r>
      <w:r>
        <w:fldChar w:fldCharType="separate"/>
      </w:r>
      <w:r>
        <w:rPr>
          <w:noProof/>
        </w:rPr>
        <w:t>Tobacco Products Control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Tobacco Products Control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_Toc160509160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_Toc160509161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_Toc160509162 \h </w:instrText>
      </w:r>
      <w:r>
        <w:fldChar w:fldCharType="separate"/>
      </w:r>
      <w:r>
        <w:t>1</w:t>
      </w:r>
      <w:r>
        <w:fldChar w:fldCharType="end"/>
      </w:r>
    </w:p>
    <w:p>
      <w:pPr>
        <w:pStyle w:val="TOC2"/>
        <w:tabs>
          <w:tab w:val="right" w:leader="dot" w:pos="7086"/>
        </w:tabs>
        <w:rPr>
          <w:b w:val="0"/>
          <w:sz w:val="24"/>
          <w:szCs w:val="24"/>
        </w:rPr>
      </w:pPr>
      <w:r>
        <w:rPr>
          <w:szCs w:val="30"/>
        </w:rPr>
        <w:t>Part 3 — Smoking in enclosed public places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7.</w:t>
      </w:r>
      <w:r>
        <w:rPr>
          <w:szCs w:val="24"/>
        </w:rPr>
        <w:tab/>
        <w:t>Terms used in Part 3</w:t>
      </w:r>
      <w:r>
        <w:tab/>
      </w:r>
      <w:r>
        <w:fldChar w:fldCharType="begin"/>
      </w:r>
      <w:r>
        <w:instrText xml:space="preserve"> PAGEREF _Toc160509165 \h </w:instrText>
      </w:r>
      <w:r>
        <w:fldChar w:fldCharType="separate"/>
      </w:r>
      <w:r>
        <w:t>2</w:t>
      </w:r>
      <w:r>
        <w:fldChar w:fldCharType="end"/>
      </w:r>
    </w:p>
    <w:p>
      <w:pPr>
        <w:pStyle w:val="TOC8"/>
        <w:rPr>
          <w:sz w:val="24"/>
          <w:szCs w:val="24"/>
        </w:rPr>
      </w:pPr>
      <w:r>
        <w:rPr>
          <w:szCs w:val="24"/>
        </w:rPr>
        <w:t>8.</w:t>
      </w:r>
      <w:r>
        <w:rPr>
          <w:szCs w:val="24"/>
        </w:rPr>
        <w:tab/>
        <w:t>Enclosed public places</w:t>
      </w:r>
      <w:r>
        <w:tab/>
      </w:r>
      <w:r>
        <w:fldChar w:fldCharType="begin"/>
      </w:r>
      <w:r>
        <w:instrText xml:space="preserve"> PAGEREF _Toc160509166 \h </w:instrText>
      </w:r>
      <w:r>
        <w:fldChar w:fldCharType="separate"/>
      </w:r>
      <w:r>
        <w:t>2</w:t>
      </w:r>
      <w:r>
        <w:fldChar w:fldCharType="end"/>
      </w:r>
    </w:p>
    <w:p>
      <w:pPr>
        <w:pStyle w:val="TOC8"/>
        <w:rPr>
          <w:sz w:val="24"/>
          <w:szCs w:val="24"/>
        </w:rPr>
      </w:pPr>
      <w:r>
        <w:rPr>
          <w:szCs w:val="24"/>
        </w:rPr>
        <w:t>9.</w:t>
      </w:r>
      <w:r>
        <w:rPr>
          <w:szCs w:val="24"/>
        </w:rPr>
        <w:tab/>
        <w:t>Notional vertical surface area</w:t>
      </w:r>
      <w:r>
        <w:tab/>
      </w:r>
      <w:r>
        <w:fldChar w:fldCharType="begin"/>
      </w:r>
      <w:r>
        <w:instrText xml:space="preserve"> PAGEREF _Toc160509167 \h </w:instrText>
      </w:r>
      <w:r>
        <w:fldChar w:fldCharType="separate"/>
      </w:r>
      <w:r>
        <w:t>4</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10.</w:t>
      </w:r>
      <w:r>
        <w:rPr>
          <w:szCs w:val="24"/>
        </w:rPr>
        <w:tab/>
        <w:t>Prohibition on smoking in enclosed public places</w:t>
      </w:r>
      <w:r>
        <w:tab/>
      </w:r>
      <w:r>
        <w:fldChar w:fldCharType="begin"/>
      </w:r>
      <w:r>
        <w:instrText xml:space="preserve"> PAGEREF _Toc160509169 \h </w:instrText>
      </w:r>
      <w:r>
        <w:fldChar w:fldCharType="separate"/>
      </w:r>
      <w:r>
        <w:t>4</w:t>
      </w:r>
      <w:r>
        <w:fldChar w:fldCharType="end"/>
      </w:r>
    </w:p>
    <w:p>
      <w:pPr>
        <w:pStyle w:val="TOC8"/>
        <w:rPr>
          <w:sz w:val="24"/>
          <w:szCs w:val="24"/>
        </w:rPr>
      </w:pPr>
      <w:r>
        <w:rPr>
          <w:szCs w:val="24"/>
        </w:rPr>
        <w:t>11.</w:t>
      </w:r>
      <w:r>
        <w:rPr>
          <w:szCs w:val="24"/>
        </w:rPr>
        <w:tab/>
        <w:t>Offence by occupier</w:t>
      </w:r>
      <w:r>
        <w:tab/>
      </w:r>
      <w:r>
        <w:fldChar w:fldCharType="begin"/>
      </w:r>
      <w:r>
        <w:instrText xml:space="preserve"> PAGEREF _Toc160509170 \h </w:instrText>
      </w:r>
      <w:r>
        <w:fldChar w:fldCharType="separate"/>
      </w:r>
      <w:r>
        <w:t>5</w:t>
      </w:r>
      <w:r>
        <w:fldChar w:fldCharType="end"/>
      </w:r>
    </w:p>
    <w:p>
      <w:pPr>
        <w:pStyle w:val="TOC8"/>
        <w:rPr>
          <w:sz w:val="24"/>
          <w:szCs w:val="24"/>
        </w:rPr>
      </w:pPr>
      <w:r>
        <w:rPr>
          <w:szCs w:val="24"/>
        </w:rPr>
        <w:t>12.</w:t>
      </w:r>
      <w:r>
        <w:rPr>
          <w:szCs w:val="24"/>
        </w:rPr>
        <w:tab/>
        <w:t>Display of no smoking signs in entrances to licensed premises</w:t>
      </w:r>
      <w:r>
        <w:tab/>
      </w:r>
      <w:r>
        <w:fldChar w:fldCharType="begin"/>
      </w:r>
      <w:r>
        <w:instrText xml:space="preserve"> PAGEREF _Toc160509171 \h </w:instrText>
      </w:r>
      <w:r>
        <w:fldChar w:fldCharType="separate"/>
      </w:r>
      <w:r>
        <w:t>5</w:t>
      </w:r>
      <w:r>
        <w:fldChar w:fldCharType="end"/>
      </w:r>
    </w:p>
    <w:p>
      <w:pPr>
        <w:pStyle w:val="TOC8"/>
        <w:rPr>
          <w:sz w:val="24"/>
          <w:szCs w:val="24"/>
        </w:rPr>
      </w:pPr>
      <w:r>
        <w:rPr>
          <w:szCs w:val="24"/>
        </w:rPr>
        <w:t>13.</w:t>
      </w:r>
      <w:r>
        <w:rPr>
          <w:szCs w:val="24"/>
        </w:rPr>
        <w:tab/>
        <w:t>Duty to prevent smoke entering enclosed public places</w:t>
      </w:r>
      <w:r>
        <w:tab/>
      </w:r>
      <w:r>
        <w:fldChar w:fldCharType="begin"/>
      </w:r>
      <w:r>
        <w:instrText xml:space="preserve"> PAGEREF _Toc160509172 \h </w:instrText>
      </w:r>
      <w:r>
        <w:fldChar w:fldCharType="separate"/>
      </w:r>
      <w:r>
        <w:t>6</w:t>
      </w:r>
      <w:r>
        <w:fldChar w:fldCharType="end"/>
      </w:r>
    </w:p>
    <w:p>
      <w:pPr>
        <w:pStyle w:val="TOC4"/>
        <w:tabs>
          <w:tab w:val="right" w:leader="dot" w:pos="7086"/>
        </w:tabs>
        <w:rPr>
          <w:b w:val="0"/>
          <w:sz w:val="24"/>
          <w:szCs w:val="24"/>
        </w:rPr>
      </w:pPr>
      <w:r>
        <w:rPr>
          <w:szCs w:val="26"/>
        </w:rPr>
        <w:t>Division 3 — Investigators</w:t>
      </w:r>
    </w:p>
    <w:p>
      <w:pPr>
        <w:pStyle w:val="TOC8"/>
        <w:rPr>
          <w:sz w:val="24"/>
          <w:szCs w:val="24"/>
        </w:rPr>
      </w:pPr>
      <w:r>
        <w:rPr>
          <w:szCs w:val="24"/>
        </w:rPr>
        <w:t>14.</w:t>
      </w:r>
      <w:r>
        <w:rPr>
          <w:szCs w:val="24"/>
        </w:rPr>
        <w:tab/>
        <w:t>Investigators to notify occupiers before taking action under Part 3</w:t>
      </w:r>
      <w:r>
        <w:tab/>
      </w:r>
      <w:r>
        <w:fldChar w:fldCharType="begin"/>
      </w:r>
      <w:r>
        <w:instrText xml:space="preserve"> PAGEREF _Toc160509174 \h </w:instrText>
      </w:r>
      <w:r>
        <w:fldChar w:fldCharType="separate"/>
      </w:r>
      <w:r>
        <w:t>7</w:t>
      </w:r>
      <w:r>
        <w:fldChar w:fldCharType="end"/>
      </w:r>
    </w:p>
    <w:p>
      <w:pPr>
        <w:pStyle w:val="TOC8"/>
        <w:rPr>
          <w:sz w:val="24"/>
          <w:szCs w:val="24"/>
        </w:rPr>
      </w:pPr>
      <w:r>
        <w:rPr>
          <w:szCs w:val="24"/>
        </w:rPr>
        <w:t>15.</w:t>
      </w:r>
      <w:r>
        <w:rPr>
          <w:szCs w:val="24"/>
        </w:rPr>
        <w:tab/>
        <w:t>Directions by investigators</w:t>
      </w:r>
      <w:r>
        <w:tab/>
      </w:r>
      <w:r>
        <w:fldChar w:fldCharType="begin"/>
      </w:r>
      <w:r>
        <w:instrText xml:space="preserve"> PAGEREF _Toc160509175 \h </w:instrText>
      </w:r>
      <w:r>
        <w:fldChar w:fldCharType="separate"/>
      </w:r>
      <w:r>
        <w:t>7</w:t>
      </w:r>
      <w:r>
        <w:fldChar w:fldCharType="end"/>
      </w:r>
    </w:p>
    <w:p>
      <w:pPr>
        <w:pStyle w:val="TOC2"/>
        <w:tabs>
          <w:tab w:val="right" w:leader="dot" w:pos="7086"/>
        </w:tabs>
        <w:rPr>
          <w:b w:val="0"/>
          <w:sz w:val="24"/>
          <w:szCs w:val="24"/>
        </w:rPr>
      </w:pPr>
      <w:r>
        <w:rPr>
          <w:szCs w:val="30"/>
        </w:rPr>
        <w:t>Part 4 — Western Australian Health Promotion Foundation and administration</w:t>
      </w:r>
    </w:p>
    <w:p>
      <w:pPr>
        <w:pStyle w:val="TOC8"/>
        <w:rPr>
          <w:sz w:val="24"/>
          <w:szCs w:val="24"/>
        </w:rPr>
      </w:pPr>
      <w:r>
        <w:rPr>
          <w:szCs w:val="24"/>
        </w:rPr>
        <w:t>16.</w:t>
      </w:r>
      <w:r>
        <w:rPr>
          <w:szCs w:val="24"/>
        </w:rPr>
        <w:tab/>
        <w:t>Funds of the Foundation</w:t>
      </w:r>
      <w:r>
        <w:tab/>
      </w:r>
      <w:r>
        <w:fldChar w:fldCharType="begin"/>
      </w:r>
      <w:r>
        <w:instrText xml:space="preserve"> PAGEREF _Toc160509177 \h </w:instrText>
      </w:r>
      <w:r>
        <w:fldChar w:fldCharType="separate"/>
      </w:r>
      <w:r>
        <w:t>9</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Licensing</w:t>
      </w:r>
    </w:p>
    <w:p>
      <w:pPr>
        <w:pStyle w:val="TOC4"/>
        <w:tabs>
          <w:tab w:val="right" w:leader="dot" w:pos="7086"/>
        </w:tabs>
        <w:rPr>
          <w:b w:val="0"/>
          <w:sz w:val="24"/>
          <w:szCs w:val="24"/>
        </w:rPr>
      </w:pPr>
      <w:r>
        <w:rPr>
          <w:szCs w:val="26"/>
        </w:rPr>
        <w:t>Division 1 — Licensing procedures</w:t>
      </w:r>
    </w:p>
    <w:p>
      <w:pPr>
        <w:pStyle w:val="TOC8"/>
        <w:rPr>
          <w:sz w:val="24"/>
          <w:szCs w:val="24"/>
        </w:rPr>
      </w:pPr>
      <w:r>
        <w:rPr>
          <w:szCs w:val="24"/>
        </w:rPr>
        <w:t>17.</w:t>
      </w:r>
      <w:r>
        <w:rPr>
          <w:szCs w:val="24"/>
        </w:rPr>
        <w:tab/>
        <w:t>Application for licence — proof of individual’s identity</w:t>
      </w:r>
      <w:r>
        <w:tab/>
      </w:r>
      <w:r>
        <w:fldChar w:fldCharType="begin"/>
      </w:r>
      <w:r>
        <w:instrText xml:space="preserve"> PAGEREF _Toc160509180 \h </w:instrText>
      </w:r>
      <w:r>
        <w:fldChar w:fldCharType="separate"/>
      </w:r>
      <w:r>
        <w:t>10</w:t>
      </w:r>
      <w:r>
        <w:fldChar w:fldCharType="end"/>
      </w:r>
    </w:p>
    <w:p>
      <w:pPr>
        <w:pStyle w:val="TOC8"/>
        <w:rPr>
          <w:sz w:val="24"/>
          <w:szCs w:val="24"/>
        </w:rPr>
      </w:pPr>
      <w:r>
        <w:rPr>
          <w:szCs w:val="24"/>
        </w:rPr>
        <w:t>18.</w:t>
      </w:r>
      <w:r>
        <w:rPr>
          <w:szCs w:val="24"/>
        </w:rPr>
        <w:tab/>
        <w:t>Application for licence — other evidence</w:t>
      </w:r>
      <w:r>
        <w:tab/>
      </w:r>
      <w:r>
        <w:fldChar w:fldCharType="begin"/>
      </w:r>
      <w:r>
        <w:instrText xml:space="preserve"> PAGEREF _Toc160509181 \h </w:instrText>
      </w:r>
      <w:r>
        <w:fldChar w:fldCharType="separate"/>
      </w:r>
      <w:r>
        <w:t>10</w:t>
      </w:r>
      <w:r>
        <w:fldChar w:fldCharType="end"/>
      </w:r>
    </w:p>
    <w:p>
      <w:pPr>
        <w:pStyle w:val="TOC8"/>
        <w:rPr>
          <w:sz w:val="24"/>
          <w:szCs w:val="24"/>
        </w:rPr>
      </w:pPr>
      <w:r>
        <w:rPr>
          <w:szCs w:val="24"/>
        </w:rPr>
        <w:t>19.</w:t>
      </w:r>
      <w:r>
        <w:rPr>
          <w:szCs w:val="24"/>
        </w:rPr>
        <w:tab/>
        <w:t>Application for renewal of licence</w:t>
      </w:r>
      <w:r>
        <w:tab/>
      </w:r>
      <w:r>
        <w:fldChar w:fldCharType="begin"/>
      </w:r>
      <w:r>
        <w:instrText xml:space="preserve"> PAGEREF _Toc160509182 \h </w:instrText>
      </w:r>
      <w:r>
        <w:fldChar w:fldCharType="separate"/>
      </w:r>
      <w:r>
        <w:t>12</w:t>
      </w:r>
      <w:r>
        <w:fldChar w:fldCharType="end"/>
      </w:r>
    </w:p>
    <w:p>
      <w:pPr>
        <w:pStyle w:val="TOC8"/>
        <w:rPr>
          <w:sz w:val="24"/>
          <w:szCs w:val="24"/>
        </w:rPr>
      </w:pPr>
      <w:r>
        <w:rPr>
          <w:szCs w:val="24"/>
        </w:rPr>
        <w:t>20.</w:t>
      </w:r>
      <w:r>
        <w:rPr>
          <w:szCs w:val="24"/>
        </w:rPr>
        <w:tab/>
        <w:t>Conditions of general application</w:t>
      </w:r>
      <w:r>
        <w:tab/>
      </w:r>
      <w:r>
        <w:fldChar w:fldCharType="begin"/>
      </w:r>
      <w:r>
        <w:instrText xml:space="preserve"> PAGEREF _Toc160509183 \h </w:instrText>
      </w:r>
      <w:r>
        <w:fldChar w:fldCharType="separate"/>
      </w:r>
      <w:r>
        <w:t>13</w:t>
      </w:r>
      <w:r>
        <w:fldChar w:fldCharType="end"/>
      </w:r>
    </w:p>
    <w:p>
      <w:pPr>
        <w:pStyle w:val="TOC8"/>
        <w:rPr>
          <w:sz w:val="24"/>
          <w:szCs w:val="24"/>
        </w:rPr>
      </w:pPr>
      <w:r>
        <w:rPr>
          <w:szCs w:val="24"/>
        </w:rPr>
        <w:t>21.</w:t>
      </w:r>
      <w:r>
        <w:rPr>
          <w:szCs w:val="24"/>
        </w:rPr>
        <w:tab/>
        <w:t>Application to amend licence</w:t>
      </w:r>
      <w:r>
        <w:tab/>
      </w:r>
      <w:r>
        <w:fldChar w:fldCharType="begin"/>
      </w:r>
      <w:r>
        <w:instrText xml:space="preserve"> PAGEREF _Toc160509184 \h </w:instrText>
      </w:r>
      <w:r>
        <w:fldChar w:fldCharType="separate"/>
      </w:r>
      <w:r>
        <w:t>14</w:t>
      </w:r>
      <w:r>
        <w:fldChar w:fldCharType="end"/>
      </w:r>
    </w:p>
    <w:p>
      <w:pPr>
        <w:pStyle w:val="TOC8"/>
        <w:rPr>
          <w:sz w:val="24"/>
          <w:szCs w:val="24"/>
        </w:rPr>
      </w:pPr>
      <w:r>
        <w:rPr>
          <w:szCs w:val="24"/>
        </w:rPr>
        <w:t>22.</w:t>
      </w:r>
      <w:r>
        <w:rPr>
          <w:szCs w:val="24"/>
        </w:rPr>
        <w:tab/>
        <w:t>Register of licences</w:t>
      </w:r>
      <w:r>
        <w:tab/>
      </w:r>
      <w:r>
        <w:fldChar w:fldCharType="begin"/>
      </w:r>
      <w:r>
        <w:instrText xml:space="preserve"> PAGEREF _Toc160509185 \h </w:instrText>
      </w:r>
      <w:r>
        <w:fldChar w:fldCharType="separate"/>
      </w:r>
      <w:r>
        <w:t>15</w:t>
      </w:r>
      <w:r>
        <w:fldChar w:fldCharType="end"/>
      </w:r>
    </w:p>
    <w:p>
      <w:pPr>
        <w:pStyle w:val="TOC4"/>
        <w:tabs>
          <w:tab w:val="right" w:leader="dot" w:pos="7086"/>
        </w:tabs>
        <w:rPr>
          <w:b w:val="0"/>
          <w:sz w:val="24"/>
          <w:szCs w:val="24"/>
        </w:rPr>
      </w:pPr>
      <w:r>
        <w:rPr>
          <w:szCs w:val="26"/>
        </w:rPr>
        <w:t>Division 2 — Further obligations of licence holders</w:t>
      </w:r>
    </w:p>
    <w:p>
      <w:pPr>
        <w:pStyle w:val="TOC8"/>
        <w:rPr>
          <w:sz w:val="24"/>
          <w:szCs w:val="24"/>
        </w:rPr>
      </w:pPr>
      <w:r>
        <w:rPr>
          <w:szCs w:val="24"/>
        </w:rPr>
        <w:t>23.</w:t>
      </w:r>
      <w:r>
        <w:rPr>
          <w:szCs w:val="24"/>
        </w:rPr>
        <w:tab/>
        <w:t>Licence details on invoices etc.</w:t>
      </w:r>
      <w:r>
        <w:tab/>
      </w:r>
      <w:r>
        <w:fldChar w:fldCharType="begin"/>
      </w:r>
      <w:r>
        <w:instrText xml:space="preserve"> PAGEREF _Toc160509187 \h </w:instrText>
      </w:r>
      <w:r>
        <w:fldChar w:fldCharType="separate"/>
      </w:r>
      <w:r>
        <w:t>16</w:t>
      </w:r>
      <w:r>
        <w:fldChar w:fldCharType="end"/>
      </w:r>
    </w:p>
    <w:p>
      <w:pPr>
        <w:pStyle w:val="TOC8"/>
        <w:rPr>
          <w:sz w:val="24"/>
          <w:szCs w:val="24"/>
        </w:rPr>
      </w:pPr>
      <w:r>
        <w:rPr>
          <w:szCs w:val="24"/>
        </w:rPr>
        <w:t>24.</w:t>
      </w:r>
      <w:r>
        <w:rPr>
          <w:szCs w:val="24"/>
        </w:rPr>
        <w:tab/>
        <w:t>Records to be kept</w:t>
      </w:r>
      <w:r>
        <w:tab/>
      </w:r>
      <w:r>
        <w:fldChar w:fldCharType="begin"/>
      </w:r>
      <w:r>
        <w:instrText xml:space="preserve"> PAGEREF _Toc160509188 \h </w:instrText>
      </w:r>
      <w:r>
        <w:fldChar w:fldCharType="separate"/>
      </w:r>
      <w:r>
        <w:t>16</w:t>
      </w:r>
      <w:r>
        <w:fldChar w:fldCharType="end"/>
      </w:r>
    </w:p>
    <w:p>
      <w:pPr>
        <w:pStyle w:val="TOC4"/>
        <w:tabs>
          <w:tab w:val="right" w:leader="dot" w:pos="7086"/>
        </w:tabs>
        <w:rPr>
          <w:b w:val="0"/>
          <w:sz w:val="24"/>
          <w:szCs w:val="24"/>
        </w:rPr>
      </w:pPr>
      <w:r>
        <w:rPr>
          <w:szCs w:val="26"/>
        </w:rPr>
        <w:t>Division 3 — Fees</w:t>
      </w:r>
    </w:p>
    <w:p>
      <w:pPr>
        <w:pStyle w:val="TOC8"/>
        <w:rPr>
          <w:sz w:val="24"/>
          <w:szCs w:val="24"/>
        </w:rPr>
      </w:pPr>
      <w:r>
        <w:rPr>
          <w:szCs w:val="24"/>
        </w:rPr>
        <w:t>25</w:t>
      </w:r>
      <w:r>
        <w:rPr>
          <w:snapToGrid w:val="0"/>
          <w:szCs w:val="24"/>
        </w:rPr>
        <w:t>.</w:t>
      </w:r>
      <w:r>
        <w:rPr>
          <w:snapToGrid w:val="0"/>
          <w:szCs w:val="24"/>
        </w:rPr>
        <w:tab/>
        <w:t>Fees to be paid on application for issue of a licence</w:t>
      </w:r>
      <w:r>
        <w:tab/>
      </w:r>
      <w:r>
        <w:fldChar w:fldCharType="begin"/>
      </w:r>
      <w:r>
        <w:instrText xml:space="preserve"> PAGEREF _Toc160509190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Fees to be paid on application for renewal of a licence</w:t>
      </w:r>
      <w:r>
        <w:tab/>
      </w:r>
      <w:r>
        <w:fldChar w:fldCharType="begin"/>
      </w:r>
      <w:r>
        <w:instrText xml:space="preserve"> PAGEREF _Toc160509191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Fee to be paid on application for amendment of a licence</w:t>
      </w:r>
      <w:r>
        <w:tab/>
      </w:r>
      <w:r>
        <w:fldChar w:fldCharType="begin"/>
      </w:r>
      <w:r>
        <w:instrText xml:space="preserve"> PAGEREF _Toc160509192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Fee to be paid for extract of registered particulars</w:t>
      </w:r>
      <w:r>
        <w:tab/>
      </w:r>
      <w:r>
        <w:fldChar w:fldCharType="begin"/>
      </w:r>
      <w:r>
        <w:instrText xml:space="preserve"> PAGEREF _Toc160509193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Fee to be paid for duplicate licence</w:t>
      </w:r>
      <w:r>
        <w:tab/>
      </w:r>
      <w:r>
        <w:fldChar w:fldCharType="begin"/>
      </w:r>
      <w:r>
        <w:instrText xml:space="preserve"> PAGEREF _Toc160509194 \h </w:instrText>
      </w:r>
      <w:r>
        <w:fldChar w:fldCharType="separate"/>
      </w:r>
      <w:r>
        <w:t>17</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Sale and supply</w:t>
      </w:r>
    </w:p>
    <w:p>
      <w:pPr>
        <w:pStyle w:val="TOC4"/>
        <w:tabs>
          <w:tab w:val="right" w:leader="dot" w:pos="7086"/>
        </w:tabs>
        <w:rPr>
          <w:b w:val="0"/>
          <w:sz w:val="24"/>
          <w:szCs w:val="24"/>
        </w:rPr>
      </w:pPr>
      <w:r>
        <w:rPr>
          <w:szCs w:val="26"/>
        </w:rPr>
        <w:t>Division 1 — Terms used in this Part</w:t>
      </w:r>
    </w:p>
    <w:p>
      <w:pPr>
        <w:pStyle w:val="TOC8"/>
        <w:rPr>
          <w:sz w:val="24"/>
          <w:szCs w:val="24"/>
        </w:rPr>
      </w:pPr>
      <w:r>
        <w:rPr>
          <w:szCs w:val="24"/>
        </w:rPr>
        <w:t>30.</w:t>
      </w:r>
      <w:r>
        <w:rPr>
          <w:szCs w:val="24"/>
        </w:rPr>
        <w:tab/>
        <w:t>Terms used in this Part</w:t>
      </w:r>
      <w:r>
        <w:tab/>
      </w:r>
      <w:r>
        <w:fldChar w:fldCharType="begin"/>
      </w:r>
      <w:r>
        <w:instrText xml:space="preserve"> PAGEREF _Toc160509197 \h </w:instrText>
      </w:r>
      <w:r>
        <w:fldChar w:fldCharType="separate"/>
      </w:r>
      <w:r>
        <w:t>18</w:t>
      </w:r>
      <w:r>
        <w:fldChar w:fldCharType="end"/>
      </w:r>
    </w:p>
    <w:p>
      <w:pPr>
        <w:pStyle w:val="TOC4"/>
        <w:tabs>
          <w:tab w:val="right" w:leader="dot" w:pos="7086"/>
        </w:tabs>
        <w:rPr>
          <w:b w:val="0"/>
          <w:sz w:val="24"/>
          <w:szCs w:val="24"/>
        </w:rPr>
      </w:pPr>
      <w:r>
        <w:rPr>
          <w:szCs w:val="26"/>
        </w:rPr>
        <w:t>Division 2 — Proof of age</w:t>
      </w:r>
    </w:p>
    <w:p>
      <w:pPr>
        <w:pStyle w:val="TOC8"/>
        <w:rPr>
          <w:sz w:val="24"/>
          <w:szCs w:val="24"/>
        </w:rPr>
      </w:pPr>
      <w:r>
        <w:rPr>
          <w:szCs w:val="24"/>
        </w:rPr>
        <w:t>31.</w:t>
      </w:r>
      <w:r>
        <w:rPr>
          <w:szCs w:val="24"/>
        </w:rPr>
        <w:tab/>
        <w:t>Proof of age</w:t>
      </w:r>
      <w:r>
        <w:tab/>
      </w:r>
      <w:r>
        <w:fldChar w:fldCharType="begin"/>
      </w:r>
      <w:r>
        <w:instrText xml:space="preserve"> PAGEREF _Toc160509199 \h </w:instrText>
      </w:r>
      <w:r>
        <w:fldChar w:fldCharType="separate"/>
      </w:r>
      <w:r>
        <w:t>19</w:t>
      </w:r>
      <w:r>
        <w:fldChar w:fldCharType="end"/>
      </w:r>
    </w:p>
    <w:p>
      <w:pPr>
        <w:pStyle w:val="TOC4"/>
        <w:tabs>
          <w:tab w:val="right" w:leader="dot" w:pos="7086"/>
        </w:tabs>
        <w:rPr>
          <w:b w:val="0"/>
          <w:sz w:val="24"/>
          <w:szCs w:val="24"/>
        </w:rPr>
      </w:pPr>
      <w:r>
        <w:rPr>
          <w:szCs w:val="26"/>
        </w:rPr>
        <w:t>Division 3 — Labelling of tobacco products</w:t>
      </w:r>
    </w:p>
    <w:p>
      <w:pPr>
        <w:pStyle w:val="TOC8"/>
        <w:rPr>
          <w:sz w:val="24"/>
          <w:szCs w:val="24"/>
        </w:rPr>
      </w:pPr>
      <w:r>
        <w:rPr>
          <w:szCs w:val="24"/>
        </w:rPr>
        <w:t>32.</w:t>
      </w:r>
      <w:r>
        <w:rPr>
          <w:szCs w:val="24"/>
        </w:rPr>
        <w:tab/>
        <w:t>Labelling of tobacco products</w:t>
      </w:r>
      <w:r>
        <w:tab/>
      </w:r>
      <w:r>
        <w:fldChar w:fldCharType="begin"/>
      </w:r>
      <w:r>
        <w:instrText xml:space="preserve"> PAGEREF _Toc160509201 \h </w:instrText>
      </w:r>
      <w:r>
        <w:fldChar w:fldCharType="separate"/>
      </w:r>
      <w:r>
        <w:t>19</w:t>
      </w:r>
      <w:r>
        <w:fldChar w:fldCharType="end"/>
      </w:r>
    </w:p>
    <w:p>
      <w:pPr>
        <w:pStyle w:val="TOC4"/>
        <w:tabs>
          <w:tab w:val="right" w:leader="dot" w:pos="7086"/>
        </w:tabs>
        <w:rPr>
          <w:b w:val="0"/>
          <w:sz w:val="24"/>
          <w:szCs w:val="24"/>
        </w:rPr>
      </w:pPr>
      <w:r>
        <w:rPr>
          <w:szCs w:val="26"/>
        </w:rPr>
        <w:t>Division 4 — Display of tobacco products</w:t>
      </w:r>
    </w:p>
    <w:p>
      <w:pPr>
        <w:pStyle w:val="TOC8"/>
        <w:rPr>
          <w:sz w:val="24"/>
          <w:szCs w:val="24"/>
        </w:rPr>
      </w:pPr>
      <w:r>
        <w:rPr>
          <w:szCs w:val="24"/>
        </w:rPr>
        <w:t>33.</w:t>
      </w:r>
      <w:r>
        <w:rPr>
          <w:szCs w:val="24"/>
        </w:rPr>
        <w:tab/>
        <w:t>Packages that cannot be displayed by retailer</w:t>
      </w:r>
      <w:r>
        <w:tab/>
      </w:r>
      <w:r>
        <w:fldChar w:fldCharType="begin"/>
      </w:r>
      <w:r>
        <w:instrText xml:space="preserve"> PAGEREF _Toc160509203 \h </w:instrText>
      </w:r>
      <w:r>
        <w:fldChar w:fldCharType="separate"/>
      </w:r>
      <w:r>
        <w:t>20</w:t>
      </w:r>
      <w:r>
        <w:fldChar w:fldCharType="end"/>
      </w:r>
    </w:p>
    <w:p>
      <w:pPr>
        <w:pStyle w:val="TOC8"/>
        <w:rPr>
          <w:sz w:val="24"/>
          <w:szCs w:val="24"/>
        </w:rPr>
      </w:pPr>
      <w:r>
        <w:rPr>
          <w:szCs w:val="24"/>
        </w:rPr>
        <w:t>34.</w:t>
      </w:r>
      <w:r>
        <w:rPr>
          <w:szCs w:val="24"/>
        </w:rPr>
        <w:tab/>
        <w:t>Location of display of tobacco products or packages by retailer</w:t>
      </w:r>
      <w:r>
        <w:tab/>
      </w:r>
      <w:r>
        <w:fldChar w:fldCharType="begin"/>
      </w:r>
      <w:r>
        <w:instrText xml:space="preserve"> PAGEREF _Toc160509204 \h </w:instrText>
      </w:r>
      <w:r>
        <w:fldChar w:fldCharType="separate"/>
      </w:r>
      <w:r>
        <w:t>20</w:t>
      </w:r>
      <w:r>
        <w:fldChar w:fldCharType="end"/>
      </w:r>
    </w:p>
    <w:p>
      <w:pPr>
        <w:pStyle w:val="TOC8"/>
        <w:rPr>
          <w:sz w:val="24"/>
          <w:szCs w:val="24"/>
        </w:rPr>
      </w:pPr>
      <w:r>
        <w:rPr>
          <w:szCs w:val="24"/>
        </w:rPr>
        <w:t>35.</w:t>
      </w:r>
      <w:r>
        <w:rPr>
          <w:szCs w:val="24"/>
        </w:rPr>
        <w:tab/>
        <w:t>Surface area of displays in cigar cabinets</w:t>
      </w:r>
      <w:r>
        <w:tab/>
      </w:r>
      <w:r>
        <w:fldChar w:fldCharType="begin"/>
      </w:r>
      <w:r>
        <w:instrText xml:space="preserve"> PAGEREF _Toc160509205 \h </w:instrText>
      </w:r>
      <w:r>
        <w:fldChar w:fldCharType="separate"/>
      </w:r>
      <w:r>
        <w:t>21</w:t>
      </w:r>
      <w:r>
        <w:fldChar w:fldCharType="end"/>
      </w:r>
    </w:p>
    <w:p>
      <w:pPr>
        <w:pStyle w:val="TOC8"/>
        <w:rPr>
          <w:sz w:val="24"/>
          <w:szCs w:val="24"/>
        </w:rPr>
      </w:pPr>
      <w:r>
        <w:rPr>
          <w:szCs w:val="24"/>
        </w:rPr>
        <w:t>36.</w:t>
      </w:r>
      <w:r>
        <w:rPr>
          <w:szCs w:val="24"/>
        </w:rPr>
        <w:tab/>
        <w:t>Number of product lines that can be displayed by retailer</w:t>
      </w:r>
      <w:r>
        <w:tab/>
      </w:r>
      <w:r>
        <w:fldChar w:fldCharType="begin"/>
      </w:r>
      <w:r>
        <w:instrText xml:space="preserve"> PAGEREF _Toc160509206 \h </w:instrText>
      </w:r>
      <w:r>
        <w:fldChar w:fldCharType="separate"/>
      </w:r>
      <w:r>
        <w:t>22</w:t>
      </w:r>
      <w:r>
        <w:fldChar w:fldCharType="end"/>
      </w:r>
    </w:p>
    <w:p>
      <w:pPr>
        <w:pStyle w:val="TOC8"/>
        <w:rPr>
          <w:sz w:val="24"/>
          <w:szCs w:val="24"/>
        </w:rPr>
      </w:pPr>
      <w:r>
        <w:rPr>
          <w:szCs w:val="24"/>
        </w:rPr>
        <w:t>37.</w:t>
      </w:r>
      <w:r>
        <w:rPr>
          <w:szCs w:val="24"/>
        </w:rPr>
        <w:tab/>
        <w:t>Display of tobacco products or packages by retailer — other requirements</w:t>
      </w:r>
      <w:r>
        <w:tab/>
      </w:r>
      <w:r>
        <w:fldChar w:fldCharType="begin"/>
      </w:r>
      <w:r>
        <w:instrText xml:space="preserve"> PAGEREF _Toc160509207 \h </w:instrText>
      </w:r>
      <w:r>
        <w:fldChar w:fldCharType="separate"/>
      </w:r>
      <w:r>
        <w:t>22</w:t>
      </w:r>
      <w:r>
        <w:fldChar w:fldCharType="end"/>
      </w:r>
    </w:p>
    <w:p>
      <w:pPr>
        <w:pStyle w:val="TOC8"/>
        <w:rPr>
          <w:sz w:val="24"/>
          <w:szCs w:val="24"/>
        </w:rPr>
      </w:pPr>
      <w:r>
        <w:rPr>
          <w:szCs w:val="24"/>
        </w:rPr>
        <w:t>38.</w:t>
      </w:r>
      <w:r>
        <w:rPr>
          <w:szCs w:val="24"/>
        </w:rPr>
        <w:tab/>
        <w:t>No display of tobacco products or packages on vending machines</w:t>
      </w:r>
      <w:r>
        <w:tab/>
      </w:r>
      <w:r>
        <w:fldChar w:fldCharType="begin"/>
      </w:r>
      <w:r>
        <w:instrText xml:space="preserve"> PAGEREF _Toc160509208 \h </w:instrText>
      </w:r>
      <w:r>
        <w:fldChar w:fldCharType="separate"/>
      </w:r>
      <w:r>
        <w:t>23</w:t>
      </w:r>
      <w:r>
        <w:fldChar w:fldCharType="end"/>
      </w:r>
    </w:p>
    <w:p>
      <w:pPr>
        <w:pStyle w:val="TOC4"/>
        <w:tabs>
          <w:tab w:val="right" w:leader="dot" w:pos="7086"/>
        </w:tabs>
        <w:rPr>
          <w:b w:val="0"/>
          <w:sz w:val="24"/>
          <w:szCs w:val="24"/>
        </w:rPr>
      </w:pPr>
      <w:r>
        <w:rPr>
          <w:szCs w:val="26"/>
        </w:rPr>
        <w:t>Division 5 — Information about availability, price of tobacco products</w:t>
      </w:r>
    </w:p>
    <w:p>
      <w:pPr>
        <w:pStyle w:val="TOC8"/>
        <w:rPr>
          <w:sz w:val="24"/>
          <w:szCs w:val="24"/>
        </w:rPr>
      </w:pPr>
      <w:r>
        <w:rPr>
          <w:szCs w:val="24"/>
        </w:rPr>
        <w:t>39.</w:t>
      </w:r>
      <w:r>
        <w:rPr>
          <w:szCs w:val="24"/>
        </w:rPr>
        <w:tab/>
        <w:t>Information signs about availability or prices of tobacco products sold by retailers — location</w:t>
      </w:r>
      <w:r>
        <w:tab/>
      </w:r>
      <w:r>
        <w:fldChar w:fldCharType="begin"/>
      </w:r>
      <w:r>
        <w:instrText xml:space="preserve"> PAGEREF _Toc160509210 \h </w:instrText>
      </w:r>
      <w:r>
        <w:fldChar w:fldCharType="separate"/>
      </w:r>
      <w:r>
        <w:t>24</w:t>
      </w:r>
      <w:r>
        <w:fldChar w:fldCharType="end"/>
      </w:r>
    </w:p>
    <w:p>
      <w:pPr>
        <w:pStyle w:val="TOC8"/>
        <w:rPr>
          <w:sz w:val="24"/>
          <w:szCs w:val="24"/>
        </w:rPr>
      </w:pPr>
      <w:r>
        <w:rPr>
          <w:szCs w:val="24"/>
        </w:rPr>
        <w:t>40.</w:t>
      </w:r>
      <w:r>
        <w:rPr>
          <w:szCs w:val="24"/>
        </w:rPr>
        <w:tab/>
        <w:t>Information signs about availability or prices of tobacco products sold by retailers — contents</w:t>
      </w:r>
      <w:r>
        <w:tab/>
      </w:r>
      <w:r>
        <w:fldChar w:fldCharType="begin"/>
      </w:r>
      <w:r>
        <w:instrText xml:space="preserve"> PAGEREF _Toc160509211 \h </w:instrText>
      </w:r>
      <w:r>
        <w:fldChar w:fldCharType="separate"/>
      </w:r>
      <w:r>
        <w:t>24</w:t>
      </w:r>
      <w:r>
        <w:fldChar w:fldCharType="end"/>
      </w:r>
    </w:p>
    <w:p>
      <w:pPr>
        <w:pStyle w:val="TOC8"/>
        <w:rPr>
          <w:sz w:val="24"/>
          <w:szCs w:val="24"/>
        </w:rPr>
      </w:pPr>
      <w:r>
        <w:rPr>
          <w:szCs w:val="24"/>
        </w:rPr>
        <w:t>41.</w:t>
      </w:r>
      <w:r>
        <w:rPr>
          <w:szCs w:val="24"/>
        </w:rPr>
        <w:tab/>
        <w:t>Information signs about availability or prices of tobacco products sold by retailers — specifications</w:t>
      </w:r>
      <w:r>
        <w:tab/>
      </w:r>
      <w:r>
        <w:fldChar w:fldCharType="begin"/>
      </w:r>
      <w:r>
        <w:instrText xml:space="preserve"> PAGEREF _Toc160509212 \h </w:instrText>
      </w:r>
      <w:r>
        <w:fldChar w:fldCharType="separate"/>
      </w:r>
      <w:r>
        <w:t>25</w:t>
      </w:r>
      <w:r>
        <w:fldChar w:fldCharType="end"/>
      </w:r>
    </w:p>
    <w:p>
      <w:pPr>
        <w:pStyle w:val="TOC8"/>
        <w:rPr>
          <w:sz w:val="24"/>
          <w:szCs w:val="24"/>
        </w:rPr>
      </w:pPr>
      <w:r>
        <w:rPr>
          <w:szCs w:val="24"/>
        </w:rPr>
        <w:t>42.</w:t>
      </w:r>
      <w:r>
        <w:rPr>
          <w:szCs w:val="24"/>
        </w:rPr>
        <w:tab/>
        <w:t>Information signs about availability or prices of tobacco products sold by retailers — cigar cabinets</w:t>
      </w:r>
      <w:r>
        <w:tab/>
      </w:r>
      <w:r>
        <w:fldChar w:fldCharType="begin"/>
      </w:r>
      <w:r>
        <w:instrText xml:space="preserve"> PAGEREF _Toc160509213 \h </w:instrText>
      </w:r>
      <w:r>
        <w:fldChar w:fldCharType="separate"/>
      </w:r>
      <w:r>
        <w:t>25</w:t>
      </w:r>
      <w:r>
        <w:fldChar w:fldCharType="end"/>
      </w:r>
    </w:p>
    <w:p>
      <w:pPr>
        <w:pStyle w:val="TOC8"/>
        <w:rPr>
          <w:sz w:val="24"/>
          <w:szCs w:val="24"/>
        </w:rPr>
      </w:pPr>
      <w:r>
        <w:rPr>
          <w:szCs w:val="24"/>
        </w:rPr>
        <w:t>43.</w:t>
      </w:r>
      <w:r>
        <w:rPr>
          <w:szCs w:val="24"/>
        </w:rPr>
        <w:tab/>
        <w:t>Price tickets for tobacco products sold by retailers — location and numbers</w:t>
      </w:r>
      <w:r>
        <w:tab/>
      </w:r>
      <w:r>
        <w:fldChar w:fldCharType="begin"/>
      </w:r>
      <w:r>
        <w:instrText xml:space="preserve"> PAGEREF _Toc160509214 \h </w:instrText>
      </w:r>
      <w:r>
        <w:fldChar w:fldCharType="separate"/>
      </w:r>
      <w:r>
        <w:t>26</w:t>
      </w:r>
      <w:r>
        <w:fldChar w:fldCharType="end"/>
      </w:r>
    </w:p>
    <w:p>
      <w:pPr>
        <w:pStyle w:val="TOC8"/>
        <w:rPr>
          <w:sz w:val="24"/>
          <w:szCs w:val="24"/>
        </w:rPr>
      </w:pPr>
      <w:r>
        <w:rPr>
          <w:szCs w:val="24"/>
        </w:rPr>
        <w:t>44.</w:t>
      </w:r>
      <w:r>
        <w:rPr>
          <w:szCs w:val="24"/>
        </w:rPr>
        <w:tab/>
        <w:t>Price tickets for tobacco products sold by retailers — contents</w:t>
      </w:r>
      <w:r>
        <w:tab/>
      </w:r>
      <w:r>
        <w:fldChar w:fldCharType="begin"/>
      </w:r>
      <w:r>
        <w:instrText xml:space="preserve"> PAGEREF _Toc160509215 \h </w:instrText>
      </w:r>
      <w:r>
        <w:fldChar w:fldCharType="separate"/>
      </w:r>
      <w:r>
        <w:t>26</w:t>
      </w:r>
      <w:r>
        <w:fldChar w:fldCharType="end"/>
      </w:r>
    </w:p>
    <w:p>
      <w:pPr>
        <w:pStyle w:val="TOC8"/>
        <w:rPr>
          <w:sz w:val="24"/>
          <w:szCs w:val="24"/>
        </w:rPr>
      </w:pPr>
      <w:r>
        <w:rPr>
          <w:szCs w:val="24"/>
        </w:rPr>
        <w:t>45.</w:t>
      </w:r>
      <w:r>
        <w:rPr>
          <w:szCs w:val="24"/>
        </w:rPr>
        <w:tab/>
        <w:t>Price tickets for tobacco products sold by retailers — specifications</w:t>
      </w:r>
      <w:r>
        <w:tab/>
      </w:r>
      <w:r>
        <w:fldChar w:fldCharType="begin"/>
      </w:r>
      <w:r>
        <w:instrText xml:space="preserve"> PAGEREF _Toc160509216 \h </w:instrText>
      </w:r>
      <w:r>
        <w:fldChar w:fldCharType="separate"/>
      </w:r>
      <w:r>
        <w:t>27</w:t>
      </w:r>
      <w:r>
        <w:fldChar w:fldCharType="end"/>
      </w:r>
    </w:p>
    <w:p>
      <w:pPr>
        <w:pStyle w:val="TOC8"/>
        <w:rPr>
          <w:sz w:val="24"/>
          <w:szCs w:val="24"/>
        </w:rPr>
      </w:pPr>
      <w:r>
        <w:rPr>
          <w:szCs w:val="24"/>
        </w:rPr>
        <w:t>46.</w:t>
      </w:r>
      <w:r>
        <w:rPr>
          <w:szCs w:val="24"/>
        </w:rPr>
        <w:tab/>
        <w:t>Price lists for cigars sold by retailers</w:t>
      </w:r>
      <w:r>
        <w:tab/>
      </w:r>
      <w:r>
        <w:fldChar w:fldCharType="begin"/>
      </w:r>
      <w:r>
        <w:instrText xml:space="preserve"> PAGEREF _Toc160509217 \h </w:instrText>
      </w:r>
      <w:r>
        <w:fldChar w:fldCharType="separate"/>
      </w:r>
      <w:r>
        <w:t>28</w:t>
      </w:r>
      <w:r>
        <w:fldChar w:fldCharType="end"/>
      </w:r>
    </w:p>
    <w:p>
      <w:pPr>
        <w:pStyle w:val="TOC8"/>
        <w:rPr>
          <w:sz w:val="24"/>
          <w:szCs w:val="24"/>
        </w:rPr>
      </w:pPr>
      <w:r>
        <w:rPr>
          <w:szCs w:val="24"/>
        </w:rPr>
        <w:t>47.</w:t>
      </w:r>
      <w:r>
        <w:rPr>
          <w:szCs w:val="24"/>
        </w:rPr>
        <w:tab/>
        <w:t>Facsimiles of tobacco products for information about availability of tobacco products sold by retailers or from vending machine</w:t>
      </w:r>
      <w:r>
        <w:tab/>
      </w:r>
      <w:r>
        <w:fldChar w:fldCharType="begin"/>
      </w:r>
      <w:r>
        <w:instrText xml:space="preserve"> PAGEREF _Toc160509218 \h </w:instrText>
      </w:r>
      <w:r>
        <w:fldChar w:fldCharType="separate"/>
      </w:r>
      <w:r>
        <w:t>29</w:t>
      </w:r>
      <w:r>
        <w:fldChar w:fldCharType="end"/>
      </w:r>
    </w:p>
    <w:p>
      <w:pPr>
        <w:pStyle w:val="TOC4"/>
        <w:tabs>
          <w:tab w:val="right" w:leader="dot" w:pos="7086"/>
        </w:tabs>
        <w:rPr>
          <w:b w:val="0"/>
          <w:sz w:val="24"/>
          <w:szCs w:val="24"/>
        </w:rPr>
      </w:pPr>
      <w:r>
        <w:rPr>
          <w:szCs w:val="26"/>
        </w:rPr>
        <w:t>Division 6 — Warnings</w:t>
      </w:r>
    </w:p>
    <w:p>
      <w:pPr>
        <w:pStyle w:val="TOC8"/>
        <w:rPr>
          <w:sz w:val="24"/>
          <w:szCs w:val="24"/>
        </w:rPr>
      </w:pPr>
      <w:r>
        <w:rPr>
          <w:szCs w:val="24"/>
        </w:rPr>
        <w:t>48.</w:t>
      </w:r>
      <w:r>
        <w:rPr>
          <w:szCs w:val="24"/>
        </w:rPr>
        <w:tab/>
        <w:t>Warning signs about purchase of tobacco products etc. to underage persons — location</w:t>
      </w:r>
      <w:r>
        <w:tab/>
      </w:r>
      <w:r>
        <w:fldChar w:fldCharType="begin"/>
      </w:r>
      <w:r>
        <w:instrText xml:space="preserve"> PAGEREF _Toc160509220 \h </w:instrText>
      </w:r>
      <w:r>
        <w:fldChar w:fldCharType="separate"/>
      </w:r>
      <w:r>
        <w:t>30</w:t>
      </w:r>
      <w:r>
        <w:fldChar w:fldCharType="end"/>
      </w:r>
    </w:p>
    <w:p>
      <w:pPr>
        <w:pStyle w:val="TOC8"/>
        <w:rPr>
          <w:sz w:val="24"/>
          <w:szCs w:val="24"/>
        </w:rPr>
      </w:pPr>
      <w:r>
        <w:rPr>
          <w:szCs w:val="24"/>
        </w:rPr>
        <w:t>49.</w:t>
      </w:r>
      <w:r>
        <w:rPr>
          <w:szCs w:val="24"/>
        </w:rPr>
        <w:tab/>
        <w:t>Warning signs about purchase of tobacco products etc. to underage persons — content and specifications</w:t>
      </w:r>
      <w:r>
        <w:tab/>
      </w:r>
      <w:r>
        <w:fldChar w:fldCharType="begin"/>
      </w:r>
      <w:r>
        <w:instrText xml:space="preserve"> PAGEREF _Toc160509221 \h </w:instrText>
      </w:r>
      <w:r>
        <w:fldChar w:fldCharType="separate"/>
      </w:r>
      <w:r>
        <w:t>30</w:t>
      </w:r>
      <w:r>
        <w:fldChar w:fldCharType="end"/>
      </w:r>
    </w:p>
    <w:p>
      <w:pPr>
        <w:pStyle w:val="TOC8"/>
        <w:rPr>
          <w:sz w:val="24"/>
          <w:szCs w:val="24"/>
        </w:rPr>
      </w:pPr>
      <w:r>
        <w:rPr>
          <w:szCs w:val="24"/>
        </w:rPr>
        <w:t>50.</w:t>
      </w:r>
      <w:r>
        <w:rPr>
          <w:szCs w:val="24"/>
        </w:rPr>
        <w:tab/>
        <w:t>Health warning signs — location</w:t>
      </w:r>
      <w:r>
        <w:tab/>
      </w:r>
      <w:r>
        <w:fldChar w:fldCharType="begin"/>
      </w:r>
      <w:r>
        <w:instrText xml:space="preserve"> PAGEREF _Toc160509222 \h </w:instrText>
      </w:r>
      <w:r>
        <w:fldChar w:fldCharType="separate"/>
      </w:r>
      <w:r>
        <w:t>31</w:t>
      </w:r>
      <w:r>
        <w:fldChar w:fldCharType="end"/>
      </w:r>
    </w:p>
    <w:p>
      <w:pPr>
        <w:pStyle w:val="TOC8"/>
        <w:rPr>
          <w:sz w:val="24"/>
          <w:szCs w:val="24"/>
        </w:rPr>
      </w:pPr>
      <w:r>
        <w:rPr>
          <w:szCs w:val="24"/>
        </w:rPr>
        <w:t>51.</w:t>
      </w:r>
      <w:r>
        <w:rPr>
          <w:szCs w:val="24"/>
        </w:rPr>
        <w:tab/>
        <w:t>Health warning signs — content and specifications</w:t>
      </w:r>
      <w:r>
        <w:tab/>
      </w:r>
      <w:r>
        <w:fldChar w:fldCharType="begin"/>
      </w:r>
      <w:r>
        <w:instrText xml:space="preserve"> PAGEREF _Toc160509223 \h </w:instrText>
      </w:r>
      <w:r>
        <w:fldChar w:fldCharType="separate"/>
      </w:r>
      <w:r>
        <w:t>31</w:t>
      </w:r>
      <w:r>
        <w:fldChar w:fldCharType="end"/>
      </w:r>
    </w:p>
    <w:p>
      <w:pPr>
        <w:pStyle w:val="TOC4"/>
        <w:tabs>
          <w:tab w:val="right" w:leader="dot" w:pos="7086"/>
        </w:tabs>
        <w:rPr>
          <w:b w:val="0"/>
          <w:sz w:val="24"/>
          <w:szCs w:val="24"/>
        </w:rPr>
      </w:pPr>
      <w:r>
        <w:rPr>
          <w:szCs w:val="26"/>
        </w:rPr>
        <w:t>Division 7 — Information and advice</w:t>
      </w:r>
    </w:p>
    <w:p>
      <w:pPr>
        <w:pStyle w:val="TOC8"/>
        <w:rPr>
          <w:sz w:val="24"/>
          <w:szCs w:val="24"/>
        </w:rPr>
      </w:pPr>
      <w:r>
        <w:rPr>
          <w:szCs w:val="24"/>
        </w:rPr>
        <w:t>52.</w:t>
      </w:r>
      <w:r>
        <w:rPr>
          <w:szCs w:val="24"/>
        </w:rPr>
        <w:tab/>
        <w:t>Retailers providing purchasers of tobacco products with approved guides</w:t>
      </w:r>
      <w:r>
        <w:tab/>
      </w:r>
      <w:r>
        <w:fldChar w:fldCharType="begin"/>
      </w:r>
      <w:r>
        <w:instrText xml:space="preserve"> PAGEREF _Toc160509225 \h </w:instrText>
      </w:r>
      <w:r>
        <w:fldChar w:fldCharType="separate"/>
      </w:r>
      <w:r>
        <w:t>32</w:t>
      </w:r>
      <w:r>
        <w:fldChar w:fldCharType="end"/>
      </w:r>
    </w:p>
    <w:p>
      <w:pPr>
        <w:pStyle w:val="TOC8"/>
        <w:rPr>
          <w:sz w:val="24"/>
          <w:szCs w:val="24"/>
        </w:rPr>
      </w:pPr>
      <w:r>
        <w:rPr>
          <w:szCs w:val="24"/>
        </w:rPr>
        <w:t>53.</w:t>
      </w:r>
      <w:r>
        <w:rPr>
          <w:szCs w:val="24"/>
        </w:rPr>
        <w:tab/>
        <w:t>Retailers making approved guides available to purchasers of tobacco products</w:t>
      </w:r>
      <w:r>
        <w:tab/>
      </w:r>
      <w:r>
        <w:fldChar w:fldCharType="begin"/>
      </w:r>
      <w:r>
        <w:instrText xml:space="preserve"> PAGEREF _Toc160509226 \h </w:instrText>
      </w:r>
      <w:r>
        <w:fldChar w:fldCharType="separate"/>
      </w:r>
      <w:r>
        <w:t>33</w:t>
      </w:r>
      <w:r>
        <w:fldChar w:fldCharType="end"/>
      </w:r>
    </w:p>
    <w:p>
      <w:pPr>
        <w:pStyle w:val="TOC8"/>
        <w:rPr>
          <w:sz w:val="24"/>
          <w:szCs w:val="24"/>
        </w:rPr>
      </w:pPr>
      <w:r>
        <w:rPr>
          <w:szCs w:val="24"/>
        </w:rPr>
        <w:t>54.</w:t>
      </w:r>
      <w:r>
        <w:rPr>
          <w:szCs w:val="24"/>
        </w:rPr>
        <w:tab/>
        <w:t>Wholesalers providing retailers with approved guides</w:t>
      </w:r>
      <w:r>
        <w:tab/>
      </w:r>
      <w:r>
        <w:fldChar w:fldCharType="begin"/>
      </w:r>
      <w:r>
        <w:instrText xml:space="preserve"> PAGEREF _Toc160509227 \h </w:instrText>
      </w:r>
      <w:r>
        <w:fldChar w:fldCharType="separate"/>
      </w:r>
      <w:r>
        <w:t>33</w:t>
      </w:r>
      <w:r>
        <w:fldChar w:fldCharType="end"/>
      </w:r>
    </w:p>
    <w:p>
      <w:pPr>
        <w:pStyle w:val="TOC4"/>
        <w:tabs>
          <w:tab w:val="right" w:leader="dot" w:pos="7086"/>
        </w:tabs>
        <w:rPr>
          <w:b w:val="0"/>
          <w:sz w:val="24"/>
          <w:szCs w:val="24"/>
        </w:rPr>
      </w:pPr>
      <w:r>
        <w:rPr>
          <w:szCs w:val="26"/>
        </w:rPr>
        <w:t>Division 8 — Vending machines</w:t>
      </w:r>
    </w:p>
    <w:p>
      <w:pPr>
        <w:pStyle w:val="TOC8"/>
        <w:rPr>
          <w:sz w:val="24"/>
          <w:szCs w:val="24"/>
        </w:rPr>
      </w:pPr>
      <w:r>
        <w:rPr>
          <w:szCs w:val="24"/>
        </w:rPr>
        <w:t>55.</w:t>
      </w:r>
      <w:r>
        <w:rPr>
          <w:szCs w:val="24"/>
        </w:rPr>
        <w:tab/>
        <w:t>Number of vending machines</w:t>
      </w:r>
      <w:r>
        <w:tab/>
      </w:r>
      <w:r>
        <w:fldChar w:fldCharType="begin"/>
      </w:r>
      <w:r>
        <w:instrText xml:space="preserve"> PAGEREF _Toc160509229 \h </w:instrText>
      </w:r>
      <w:r>
        <w:fldChar w:fldCharType="separate"/>
      </w:r>
      <w:r>
        <w:t>33</w:t>
      </w:r>
      <w:r>
        <w:fldChar w:fldCharType="end"/>
      </w:r>
    </w:p>
    <w:p>
      <w:pPr>
        <w:pStyle w:val="TOC8"/>
        <w:rPr>
          <w:sz w:val="24"/>
          <w:szCs w:val="24"/>
        </w:rPr>
      </w:pPr>
      <w:r>
        <w:rPr>
          <w:szCs w:val="24"/>
        </w:rPr>
        <w:t>56.</w:t>
      </w:r>
      <w:r>
        <w:rPr>
          <w:szCs w:val="24"/>
        </w:rPr>
        <w:tab/>
        <w:t>Location of vending machines</w:t>
      </w:r>
      <w:r>
        <w:tab/>
      </w:r>
      <w:r>
        <w:fldChar w:fldCharType="begin"/>
      </w:r>
      <w:r>
        <w:instrText xml:space="preserve"> PAGEREF _Toc160509230 \h </w:instrText>
      </w:r>
      <w:r>
        <w:fldChar w:fldCharType="separate"/>
      </w:r>
      <w:r>
        <w:t>33</w:t>
      </w:r>
      <w:r>
        <w:fldChar w:fldCharType="end"/>
      </w:r>
    </w:p>
    <w:p>
      <w:pPr>
        <w:pStyle w:val="TOC4"/>
        <w:tabs>
          <w:tab w:val="right" w:leader="dot" w:pos="7086"/>
        </w:tabs>
        <w:rPr>
          <w:b w:val="0"/>
          <w:sz w:val="24"/>
          <w:szCs w:val="24"/>
        </w:rPr>
      </w:pPr>
      <w:r>
        <w:rPr>
          <w:szCs w:val="26"/>
        </w:rPr>
        <w:t>Division 9 — Smokeless tobacco</w:t>
      </w:r>
    </w:p>
    <w:p>
      <w:pPr>
        <w:pStyle w:val="TOC8"/>
        <w:rPr>
          <w:sz w:val="24"/>
          <w:szCs w:val="24"/>
        </w:rPr>
      </w:pPr>
      <w:r>
        <w:rPr>
          <w:szCs w:val="24"/>
        </w:rPr>
        <w:t>57.</w:t>
      </w:r>
      <w:r>
        <w:rPr>
          <w:szCs w:val="24"/>
        </w:rPr>
        <w:tab/>
        <w:t>Smokeless tobacco</w:t>
      </w:r>
      <w:r>
        <w:tab/>
      </w:r>
      <w:r>
        <w:fldChar w:fldCharType="begin"/>
      </w:r>
      <w:r>
        <w:instrText xml:space="preserve"> PAGEREF _Toc160509232 \h </w:instrText>
      </w:r>
      <w:r>
        <w:fldChar w:fldCharType="separate"/>
      </w:r>
      <w:r>
        <w:t>34</w:t>
      </w:r>
      <w:r>
        <w:fldChar w:fldCharType="end"/>
      </w:r>
    </w:p>
    <w:p>
      <w:pPr>
        <w:pStyle w:val="TOC2"/>
        <w:tabs>
          <w:tab w:val="right" w:leader="dot" w:pos="7086"/>
        </w:tabs>
        <w:rPr>
          <w:b w:val="0"/>
          <w:sz w:val="24"/>
          <w:szCs w:val="24"/>
        </w:rPr>
      </w:pPr>
      <w:r>
        <w:rPr>
          <w:szCs w:val="30"/>
        </w:rPr>
        <w:t>Part 7</w:t>
      </w:r>
      <w:r>
        <w:rPr>
          <w:b w:val="0"/>
          <w:szCs w:val="30"/>
        </w:rPr>
        <w:t> </w:t>
      </w:r>
      <w:r>
        <w:rPr>
          <w:szCs w:val="30"/>
        </w:rPr>
        <w:t>—</w:t>
      </w:r>
      <w:r>
        <w:rPr>
          <w:b w:val="0"/>
          <w:szCs w:val="30"/>
        </w:rPr>
        <w:t> </w:t>
      </w:r>
      <w:r>
        <w:rPr>
          <w:szCs w:val="30"/>
        </w:rPr>
        <w:t>Miscellaneous</w:t>
      </w:r>
    </w:p>
    <w:p>
      <w:pPr>
        <w:pStyle w:val="TOC8"/>
        <w:rPr>
          <w:sz w:val="24"/>
          <w:szCs w:val="24"/>
        </w:rPr>
      </w:pPr>
      <w:r>
        <w:rPr>
          <w:szCs w:val="24"/>
        </w:rPr>
        <w:t>58.</w:t>
      </w:r>
      <w:r>
        <w:rPr>
          <w:szCs w:val="24"/>
        </w:rPr>
        <w:tab/>
        <w:t>Confidentiality — exceptions</w:t>
      </w:r>
      <w:r>
        <w:tab/>
      </w:r>
      <w:r>
        <w:fldChar w:fldCharType="begin"/>
      </w:r>
      <w:r>
        <w:instrText xml:space="preserve"> PAGEREF _Toc160509234 \h </w:instrText>
      </w:r>
      <w:r>
        <w:fldChar w:fldCharType="separate"/>
      </w:r>
      <w:r>
        <w:t>35</w:t>
      </w:r>
      <w:r>
        <w:fldChar w:fldCharType="end"/>
      </w:r>
    </w:p>
    <w:p>
      <w:pPr>
        <w:pStyle w:val="TOC2"/>
        <w:tabs>
          <w:tab w:val="right" w:leader="dot" w:pos="7086"/>
        </w:tabs>
        <w:rPr>
          <w:b w:val="0"/>
          <w:sz w:val="24"/>
          <w:szCs w:val="24"/>
        </w:rPr>
      </w:pPr>
      <w:r>
        <w:rPr>
          <w:szCs w:val="28"/>
        </w:rPr>
        <w:t>Schedule 1 — Warning signs about purchase of tobacco products</w:t>
      </w:r>
    </w:p>
    <w:p>
      <w:pPr>
        <w:pStyle w:val="TOC2"/>
        <w:tabs>
          <w:tab w:val="right" w:leader="dot" w:pos="7086"/>
        </w:tabs>
        <w:rPr>
          <w:b w:val="0"/>
          <w:sz w:val="24"/>
          <w:szCs w:val="24"/>
        </w:rPr>
      </w:pPr>
      <w:r>
        <w:rPr>
          <w:szCs w:val="28"/>
        </w:rPr>
        <w:t>Schedule 2 — Health warning signs, general and vending machines</w:t>
      </w:r>
    </w:p>
    <w:p>
      <w:pPr>
        <w:pStyle w:val="TOC2"/>
        <w:tabs>
          <w:tab w:val="right" w:leader="dot" w:pos="7086"/>
        </w:tabs>
        <w:rPr>
          <w:b w:val="0"/>
          <w:sz w:val="24"/>
          <w:szCs w:val="24"/>
        </w:rPr>
      </w:pPr>
      <w:r>
        <w:rPr>
          <w:szCs w:val="28"/>
        </w:rPr>
        <w:t>Schedule 3 — Health warning signs — cigar cabinets, humidified rooms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_Toc160509239 \h </w:instrText>
      </w:r>
      <w:r>
        <w:fldChar w:fldCharType="separate"/>
      </w:r>
      <w:r>
        <w:t>41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Tobacco Products Control Act 2006</w:t>
      </w:r>
    </w:p>
    <w:p>
      <w:pPr>
        <w:pStyle w:val="NameofActReg"/>
      </w:pPr>
      <w:r>
        <w:t>Tobacco Products Control Regulations 2006</w:t>
      </w:r>
    </w:p>
    <w:p>
      <w:pPr>
        <w:pStyle w:val="Heading2"/>
        <w:pageBreakBefore w:val="0"/>
        <w:spacing w:before="240"/>
      </w:pPr>
      <w:bookmarkStart w:id="1" w:name="_Toc139797328"/>
      <w:bookmarkStart w:id="2" w:name="_Toc139797352"/>
      <w:bookmarkStart w:id="3" w:name="_Toc139798069"/>
      <w:bookmarkStart w:id="4" w:name="_Toc139855075"/>
      <w:bookmarkStart w:id="5" w:name="_Toc139855485"/>
      <w:bookmarkStart w:id="6" w:name="_Toc139855839"/>
      <w:bookmarkStart w:id="7" w:name="_Toc139856200"/>
      <w:bookmarkStart w:id="8" w:name="_Toc139856377"/>
      <w:bookmarkStart w:id="9" w:name="_Toc139857674"/>
      <w:bookmarkStart w:id="10" w:name="_Toc139857742"/>
      <w:bookmarkStart w:id="11" w:name="_Toc139857795"/>
      <w:bookmarkStart w:id="12" w:name="_Toc139870949"/>
      <w:bookmarkStart w:id="13" w:name="_Toc141610293"/>
      <w:bookmarkStart w:id="14" w:name="_Toc141610404"/>
      <w:bookmarkStart w:id="15" w:name="_Toc141610433"/>
      <w:bookmarkStart w:id="16" w:name="_Toc141691908"/>
      <w:bookmarkStart w:id="17" w:name="_Toc160449000"/>
      <w:bookmarkStart w:id="18" w:name="_Toc160449580"/>
      <w:bookmarkStart w:id="19" w:name="_Toc160507537"/>
      <w:bookmarkStart w:id="20" w:name="_Toc160508000"/>
      <w:bookmarkStart w:id="21" w:name="_Toc16050915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2" w:name="_Toc423332722"/>
      <w:bookmarkStart w:id="23" w:name="_Toc425219441"/>
      <w:bookmarkStart w:id="24" w:name="_Toc426249308"/>
      <w:bookmarkStart w:id="25" w:name="_Toc449924704"/>
      <w:bookmarkStart w:id="26" w:name="_Toc449947722"/>
      <w:bookmarkStart w:id="27" w:name="_Toc454185713"/>
      <w:bookmarkStart w:id="28" w:name="_Toc515958686"/>
      <w:bookmarkStart w:id="29" w:name="_Toc139870950"/>
      <w:bookmarkStart w:id="30" w:name="_Toc160509160"/>
      <w:r>
        <w:rPr>
          <w:rStyle w:val="CharSectno"/>
        </w:rPr>
        <w:t>1</w:t>
      </w:r>
      <w:r>
        <w:t>.</w:t>
      </w:r>
      <w:r>
        <w:tab/>
        <w:t>Citation</w:t>
      </w:r>
      <w:bookmarkEnd w:id="22"/>
      <w:bookmarkEnd w:id="23"/>
      <w:bookmarkEnd w:id="24"/>
      <w:bookmarkEnd w:id="25"/>
      <w:bookmarkEnd w:id="26"/>
      <w:bookmarkEnd w:id="27"/>
      <w:bookmarkEnd w:id="28"/>
      <w:bookmarkEnd w:id="29"/>
      <w:bookmarkEnd w:id="30"/>
    </w:p>
    <w:p>
      <w:pPr>
        <w:pStyle w:val="Subsection"/>
        <w:rPr>
          <w:i/>
        </w:rPr>
      </w:pPr>
      <w:r>
        <w:tab/>
      </w:r>
      <w:r>
        <w:tab/>
      </w:r>
      <w:bookmarkStart w:id="31" w:name="Start_Cursor"/>
      <w:bookmarkEnd w:id="31"/>
      <w:r>
        <w:rPr>
          <w:spacing w:val="-2"/>
        </w:rPr>
        <w:t>These</w:t>
      </w:r>
      <w:r>
        <w:t xml:space="preserve"> </w:t>
      </w:r>
      <w:r>
        <w:rPr>
          <w:spacing w:val="-2"/>
        </w:rPr>
        <w:t>regulations</w:t>
      </w:r>
      <w:r>
        <w:t xml:space="preserve"> are the </w:t>
      </w:r>
      <w:r>
        <w:rPr>
          <w:i/>
        </w:rPr>
        <w:t>Tobacco Products Control Regulations 2006</w:t>
      </w:r>
      <w:r>
        <w:t>.</w:t>
      </w:r>
    </w:p>
    <w:p>
      <w:pPr>
        <w:pStyle w:val="Heading5"/>
        <w:rPr>
          <w:spacing w:val="-2"/>
        </w:rPr>
      </w:pPr>
      <w:bookmarkStart w:id="32" w:name="_Toc423332723"/>
      <w:bookmarkStart w:id="33" w:name="_Toc425219442"/>
      <w:bookmarkStart w:id="34" w:name="_Toc426249309"/>
      <w:bookmarkStart w:id="35" w:name="_Toc449924705"/>
      <w:bookmarkStart w:id="36" w:name="_Toc449947723"/>
      <w:bookmarkStart w:id="37" w:name="_Toc454185714"/>
      <w:bookmarkStart w:id="38" w:name="_Toc515958687"/>
      <w:bookmarkStart w:id="39" w:name="_Toc139870951"/>
      <w:bookmarkStart w:id="40" w:name="_Toc160509161"/>
      <w:r>
        <w:rPr>
          <w:rStyle w:val="CharSectno"/>
        </w:rPr>
        <w:t>2</w:t>
      </w:r>
      <w:r>
        <w:rPr>
          <w:spacing w:val="-2"/>
        </w:rPr>
        <w:t>.</w:t>
      </w:r>
      <w:r>
        <w:rPr>
          <w:spacing w:val="-2"/>
        </w:rPr>
        <w:tab/>
        <w:t>Commencement</w:t>
      </w:r>
      <w:bookmarkEnd w:id="32"/>
      <w:bookmarkEnd w:id="33"/>
      <w:bookmarkEnd w:id="34"/>
      <w:bookmarkEnd w:id="35"/>
      <w:bookmarkEnd w:id="36"/>
      <w:bookmarkEnd w:id="37"/>
      <w:bookmarkEnd w:id="38"/>
      <w:bookmarkEnd w:id="39"/>
      <w:bookmarkEnd w:id="40"/>
    </w:p>
    <w:p>
      <w:pPr>
        <w:pStyle w:val="Subsection"/>
        <w:rPr>
          <w:spacing w:val="-2"/>
        </w:rPr>
      </w:pPr>
      <w:r>
        <w:rPr>
          <w:spacing w:val="-2"/>
        </w:rPr>
        <w:tab/>
      </w:r>
      <w:r>
        <w:rPr>
          <w:spacing w:val="-2"/>
        </w:rPr>
        <w:tab/>
        <w:t>These regulations come into operation on 31 July 2006.</w:t>
      </w:r>
    </w:p>
    <w:p>
      <w:pPr>
        <w:pStyle w:val="Heading5"/>
      </w:pPr>
      <w:bookmarkStart w:id="41" w:name="_Toc139870952"/>
      <w:bookmarkStart w:id="42" w:name="_Toc160509162"/>
      <w:r>
        <w:rPr>
          <w:rStyle w:val="CharSectno"/>
        </w:rPr>
        <w:t>3</w:t>
      </w:r>
      <w:r>
        <w:t>.</w:t>
      </w:r>
      <w:r>
        <w:tab/>
        <w:t>Interpretation</w:t>
      </w:r>
      <w:bookmarkEnd w:id="41"/>
      <w:bookmarkEnd w:id="42"/>
    </w:p>
    <w:p>
      <w:pPr>
        <w:pStyle w:val="Subsection"/>
      </w:pPr>
      <w:r>
        <w:tab/>
      </w:r>
      <w:r>
        <w:tab/>
        <w:t xml:space="preserve">In these regulations — </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Footnotesection"/>
      </w:pPr>
      <w:r>
        <w:tab/>
        <w:t>[Regulation 3 amended in Gazette 28 Feb 2007 p. 643.]</w:t>
      </w:r>
    </w:p>
    <w:p>
      <w:pPr>
        <w:pStyle w:val="Ednotepart"/>
      </w:pPr>
      <w:r>
        <w:t>[Part 2 deleted in Gazette 28 Feb 2007 p. 644.]</w:t>
      </w:r>
    </w:p>
    <w:p>
      <w:pPr>
        <w:pStyle w:val="Heading2"/>
      </w:pPr>
      <w:bookmarkStart w:id="43" w:name="_Toc139797336"/>
      <w:bookmarkStart w:id="44" w:name="_Toc139797360"/>
      <w:bookmarkStart w:id="45" w:name="_Toc139798077"/>
      <w:bookmarkStart w:id="46" w:name="_Toc139855083"/>
      <w:bookmarkStart w:id="47" w:name="_Toc139855493"/>
      <w:bookmarkStart w:id="48" w:name="_Toc139855847"/>
      <w:bookmarkStart w:id="49" w:name="_Toc139856208"/>
      <w:bookmarkStart w:id="50" w:name="_Toc139856385"/>
      <w:bookmarkStart w:id="51" w:name="_Toc139857682"/>
      <w:bookmarkStart w:id="52" w:name="_Toc139857750"/>
      <w:bookmarkStart w:id="53" w:name="_Toc139857803"/>
      <w:bookmarkStart w:id="54" w:name="_Toc139870957"/>
      <w:bookmarkStart w:id="55" w:name="_Toc141610301"/>
      <w:bookmarkStart w:id="56" w:name="_Toc141610412"/>
      <w:bookmarkStart w:id="57" w:name="_Toc141610441"/>
      <w:bookmarkStart w:id="58" w:name="_Toc141691916"/>
      <w:bookmarkStart w:id="59" w:name="_Toc160449008"/>
      <w:bookmarkStart w:id="60" w:name="_Toc160449588"/>
      <w:bookmarkStart w:id="61" w:name="_Toc160507545"/>
      <w:bookmarkStart w:id="62" w:name="_Toc160508008"/>
      <w:bookmarkStart w:id="63" w:name="_Toc160509163"/>
      <w:r>
        <w:rPr>
          <w:rStyle w:val="CharPartNo"/>
        </w:rPr>
        <w:t>Part 3</w:t>
      </w:r>
      <w:r>
        <w:t> — </w:t>
      </w:r>
      <w:r>
        <w:rPr>
          <w:rStyle w:val="CharPartText"/>
        </w:rPr>
        <w:t>Smoking in enclosed public places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3"/>
      </w:pPr>
      <w:bookmarkStart w:id="64" w:name="_Toc139797337"/>
      <w:bookmarkStart w:id="65" w:name="_Toc139797361"/>
      <w:bookmarkStart w:id="66" w:name="_Toc139798078"/>
      <w:bookmarkStart w:id="67" w:name="_Toc139855084"/>
      <w:bookmarkStart w:id="68" w:name="_Toc139855494"/>
      <w:bookmarkStart w:id="69" w:name="_Toc139855848"/>
      <w:bookmarkStart w:id="70" w:name="_Toc139856209"/>
      <w:bookmarkStart w:id="71" w:name="_Toc139856386"/>
      <w:bookmarkStart w:id="72" w:name="_Toc139857683"/>
      <w:bookmarkStart w:id="73" w:name="_Toc139857751"/>
      <w:bookmarkStart w:id="74" w:name="_Toc139857804"/>
      <w:bookmarkStart w:id="75" w:name="_Toc139870958"/>
      <w:bookmarkStart w:id="76" w:name="_Toc141610302"/>
      <w:bookmarkStart w:id="77" w:name="_Toc141610413"/>
      <w:bookmarkStart w:id="78" w:name="_Toc141610442"/>
      <w:bookmarkStart w:id="79" w:name="_Toc141691917"/>
      <w:bookmarkStart w:id="80" w:name="_Toc160449009"/>
      <w:bookmarkStart w:id="81" w:name="_Toc160449589"/>
      <w:bookmarkStart w:id="82" w:name="_Toc160507546"/>
      <w:bookmarkStart w:id="83" w:name="_Toc160508009"/>
      <w:bookmarkStart w:id="84" w:name="_Toc160509164"/>
      <w:r>
        <w:rPr>
          <w:rStyle w:val="CharDivNo"/>
        </w:rPr>
        <w:t>Division 1</w:t>
      </w:r>
      <w:r>
        <w:t> — </w:t>
      </w:r>
      <w:r>
        <w:rPr>
          <w:rStyle w:val="CharDivText"/>
        </w:rPr>
        <w:t>Preliminary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Toc139870959"/>
      <w:bookmarkStart w:id="86" w:name="_Toc160509165"/>
      <w:r>
        <w:rPr>
          <w:rStyle w:val="CharSectno"/>
        </w:rPr>
        <w:t>7</w:t>
      </w:r>
      <w:r>
        <w:t>.</w:t>
      </w:r>
      <w:r>
        <w:tab/>
        <w:t>Terms used in Part 3</w:t>
      </w:r>
      <w:bookmarkEnd w:id="85"/>
      <w:bookmarkEnd w:id="86"/>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tab/>
      </w:r>
      <w:r>
        <w:rPr>
          <w:rStyle w:val="CharDefText"/>
        </w:rPr>
        <w:t>occupier</w:t>
      </w:r>
      <w:r>
        <w:t>, in relation to an enclosed public place, means a person having the management or control, or otherwise being in charge, of that place;</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Heading5"/>
      </w:pPr>
      <w:bookmarkStart w:id="87" w:name="_Toc139870960"/>
      <w:bookmarkStart w:id="88" w:name="_Toc160509166"/>
      <w:r>
        <w:rPr>
          <w:rStyle w:val="CharSectno"/>
        </w:rPr>
        <w:t>8</w:t>
      </w:r>
      <w:r>
        <w:t>.</w:t>
      </w:r>
      <w:r>
        <w:tab/>
        <w:t>Enclosed public places</w:t>
      </w:r>
      <w:bookmarkEnd w:id="87"/>
      <w:bookmarkEnd w:id="88"/>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Heading5"/>
      </w:pPr>
      <w:bookmarkStart w:id="89" w:name="_Toc139870961"/>
      <w:bookmarkStart w:id="90" w:name="_Toc160509167"/>
      <w:r>
        <w:rPr>
          <w:rStyle w:val="CharSectno"/>
        </w:rPr>
        <w:t>9</w:t>
      </w:r>
      <w:r>
        <w:t>.</w:t>
      </w:r>
      <w:r>
        <w:tab/>
        <w:t>Notional vertical surface area</w:t>
      </w:r>
      <w:bookmarkEnd w:id="89"/>
      <w:bookmarkEnd w:id="90"/>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91" w:name="_Toc139797341"/>
      <w:bookmarkStart w:id="92" w:name="_Toc139797365"/>
      <w:bookmarkStart w:id="93" w:name="_Toc139798082"/>
      <w:bookmarkStart w:id="94" w:name="_Toc139855088"/>
      <w:bookmarkStart w:id="95" w:name="_Toc139855498"/>
      <w:bookmarkStart w:id="96" w:name="_Toc139855852"/>
      <w:bookmarkStart w:id="97" w:name="_Toc139856213"/>
      <w:bookmarkStart w:id="98" w:name="_Toc139856390"/>
      <w:bookmarkStart w:id="99" w:name="_Toc139857687"/>
      <w:bookmarkStart w:id="100" w:name="_Toc139857755"/>
      <w:bookmarkStart w:id="101" w:name="_Toc139857808"/>
      <w:bookmarkStart w:id="102" w:name="_Toc139870962"/>
      <w:bookmarkStart w:id="103" w:name="_Toc141610306"/>
      <w:bookmarkStart w:id="104" w:name="_Toc141610417"/>
      <w:bookmarkStart w:id="105" w:name="_Toc141610446"/>
      <w:bookmarkStart w:id="106" w:name="_Toc141691921"/>
      <w:bookmarkStart w:id="107" w:name="_Toc160449013"/>
      <w:bookmarkStart w:id="108" w:name="_Toc160449593"/>
      <w:bookmarkStart w:id="109" w:name="_Toc160507550"/>
      <w:bookmarkStart w:id="110" w:name="_Toc160508013"/>
      <w:bookmarkStart w:id="111" w:name="_Toc160509168"/>
      <w:r>
        <w:rPr>
          <w:rStyle w:val="CharDivNo"/>
        </w:rPr>
        <w:t>Division 2</w:t>
      </w:r>
      <w:r>
        <w:t> — </w:t>
      </w:r>
      <w:r>
        <w:rPr>
          <w:rStyle w:val="CharDivText"/>
        </w:rPr>
        <w:t>Offences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pPr>
      <w:bookmarkStart w:id="112" w:name="_Toc435856809"/>
      <w:bookmarkStart w:id="113" w:name="_Toc443301424"/>
      <w:bookmarkStart w:id="114" w:name="_Toc446755008"/>
      <w:bookmarkStart w:id="115" w:name="_Toc53551010"/>
      <w:bookmarkStart w:id="116" w:name="_Toc139870963"/>
      <w:bookmarkStart w:id="117" w:name="_Toc160509169"/>
      <w:r>
        <w:rPr>
          <w:rStyle w:val="CharSectno"/>
        </w:rPr>
        <w:t>10</w:t>
      </w:r>
      <w:r>
        <w:t>.</w:t>
      </w:r>
      <w:r>
        <w:tab/>
        <w:t>Prohibition on smoking in enclosed public places</w:t>
      </w:r>
      <w:bookmarkEnd w:id="112"/>
      <w:bookmarkEnd w:id="113"/>
      <w:bookmarkEnd w:id="114"/>
      <w:bookmarkEnd w:id="115"/>
      <w:bookmarkEnd w:id="116"/>
      <w:bookmarkEnd w:id="117"/>
    </w:p>
    <w:p>
      <w:pPr>
        <w:pStyle w:val="Subsection"/>
      </w:pPr>
      <w:r>
        <w:tab/>
        <w:t>(1)</w:t>
      </w:r>
      <w:r>
        <w:tab/>
        <w:t>A person must not smoke in an enclosed public place.</w:t>
      </w:r>
    </w:p>
    <w:p>
      <w:pPr>
        <w:pStyle w:val="Penstart"/>
      </w:pPr>
      <w:r>
        <w:tab/>
        <w:t>Penalty: a fine of $2 000.</w:t>
      </w:r>
    </w:p>
    <w:p>
      <w:pPr>
        <w:pStyle w:val="Subsection"/>
        <w:rPr>
          <w:i/>
        </w:rPr>
      </w:pPr>
      <w:r>
        <w:tab/>
        <w:t>(2)</w:t>
      </w:r>
      <w:r>
        <w:tab/>
        <w:t xml:space="preserve">Subregulation (1) does not apply to the International Room at the premises at Burswood Island that are the subject of a casino gaming licence granted under the </w:t>
      </w:r>
      <w:r>
        <w:rPr>
          <w:i/>
        </w:rPr>
        <w:t>Casino Control Act 1984</w:t>
      </w:r>
      <w:r>
        <w:rPr>
          <w:iCs/>
        </w:rPr>
        <w:t>, if the International Room has adequate ventilation.</w:t>
      </w:r>
    </w:p>
    <w:p>
      <w:pPr>
        <w:pStyle w:val="Subsection"/>
      </w:pPr>
      <w:bookmarkStart w:id="118" w:name="_Hlt440339481"/>
      <w:bookmarkEnd w:id="118"/>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119" w:name="_Hlt440173902"/>
      <w:bookmarkStart w:id="120" w:name="_Toc435856813"/>
      <w:bookmarkStart w:id="121" w:name="_Toc443301432"/>
      <w:bookmarkStart w:id="122" w:name="_Toc446755016"/>
      <w:bookmarkStart w:id="123" w:name="_Toc53551018"/>
      <w:bookmarkStart w:id="124" w:name="_Toc139870964"/>
      <w:bookmarkStart w:id="125" w:name="_Toc160509170"/>
      <w:bookmarkEnd w:id="119"/>
      <w:r>
        <w:rPr>
          <w:rStyle w:val="CharSectno"/>
        </w:rPr>
        <w:t>11</w:t>
      </w:r>
      <w:r>
        <w:t>.</w:t>
      </w:r>
      <w:r>
        <w:tab/>
        <w:t>Offence by occupier</w:t>
      </w:r>
      <w:bookmarkEnd w:id="120"/>
      <w:bookmarkEnd w:id="121"/>
      <w:bookmarkEnd w:id="122"/>
      <w:bookmarkEnd w:id="123"/>
      <w:bookmarkEnd w:id="124"/>
      <w:bookmarkEnd w:id="125"/>
    </w:p>
    <w:p>
      <w:pPr>
        <w:pStyle w:val="Subsection"/>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126" w:name="_Toc435856815"/>
      <w:bookmarkStart w:id="127" w:name="_Toc443301434"/>
      <w:bookmarkStart w:id="128" w:name="_Toc446755018"/>
      <w:bookmarkStart w:id="129" w:name="_Toc53551020"/>
      <w:bookmarkStart w:id="130" w:name="_Toc139870965"/>
      <w:bookmarkStart w:id="131" w:name="_Toc160509171"/>
      <w:r>
        <w:rPr>
          <w:rStyle w:val="CharSectno"/>
        </w:rPr>
        <w:t>12</w:t>
      </w:r>
      <w:r>
        <w:t>.</w:t>
      </w:r>
      <w:r>
        <w:tab/>
        <w:t>Display of no smoking signs in entrances to licensed premises</w:t>
      </w:r>
      <w:bookmarkEnd w:id="126"/>
      <w:bookmarkEnd w:id="127"/>
      <w:bookmarkEnd w:id="128"/>
      <w:bookmarkEnd w:id="129"/>
      <w:bookmarkEnd w:id="130"/>
      <w:bookmarkEnd w:id="131"/>
    </w:p>
    <w:p>
      <w:pPr>
        <w:pStyle w:val="Subsection"/>
      </w:pPr>
      <w:r>
        <w:tab/>
        <w:t>(1)</w:t>
      </w:r>
      <w:r>
        <w:tab/>
        <w:t>An occupier of an enclosed public place that comprises, or is part of,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Subsection"/>
      </w:pPr>
      <w:r>
        <w:tab/>
        <w:t>(4)</w:t>
      </w:r>
      <w:r>
        <w:tab/>
        <w:t xml:space="preserve">In subregulation (3) — </w:t>
      </w:r>
    </w:p>
    <w:p>
      <w:pPr>
        <w:pStyle w:val="Defstart"/>
      </w:pPr>
      <w:r>
        <w:rPr>
          <w:b/>
        </w:rPr>
        <w:tab/>
      </w:r>
      <w:r>
        <w:rPr>
          <w:rStyle w:val="CharDefText"/>
        </w:rPr>
        <w:t>restaurant licence</w:t>
      </w:r>
      <w:r>
        <w:t>, in relation to a place, means —</w:t>
      </w:r>
    </w:p>
    <w:p>
      <w:pPr>
        <w:pStyle w:val="Defpara"/>
      </w:pPr>
      <w:r>
        <w:tab/>
        <w:t>(a)</w:t>
      </w:r>
      <w:r>
        <w:tab/>
        <w:t xml:space="preserve">a restaurant licence granted under the </w:t>
      </w:r>
      <w:r>
        <w:rPr>
          <w:i/>
        </w:rPr>
        <w:t>Liquor Licensing Act 1988</w:t>
      </w:r>
      <w:r>
        <w:t xml:space="preserve"> in relation to that place; or</w:t>
      </w:r>
    </w:p>
    <w:p>
      <w:pPr>
        <w:pStyle w:val="Defpara"/>
        <w:rPr>
          <w:iCs/>
        </w:rPr>
      </w:pPr>
      <w:r>
        <w:tab/>
        <w:t>(b)</w:t>
      </w:r>
      <w:r>
        <w:tab/>
        <w:t xml:space="preserve">a condition of any other kind of licence, order or permit under the </w:t>
      </w:r>
      <w:r>
        <w:rPr>
          <w:i/>
        </w:rPr>
        <w:t>Liquor Licensing Act 1988</w:t>
      </w:r>
      <w:r>
        <w:rPr>
          <w:iCs/>
        </w:rPr>
        <w:t> —</w:t>
      </w:r>
    </w:p>
    <w:p>
      <w:pPr>
        <w:pStyle w:val="Defsubpara"/>
      </w:pPr>
      <w:r>
        <w:tab/>
        <w:t>(i)</w:t>
      </w:r>
      <w:r>
        <w:tab/>
        <w:t xml:space="preserve">to the effect that a provision of that Act relating to restaurant licences applies to that place; or </w:t>
      </w:r>
    </w:p>
    <w:p>
      <w:pPr>
        <w:pStyle w:val="Defsubpara"/>
      </w:pPr>
      <w:r>
        <w:tab/>
        <w:t>(ii)</w:t>
      </w:r>
      <w:r>
        <w:tab/>
        <w:t>that otherwise has an effect in relation to that place that is similar to a provision of that Act relating to restaurant licences.</w:t>
      </w:r>
    </w:p>
    <w:p>
      <w:pPr>
        <w:pStyle w:val="Heading5"/>
      </w:pPr>
      <w:bookmarkStart w:id="132" w:name="_Toc94941487"/>
      <w:bookmarkStart w:id="133" w:name="_Toc133130213"/>
      <w:bookmarkStart w:id="134" w:name="_Toc139870966"/>
      <w:bookmarkStart w:id="135" w:name="_Toc160509172"/>
      <w:r>
        <w:rPr>
          <w:rStyle w:val="CharSectno"/>
        </w:rPr>
        <w:t>13</w:t>
      </w:r>
      <w:r>
        <w:t>.</w:t>
      </w:r>
      <w:r>
        <w:tab/>
        <w:t>Duty to prevent smoke</w:t>
      </w:r>
      <w:bookmarkEnd w:id="132"/>
      <w:bookmarkEnd w:id="133"/>
      <w:r>
        <w:t xml:space="preserve"> entering enclosed public places</w:t>
      </w:r>
      <w:bookmarkEnd w:id="134"/>
      <w:bookmarkEnd w:id="135"/>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136" w:name="_Toc139797346"/>
      <w:bookmarkStart w:id="137" w:name="_Toc139797370"/>
      <w:bookmarkStart w:id="138" w:name="_Toc139798087"/>
      <w:bookmarkStart w:id="139" w:name="_Toc139855093"/>
      <w:bookmarkStart w:id="140" w:name="_Toc139855503"/>
      <w:bookmarkStart w:id="141" w:name="_Toc139855857"/>
      <w:bookmarkStart w:id="142" w:name="_Toc139856218"/>
      <w:bookmarkStart w:id="143" w:name="_Toc139856395"/>
      <w:bookmarkStart w:id="144" w:name="_Toc139857692"/>
      <w:bookmarkStart w:id="145" w:name="_Toc139857760"/>
      <w:bookmarkStart w:id="146" w:name="_Toc139857813"/>
      <w:bookmarkStart w:id="147" w:name="_Toc139870967"/>
      <w:bookmarkStart w:id="148" w:name="_Toc141610311"/>
      <w:bookmarkStart w:id="149" w:name="_Toc141610422"/>
      <w:bookmarkStart w:id="150" w:name="_Toc141610451"/>
      <w:bookmarkStart w:id="151" w:name="_Toc141691926"/>
      <w:bookmarkStart w:id="152" w:name="_Toc160449018"/>
      <w:bookmarkStart w:id="153" w:name="_Toc160449598"/>
      <w:bookmarkStart w:id="154" w:name="_Toc160507555"/>
      <w:bookmarkStart w:id="155" w:name="_Toc160508018"/>
      <w:bookmarkStart w:id="156" w:name="_Toc160509173"/>
      <w:r>
        <w:rPr>
          <w:rStyle w:val="CharDivNo"/>
        </w:rPr>
        <w:t>Division 3</w:t>
      </w:r>
      <w:r>
        <w:t> — </w:t>
      </w:r>
      <w:r>
        <w:rPr>
          <w:rStyle w:val="CharDivText"/>
        </w:rPr>
        <w:t>Investigators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pPr>
      <w:bookmarkStart w:id="157" w:name="_Toc443301430"/>
      <w:bookmarkStart w:id="158" w:name="_Toc446755014"/>
      <w:bookmarkStart w:id="159" w:name="_Toc53551016"/>
      <w:bookmarkStart w:id="160" w:name="_Toc139870968"/>
      <w:bookmarkStart w:id="161" w:name="_Toc160509174"/>
      <w:r>
        <w:rPr>
          <w:rStyle w:val="CharSectno"/>
        </w:rPr>
        <w:t>14</w:t>
      </w:r>
      <w:r>
        <w:t>.</w:t>
      </w:r>
      <w:r>
        <w:tab/>
        <w:t>Investigators to notify occupiers before taking action under Part </w:t>
      </w:r>
      <w:bookmarkEnd w:id="157"/>
      <w:bookmarkEnd w:id="158"/>
      <w:bookmarkEnd w:id="159"/>
      <w:r>
        <w:t>3</w:t>
      </w:r>
      <w:bookmarkEnd w:id="160"/>
      <w:bookmarkEnd w:id="161"/>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162" w:name="_Toc435856811"/>
      <w:bookmarkStart w:id="163" w:name="_Toc443301431"/>
      <w:bookmarkStart w:id="164" w:name="_Toc446755015"/>
      <w:bookmarkStart w:id="165" w:name="_Toc53551017"/>
      <w:bookmarkStart w:id="166" w:name="_Toc139870969"/>
      <w:bookmarkStart w:id="167" w:name="_Toc160509175"/>
      <w:r>
        <w:rPr>
          <w:rStyle w:val="CharSectno"/>
        </w:rPr>
        <w:t>15</w:t>
      </w:r>
      <w:r>
        <w:t>.</w:t>
      </w:r>
      <w:r>
        <w:tab/>
        <w:t>Directions by investigators</w:t>
      </w:r>
      <w:bookmarkEnd w:id="162"/>
      <w:bookmarkEnd w:id="163"/>
      <w:bookmarkEnd w:id="164"/>
      <w:bookmarkEnd w:id="165"/>
      <w:bookmarkEnd w:id="166"/>
      <w:bookmarkEnd w:id="167"/>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168" w:name="_Toc139797349"/>
      <w:bookmarkStart w:id="169" w:name="_Toc139797373"/>
      <w:bookmarkStart w:id="170" w:name="_Toc139798090"/>
      <w:bookmarkStart w:id="171" w:name="_Toc139855096"/>
      <w:bookmarkStart w:id="172" w:name="_Toc139855506"/>
      <w:bookmarkStart w:id="173" w:name="_Toc139855860"/>
      <w:bookmarkStart w:id="174" w:name="_Toc139856221"/>
      <w:bookmarkStart w:id="175" w:name="_Toc139856398"/>
      <w:bookmarkStart w:id="176" w:name="_Toc139857695"/>
      <w:bookmarkStart w:id="177" w:name="_Toc139857763"/>
      <w:bookmarkStart w:id="178" w:name="_Toc139857816"/>
      <w:bookmarkStart w:id="179" w:name="_Toc139870970"/>
      <w:bookmarkStart w:id="180" w:name="_Toc141610314"/>
      <w:bookmarkStart w:id="181" w:name="_Toc141610425"/>
      <w:bookmarkStart w:id="182" w:name="_Toc141610454"/>
      <w:bookmarkStart w:id="183" w:name="_Toc141691929"/>
      <w:bookmarkStart w:id="184" w:name="_Toc160449021"/>
      <w:bookmarkStart w:id="185" w:name="_Toc160449601"/>
      <w:bookmarkStart w:id="186" w:name="_Toc160507558"/>
      <w:bookmarkStart w:id="187" w:name="_Toc160508021"/>
      <w:bookmarkStart w:id="188" w:name="_Toc160509176"/>
      <w:r>
        <w:rPr>
          <w:rStyle w:val="CharPartNo"/>
        </w:rPr>
        <w:t>Part 4</w:t>
      </w:r>
      <w:r>
        <w:rPr>
          <w:rStyle w:val="CharDivNo"/>
        </w:rPr>
        <w:t> </w:t>
      </w:r>
      <w:r>
        <w:t>—</w:t>
      </w:r>
      <w:r>
        <w:rPr>
          <w:rStyle w:val="CharDivText"/>
        </w:rPr>
        <w:t> </w:t>
      </w:r>
      <w:r>
        <w:rPr>
          <w:rStyle w:val="CharPartText"/>
        </w:rPr>
        <w:t>Western Australian Health Promotion Foundation and administration</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pPr>
      <w:bookmarkStart w:id="189" w:name="_Toc139870971"/>
      <w:bookmarkStart w:id="190" w:name="_Toc160509177"/>
      <w:r>
        <w:rPr>
          <w:rStyle w:val="CharSectno"/>
        </w:rPr>
        <w:t>16</w:t>
      </w:r>
      <w:r>
        <w:t>.</w:t>
      </w:r>
      <w:r>
        <w:tab/>
        <w:t>Funds of the Foundation</w:t>
      </w:r>
      <w:bookmarkEnd w:id="189"/>
      <w:bookmarkEnd w:id="190"/>
    </w:p>
    <w:p>
      <w:pPr>
        <w:pStyle w:val="Subsection"/>
      </w:pPr>
      <w:r>
        <w:tab/>
      </w:r>
      <w:r>
        <w:tab/>
        <w:t>For the purposes of section 71(2) the amount of $18 153 000.00 is prescribed for the financial year beginning on 1 July 2006.</w:t>
      </w:r>
    </w:p>
    <w:p>
      <w:pPr>
        <w:pStyle w:val="Heading2"/>
      </w:pPr>
      <w:bookmarkStart w:id="191" w:name="_Toc160449023"/>
      <w:bookmarkStart w:id="192" w:name="_Toc160449603"/>
      <w:bookmarkStart w:id="193" w:name="_Toc160507560"/>
      <w:bookmarkStart w:id="194" w:name="_Toc160508023"/>
      <w:bookmarkStart w:id="195" w:name="_Toc160509178"/>
      <w:r>
        <w:rPr>
          <w:rStyle w:val="CharPartNo"/>
        </w:rPr>
        <w:t>Part 5</w:t>
      </w:r>
      <w:r>
        <w:rPr>
          <w:b w:val="0"/>
        </w:rPr>
        <w:t> </w:t>
      </w:r>
      <w:r>
        <w:t>—</w:t>
      </w:r>
      <w:r>
        <w:rPr>
          <w:b w:val="0"/>
        </w:rPr>
        <w:t> </w:t>
      </w:r>
      <w:r>
        <w:rPr>
          <w:rStyle w:val="CharPartText"/>
        </w:rPr>
        <w:t>Licensing</w:t>
      </w:r>
      <w:bookmarkEnd w:id="191"/>
      <w:bookmarkEnd w:id="192"/>
      <w:bookmarkEnd w:id="193"/>
      <w:bookmarkEnd w:id="194"/>
      <w:bookmarkEnd w:id="195"/>
    </w:p>
    <w:p>
      <w:pPr>
        <w:pStyle w:val="Footnoteheading"/>
      </w:pPr>
      <w:r>
        <w:tab/>
        <w:t>[Heading inserted in Gazette 28 Feb 2007 p. 644.]</w:t>
      </w:r>
    </w:p>
    <w:p>
      <w:pPr>
        <w:pStyle w:val="Heading3"/>
      </w:pPr>
      <w:bookmarkStart w:id="196" w:name="_Toc160449024"/>
      <w:bookmarkStart w:id="197" w:name="_Toc160449604"/>
      <w:bookmarkStart w:id="198" w:name="_Toc160507561"/>
      <w:bookmarkStart w:id="199" w:name="_Toc160508024"/>
      <w:bookmarkStart w:id="200" w:name="_Toc160509179"/>
      <w:r>
        <w:rPr>
          <w:rStyle w:val="CharDivNo"/>
        </w:rPr>
        <w:t>Division 1</w:t>
      </w:r>
      <w:r>
        <w:t> — </w:t>
      </w:r>
      <w:r>
        <w:rPr>
          <w:rStyle w:val="CharDivText"/>
        </w:rPr>
        <w:t>Licensing procedures</w:t>
      </w:r>
      <w:bookmarkEnd w:id="196"/>
      <w:bookmarkEnd w:id="197"/>
      <w:bookmarkEnd w:id="198"/>
      <w:bookmarkEnd w:id="199"/>
      <w:bookmarkEnd w:id="200"/>
    </w:p>
    <w:p>
      <w:pPr>
        <w:pStyle w:val="Footnoteheading"/>
      </w:pPr>
      <w:r>
        <w:tab/>
        <w:t>[Heading inserted in Gazette 28 Feb 2007 p. 644.]</w:t>
      </w:r>
    </w:p>
    <w:p>
      <w:pPr>
        <w:pStyle w:val="Heading5"/>
      </w:pPr>
      <w:bookmarkStart w:id="201" w:name="_Toc160509180"/>
      <w:r>
        <w:rPr>
          <w:rStyle w:val="CharSectno"/>
        </w:rPr>
        <w:t>17</w:t>
      </w:r>
      <w:r>
        <w:t>.</w:t>
      </w:r>
      <w:r>
        <w:tab/>
        <w:t>Application for licence — proof of individual’s identity</w:t>
      </w:r>
      <w:bookmarkEnd w:id="201"/>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pPr>
      <w:r>
        <w:tab/>
        <w:t>(a)</w:t>
      </w:r>
      <w:r>
        <w:tab/>
        <w:t>the applicant’s birth certificate; or</w:t>
      </w:r>
    </w:p>
    <w:p>
      <w:pPr>
        <w:pStyle w:val="Indenta"/>
      </w:pPr>
      <w:r>
        <w:tab/>
        <w:t>(b)</w:t>
      </w:r>
      <w:r>
        <w:tab/>
        <w:t>the applicant’s passport if the passport is either current or has not been expired for more than 24 months; or</w:t>
      </w:r>
    </w:p>
    <w:p>
      <w:pPr>
        <w:pStyle w:val="Indenta"/>
      </w:pPr>
      <w:r>
        <w:tab/>
        <w:t>(c)</w:t>
      </w:r>
      <w:r>
        <w:tab/>
        <w:t>the applicant’s motor driver’s licence; or</w:t>
      </w:r>
    </w:p>
    <w:p>
      <w:pPr>
        <w:pStyle w:val="Indenta"/>
        <w:rPr>
          <w:snapToGrid w:val="0"/>
        </w:rPr>
      </w:pPr>
      <w:r>
        <w:tab/>
        <w:t>(d)</w:t>
      </w:r>
      <w:r>
        <w:tab/>
      </w:r>
      <w:r>
        <w:rPr>
          <w:snapToGrid w:val="0"/>
        </w:rPr>
        <w:t>a certificate of the applicant’s Australian citizenship; or</w:t>
      </w:r>
    </w:p>
    <w:p>
      <w:pPr>
        <w:pStyle w:val="Indenta"/>
        <w:rPr>
          <w:snapToGrid w:val="0"/>
        </w:rPr>
      </w:pPr>
      <w:r>
        <w:rPr>
          <w:snapToGrid w:val="0"/>
        </w:rPr>
        <w:tab/>
        <w:t>(e)</w:t>
      </w:r>
      <w:r>
        <w:rPr>
          <w:snapToGrid w:val="0"/>
        </w:rPr>
        <w:tab/>
        <w:t>a document establishing the discharge of the applicant from any of the Australian defence forces; or</w:t>
      </w:r>
    </w:p>
    <w:p>
      <w:pPr>
        <w:pStyle w:val="Indenta"/>
        <w:rPr>
          <w:snapToGrid w:val="0"/>
        </w:rPr>
      </w:pPr>
      <w:r>
        <w:rPr>
          <w:snapToGrid w:val="0"/>
        </w:rPr>
        <w:tab/>
        <w:t>(f)</w:t>
      </w:r>
      <w:r>
        <w:rPr>
          <w:snapToGrid w:val="0"/>
        </w:rPr>
        <w:tab/>
        <w:t>a document establishing the applicant’s appointment as a Justice of the Peace; or</w:t>
      </w:r>
    </w:p>
    <w:p>
      <w:pPr>
        <w:pStyle w:val="Indenta"/>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rPr>
          <w:snapToGrid w:val="0"/>
        </w:rPr>
      </w:pPr>
      <w:r>
        <w:rPr>
          <w:snapToGrid w:val="0"/>
        </w:rPr>
        <w:tab/>
        <w:t>(h)</w:t>
      </w:r>
      <w:r>
        <w:rPr>
          <w:snapToGrid w:val="0"/>
        </w:rPr>
        <w:tab/>
        <w:t>a certificate of the applicant’s descent issued by the department of the Commonwealth public service responsible for the administration of immigration or issued by a consulate within Australia.</w:t>
      </w:r>
    </w:p>
    <w:p>
      <w:pPr>
        <w:pStyle w:val="Footnotesection"/>
      </w:pPr>
      <w:r>
        <w:tab/>
        <w:t>[Regulation 17 inserted in Gazette 28 Feb 2007 p. 644-5.]</w:t>
      </w:r>
    </w:p>
    <w:p>
      <w:pPr>
        <w:pStyle w:val="Heading5"/>
      </w:pPr>
      <w:bookmarkStart w:id="202" w:name="_Toc160509181"/>
      <w:r>
        <w:rPr>
          <w:rStyle w:val="CharSectno"/>
        </w:rPr>
        <w:t>18</w:t>
      </w:r>
      <w:r>
        <w:t>.</w:t>
      </w:r>
      <w:r>
        <w:tab/>
        <w:t>Application for licence — other evidence</w:t>
      </w:r>
      <w:bookmarkEnd w:id="202"/>
    </w:p>
    <w:p>
      <w:pPr>
        <w:pStyle w:val="Subsection"/>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pPr>
      <w:r>
        <w:tab/>
        <w:t>(a)</w:t>
      </w:r>
      <w:r>
        <w:tab/>
        <w:t xml:space="preserve">written confirmation from one of the directors of the body corporate that the applicant is authorised by the body corporate to make the application; </w:t>
      </w:r>
    </w:p>
    <w:p>
      <w:pPr>
        <w:pStyle w:val="Indenta"/>
      </w:pPr>
      <w:r>
        <w:tab/>
        <w:t>(b)</w:t>
      </w:r>
      <w:r>
        <w:tab/>
        <w:t xml:space="preserve">an extract or other evidentiary document obtained under the Corporations Law as to the identity of each of the officers of the body corporate; </w:t>
      </w:r>
    </w:p>
    <w:p>
      <w:pPr>
        <w:pStyle w:val="Indenta"/>
      </w:pPr>
      <w:r>
        <w:tab/>
        <w:t>(c)</w:t>
      </w:r>
      <w:r>
        <w:tab/>
        <w:t xml:space="preserve">a document mentioned in the </w:t>
      </w:r>
      <w:r>
        <w:rPr>
          <w:i/>
        </w:rPr>
        <w:t>Business Names Act 1962</w:t>
      </w:r>
      <w:r>
        <w:t xml:space="preserve"> section 24 as to the registration of the business name (if any) applicable to the business to be conducted by the body corporate at the premises that are the subject of the application;</w:t>
      </w:r>
    </w:p>
    <w:p>
      <w:pPr>
        <w:pStyle w:val="Indenta"/>
      </w:pPr>
      <w:r>
        <w:tab/>
        <w:t>(d)</w:t>
      </w:r>
      <w:r>
        <w:tab/>
        <w:t xml:space="preserve">a document mentioned in the </w:t>
      </w:r>
      <w:r>
        <w:rPr>
          <w:i/>
        </w:rPr>
        <w:t>Business Names Act 1962</w:t>
      </w:r>
      <w:r>
        <w:t xml:space="preserve"> section 24 as to the person or persons in relation to whom the business name is registered.</w:t>
      </w:r>
    </w:p>
    <w:p>
      <w:pPr>
        <w:pStyle w:val="Subsection"/>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document mentioned in the </w:t>
      </w:r>
      <w:r>
        <w:rPr>
          <w:i/>
        </w:rPr>
        <w:t>Business Names Act 1962</w:t>
      </w:r>
      <w:r>
        <w:t xml:space="preserve"> section 24 as to the registration of the business name (if any) applicable to the business to be conducted by the partnership at the premises that are the subject of the application; </w:t>
      </w:r>
    </w:p>
    <w:p>
      <w:pPr>
        <w:pStyle w:val="Indenta"/>
      </w:pPr>
      <w:r>
        <w:tab/>
        <w:t>(c)</w:t>
      </w:r>
      <w:r>
        <w:tab/>
        <w:t xml:space="preserve">a document mentioned in the </w:t>
      </w:r>
      <w:r>
        <w:rPr>
          <w:i/>
        </w:rPr>
        <w:t>Business Names Act 1962</w:t>
      </w:r>
      <w:r>
        <w:t xml:space="preserve"> section 24 as to the person or persons in relation to whom the business name is registered.</w:t>
      </w:r>
    </w:p>
    <w:p>
      <w:pPr>
        <w:pStyle w:val="Footnotesection"/>
      </w:pPr>
      <w:r>
        <w:tab/>
        <w:t>[Regulation 18 inserted in Gazette 28 Feb 2007 p. 645-6.]</w:t>
      </w:r>
    </w:p>
    <w:p>
      <w:pPr>
        <w:pStyle w:val="Heading5"/>
      </w:pPr>
      <w:bookmarkStart w:id="203" w:name="_Toc160509182"/>
      <w:r>
        <w:rPr>
          <w:rStyle w:val="CharSectno"/>
        </w:rPr>
        <w:t>19</w:t>
      </w:r>
      <w:r>
        <w:t>.</w:t>
      </w:r>
      <w:r>
        <w:tab/>
        <w:t>Application for renewal of licence</w:t>
      </w:r>
      <w:bookmarkEnd w:id="203"/>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document mentioned in the </w:t>
      </w:r>
      <w:r>
        <w:rPr>
          <w:i/>
        </w:rPr>
        <w:t>Business Names Act 1962</w:t>
      </w:r>
      <w:r>
        <w:t xml:space="preserve"> section 24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document mentioned in the </w:t>
      </w:r>
      <w:r>
        <w:rPr>
          <w:i/>
        </w:rPr>
        <w:t>Business Names Act 1962</w:t>
      </w:r>
      <w:r>
        <w:t xml:space="preserve"> section 24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Footnotesection"/>
      </w:pPr>
      <w:r>
        <w:tab/>
        <w:t>[Regulation 19 inserted in Gazette 28 Feb 2007 p. 646-7.]</w:t>
      </w:r>
    </w:p>
    <w:p>
      <w:pPr>
        <w:pStyle w:val="Heading5"/>
      </w:pPr>
      <w:bookmarkStart w:id="204" w:name="_Toc160509183"/>
      <w:r>
        <w:rPr>
          <w:rStyle w:val="CharSectno"/>
        </w:rPr>
        <w:t>20</w:t>
      </w:r>
      <w:r>
        <w:t>.</w:t>
      </w:r>
      <w:r>
        <w:tab/>
        <w:t>Conditions of general application</w:t>
      </w:r>
      <w:bookmarkEnd w:id="204"/>
    </w:p>
    <w:p>
      <w:pPr>
        <w:pStyle w:val="Subsection"/>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pPr>
      <w:r>
        <w:tab/>
        <w:t>(a)</w:t>
      </w:r>
      <w:r>
        <w:tab/>
        <w:t>is instructed not to sell a tobacco product or a smoking implement to a person who has not reached 18 years of age; and</w:t>
      </w:r>
    </w:p>
    <w:p>
      <w:pPr>
        <w:pStyle w:val="Indenta"/>
      </w:pPr>
      <w:r>
        <w:tab/>
        <w:t>(b)</w:t>
      </w:r>
      <w:r>
        <w:tab/>
        <w:t xml:space="preserve">is instructed not to sell a tobacco product or a smoking implement to a person unless the employee or agent — </w:t>
      </w:r>
    </w:p>
    <w:p>
      <w:pPr>
        <w:pStyle w:val="Indenti"/>
      </w:pPr>
      <w:r>
        <w:tab/>
        <w:t>(i)</w:t>
      </w:r>
      <w:r>
        <w:tab/>
        <w:t>sees a document mentioned in section 15(1) that satisfies the employee or agent that the person who is to take possession of the tobacco product or smoking implement has reached 18 years of age; or</w:t>
      </w:r>
    </w:p>
    <w:p>
      <w:pPr>
        <w:pStyle w:val="Indenti"/>
      </w:pPr>
      <w:r>
        <w:tab/>
        <w:t>(ii)</w:t>
      </w:r>
      <w:r>
        <w:tab/>
        <w:t>has no reason to believe that the person who is to take possession of the tobacco product or smoking implement has not reached 18 years of age;</w:t>
      </w:r>
    </w:p>
    <w:p>
      <w:pPr>
        <w:pStyle w:val="Indenta"/>
      </w:pPr>
      <w:r>
        <w:tab/>
      </w:r>
      <w:r>
        <w:tab/>
        <w:t>and</w:t>
      </w:r>
    </w:p>
    <w:p>
      <w:pPr>
        <w:pStyle w:val="Indenta"/>
      </w:pPr>
      <w:r>
        <w:tab/>
        <w:t>(c)</w:t>
      </w:r>
      <w:r>
        <w:tab/>
        <w:t>is informed of the provisions of the Act Part 2 Division 1; and</w:t>
      </w:r>
    </w:p>
    <w:p>
      <w:pPr>
        <w:pStyle w:val="Indenta"/>
      </w:pPr>
      <w:r>
        <w:tab/>
        <w:t>(d)</w:t>
      </w:r>
      <w:r>
        <w:tab/>
        <w:t>is warned that the employee or agent might be charged with an offence if he or she breaches section 6, 8, 10 or 11, as is relevant to the functions of the employee or agent; and</w:t>
      </w:r>
    </w:p>
    <w:p>
      <w:pPr>
        <w:pStyle w:val="Indenta"/>
      </w:pPr>
      <w:r>
        <w:tab/>
        <w:t>(e)</w:t>
      </w:r>
      <w:r>
        <w:tab/>
        <w:t>provides written acknowledgment that the employee or agent has received the instructions, information and warning mentioned in paragraphs (a), (b), (c) and (d).</w:t>
      </w:r>
    </w:p>
    <w:p>
      <w:pPr>
        <w:pStyle w:val="Subsection"/>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Indenta"/>
      </w:pPr>
      <w:r>
        <w:tab/>
      </w:r>
      <w:r>
        <w:tab/>
        <w:t>and</w:t>
      </w:r>
    </w:p>
    <w:p>
      <w:pPr>
        <w:pStyle w:val="Indenta"/>
      </w:pPr>
      <w:r>
        <w:tab/>
        <w:t>(c)</w:t>
      </w:r>
      <w:r>
        <w:tab/>
        <w:t>provides written acknowledgment that the representative has received the instructions mentioned in paragraphs (a) and (b).</w:t>
      </w:r>
    </w:p>
    <w:p>
      <w:pPr>
        <w:pStyle w:val="Footnotesection"/>
      </w:pPr>
      <w:r>
        <w:tab/>
        <w:t>[Regulation 20 inserted in Gazette 28 Feb 2007 p. 647-9.]</w:t>
      </w:r>
    </w:p>
    <w:p>
      <w:pPr>
        <w:pStyle w:val="Heading5"/>
      </w:pPr>
      <w:bookmarkStart w:id="205" w:name="_Toc160509184"/>
      <w:r>
        <w:rPr>
          <w:rStyle w:val="CharSectno"/>
        </w:rPr>
        <w:t>21</w:t>
      </w:r>
      <w:r>
        <w:t>.</w:t>
      </w:r>
      <w:r>
        <w:tab/>
        <w:t>Application to amend licence</w:t>
      </w:r>
      <w:bookmarkEnd w:id="205"/>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document mentioned in the </w:t>
      </w:r>
      <w:r>
        <w:rPr>
          <w:i/>
        </w:rPr>
        <w:t>Business Names Act 1962</w:t>
      </w:r>
      <w:r>
        <w:t xml:space="preserve"> section 24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document mentioned in the </w:t>
      </w:r>
      <w:r>
        <w:rPr>
          <w:i/>
        </w:rPr>
        <w:t>Business Names Act 1962</w:t>
      </w:r>
      <w:r>
        <w:t xml:space="preserve"> section 24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 xml:space="preserve">a document mentioned in the </w:t>
      </w:r>
      <w:r>
        <w:rPr>
          <w:i/>
        </w:rPr>
        <w:t>Business Names Act 1962</w:t>
      </w:r>
      <w:r>
        <w:t xml:space="preserve"> section 24 as to any change as to the person or persons in relation to whom the business name is registered since the issue or most recent renewal of the licence.</w:t>
      </w:r>
    </w:p>
    <w:p>
      <w:pPr>
        <w:pStyle w:val="Footnotesection"/>
      </w:pPr>
      <w:r>
        <w:tab/>
        <w:t>[Regulation 21 inserted in Gazette 28 Feb 2007 p. 649-50.]</w:t>
      </w:r>
    </w:p>
    <w:p>
      <w:pPr>
        <w:pStyle w:val="Heading5"/>
      </w:pPr>
      <w:bookmarkStart w:id="206" w:name="_Toc160509185"/>
      <w:r>
        <w:rPr>
          <w:rStyle w:val="CharSectno"/>
        </w:rPr>
        <w:t>22</w:t>
      </w:r>
      <w:r>
        <w:t>.</w:t>
      </w:r>
      <w:r>
        <w:tab/>
        <w:t>Register of licences</w:t>
      </w:r>
      <w:bookmarkEnd w:id="206"/>
    </w:p>
    <w:p>
      <w:pPr>
        <w:pStyle w:val="Subsection"/>
      </w:pPr>
      <w:r>
        <w:tab/>
      </w:r>
      <w:r>
        <w:tab/>
        <w:t xml:space="preserve">Particulars of the offences under the Act for which the holder of the licence has been convicted are prescribed for the purposes of section 45(1)(g). </w:t>
      </w:r>
    </w:p>
    <w:p>
      <w:pPr>
        <w:pStyle w:val="Footnotesection"/>
      </w:pPr>
      <w:r>
        <w:tab/>
        <w:t>[Regulation 22 inserted in Gazette 28 Feb 2007 p. 650.]</w:t>
      </w:r>
    </w:p>
    <w:p>
      <w:pPr>
        <w:pStyle w:val="Heading3"/>
      </w:pPr>
      <w:bookmarkStart w:id="207" w:name="_Toc160449031"/>
      <w:bookmarkStart w:id="208" w:name="_Toc160449611"/>
      <w:bookmarkStart w:id="209" w:name="_Toc160507568"/>
      <w:bookmarkStart w:id="210" w:name="_Toc160508031"/>
      <w:bookmarkStart w:id="211" w:name="_Toc160509186"/>
      <w:r>
        <w:rPr>
          <w:rStyle w:val="CharDivNo"/>
        </w:rPr>
        <w:t>Division 2</w:t>
      </w:r>
      <w:r>
        <w:t> — </w:t>
      </w:r>
      <w:r>
        <w:rPr>
          <w:rStyle w:val="CharDivText"/>
        </w:rPr>
        <w:t>Further obligations of licence holders</w:t>
      </w:r>
      <w:bookmarkEnd w:id="207"/>
      <w:bookmarkEnd w:id="208"/>
      <w:bookmarkEnd w:id="209"/>
      <w:bookmarkEnd w:id="210"/>
      <w:bookmarkEnd w:id="211"/>
    </w:p>
    <w:p>
      <w:pPr>
        <w:pStyle w:val="Footnoteheading"/>
      </w:pPr>
      <w:r>
        <w:tab/>
        <w:t>[Heading inserted in Gazette 28 Feb 2007 p. 650.]</w:t>
      </w:r>
    </w:p>
    <w:p>
      <w:pPr>
        <w:pStyle w:val="Heading5"/>
      </w:pPr>
      <w:bookmarkStart w:id="212" w:name="_Toc160509187"/>
      <w:r>
        <w:rPr>
          <w:rStyle w:val="CharSectno"/>
        </w:rPr>
        <w:t>23</w:t>
      </w:r>
      <w:r>
        <w:t>.</w:t>
      </w:r>
      <w:r>
        <w:tab/>
        <w:t>Licence details on invoices etc.</w:t>
      </w:r>
      <w:bookmarkEnd w:id="212"/>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the tobacco product was supplied from outside Western Australia;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213" w:name="_Toc160509188"/>
      <w:r>
        <w:rPr>
          <w:rStyle w:val="CharSectno"/>
        </w:rPr>
        <w:t>24</w:t>
      </w:r>
      <w:r>
        <w:t>.</w:t>
      </w:r>
      <w:r>
        <w:tab/>
        <w:t>Records to be kept</w:t>
      </w:r>
      <w:bookmarkEnd w:id="213"/>
    </w:p>
    <w:p>
      <w:pPr>
        <w:pStyle w:val="Subsection"/>
      </w:pPr>
      <w:r>
        <w:tab/>
      </w:r>
      <w:r>
        <w:tab/>
        <w:t xml:space="preserve">The following records are prescribed for the purposes of section 58(1)(a) — </w:t>
      </w:r>
    </w:p>
    <w:p>
      <w:pPr>
        <w:pStyle w:val="Indenta"/>
      </w:pPr>
      <w:r>
        <w:tab/>
        <w:t>(a)</w:t>
      </w:r>
      <w:r>
        <w:tab/>
        <w:t xml:space="preserve">all records containing the particulars that are required to be recorded for the purposes of section 56(1) and (2); </w:t>
      </w:r>
    </w:p>
    <w:p>
      <w:pPr>
        <w:pStyle w:val="Indenta"/>
      </w:pPr>
      <w:r>
        <w:tab/>
        <w:t>(b)</w:t>
      </w:r>
      <w:r>
        <w:tab/>
        <w:t>all written acknowledgments mentioned in regulation 20(1)(e) and (2)(c).</w:t>
      </w:r>
    </w:p>
    <w:p>
      <w:pPr>
        <w:pStyle w:val="Footnotesection"/>
      </w:pPr>
      <w:r>
        <w:tab/>
        <w:t>[Regulation 24 inserted in Gazette 28 Feb 2007 p. 651.]</w:t>
      </w:r>
    </w:p>
    <w:p>
      <w:pPr>
        <w:pStyle w:val="Heading3"/>
      </w:pPr>
      <w:bookmarkStart w:id="214" w:name="_Toc160449034"/>
      <w:bookmarkStart w:id="215" w:name="_Toc160449614"/>
      <w:bookmarkStart w:id="216" w:name="_Toc160507571"/>
      <w:bookmarkStart w:id="217" w:name="_Toc160508034"/>
      <w:bookmarkStart w:id="218" w:name="_Toc160509189"/>
      <w:r>
        <w:rPr>
          <w:rStyle w:val="CharDivNo"/>
        </w:rPr>
        <w:t>Division 3</w:t>
      </w:r>
      <w:r>
        <w:t> — </w:t>
      </w:r>
      <w:r>
        <w:rPr>
          <w:rStyle w:val="CharDivText"/>
        </w:rPr>
        <w:t>Fees</w:t>
      </w:r>
      <w:bookmarkEnd w:id="214"/>
      <w:bookmarkEnd w:id="215"/>
      <w:bookmarkEnd w:id="216"/>
      <w:bookmarkEnd w:id="217"/>
      <w:bookmarkEnd w:id="218"/>
    </w:p>
    <w:p>
      <w:pPr>
        <w:pStyle w:val="Footnoteheading"/>
      </w:pPr>
      <w:bookmarkStart w:id="219" w:name="_Toc489682204"/>
      <w:bookmarkStart w:id="220" w:name="_Toc26605008"/>
      <w:bookmarkStart w:id="221" w:name="_Toc107973521"/>
      <w:bookmarkStart w:id="222" w:name="_Toc139187296"/>
      <w:r>
        <w:tab/>
        <w:t>[Heading inserted in Gazette 28 Feb 2007 p. 651.]</w:t>
      </w:r>
    </w:p>
    <w:p>
      <w:pPr>
        <w:pStyle w:val="Heading5"/>
        <w:rPr>
          <w:snapToGrid w:val="0"/>
        </w:rPr>
      </w:pPr>
      <w:bookmarkStart w:id="223" w:name="_Toc160509190"/>
      <w:r>
        <w:rPr>
          <w:rStyle w:val="CharSectno"/>
        </w:rPr>
        <w:t>25</w:t>
      </w:r>
      <w:r>
        <w:rPr>
          <w:snapToGrid w:val="0"/>
        </w:rPr>
        <w:t>.</w:t>
      </w:r>
      <w:r>
        <w:rPr>
          <w:snapToGrid w:val="0"/>
        </w:rPr>
        <w:tab/>
        <w:t>Fees to be paid on application for issue of a licence</w:t>
      </w:r>
      <w:bookmarkEnd w:id="219"/>
      <w:bookmarkEnd w:id="220"/>
      <w:bookmarkEnd w:id="221"/>
      <w:bookmarkEnd w:id="222"/>
      <w:bookmarkEnd w:id="223"/>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t>$50.00 for a retailer’s licence; and</w:t>
      </w:r>
    </w:p>
    <w:p>
      <w:pPr>
        <w:pStyle w:val="Indenta"/>
        <w:rPr>
          <w:snapToGrid w:val="0"/>
        </w:rPr>
      </w:pPr>
      <w:r>
        <w:tab/>
        <w:t>(b)</w:t>
      </w:r>
      <w:r>
        <w:tab/>
        <w:t xml:space="preserve">$50.00 for </w:t>
      </w:r>
      <w:r>
        <w:rPr>
          <w:snapToGrid w:val="0"/>
        </w:rPr>
        <w:t>an indirect seller’s licence; and</w:t>
      </w:r>
    </w:p>
    <w:p>
      <w:pPr>
        <w:pStyle w:val="Indenta"/>
      </w:pPr>
      <w:r>
        <w:tab/>
        <w:t>(c)</w:t>
      </w:r>
      <w:r>
        <w:tab/>
        <w:t xml:space="preserve">$125.00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t>$150.00 for a retailer’s licence; and</w:t>
      </w:r>
    </w:p>
    <w:p>
      <w:pPr>
        <w:pStyle w:val="Indenta"/>
        <w:rPr>
          <w:snapToGrid w:val="0"/>
        </w:rPr>
      </w:pPr>
      <w:r>
        <w:tab/>
        <w:t>(b)</w:t>
      </w:r>
      <w:r>
        <w:tab/>
        <w:t xml:space="preserve">$150.00 for </w:t>
      </w:r>
      <w:r>
        <w:rPr>
          <w:snapToGrid w:val="0"/>
        </w:rPr>
        <w:t>an indirect seller’s licence; and</w:t>
      </w:r>
    </w:p>
    <w:p>
      <w:pPr>
        <w:pStyle w:val="Indenta"/>
      </w:pPr>
      <w:r>
        <w:tab/>
        <w:t>(c)</w:t>
      </w:r>
      <w:r>
        <w:tab/>
        <w:t xml:space="preserve">$375.00 for </w:t>
      </w:r>
      <w:r>
        <w:rPr>
          <w:snapToGrid w:val="0"/>
        </w:rPr>
        <w:t>a wholesaler’s licence.</w:t>
      </w:r>
      <w:r>
        <w:t xml:space="preserve"> </w:t>
      </w:r>
    </w:p>
    <w:p>
      <w:pPr>
        <w:pStyle w:val="Footnotesection"/>
      </w:pPr>
      <w:r>
        <w:tab/>
        <w:t>[Regulation 25 inserted in Gazette 28 Feb 2007 p. 651.]</w:t>
      </w:r>
    </w:p>
    <w:p>
      <w:pPr>
        <w:pStyle w:val="Heading5"/>
        <w:rPr>
          <w:snapToGrid w:val="0"/>
        </w:rPr>
      </w:pPr>
      <w:bookmarkStart w:id="224" w:name="_Toc160509191"/>
      <w:r>
        <w:rPr>
          <w:rStyle w:val="CharSectno"/>
        </w:rPr>
        <w:t>26</w:t>
      </w:r>
      <w:r>
        <w:rPr>
          <w:snapToGrid w:val="0"/>
        </w:rPr>
        <w:t>.</w:t>
      </w:r>
      <w:r>
        <w:rPr>
          <w:snapToGrid w:val="0"/>
        </w:rPr>
        <w:tab/>
        <w:t>Fees to be paid on application for renewal of a licence</w:t>
      </w:r>
      <w:bookmarkEnd w:id="224"/>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t>$170.00 for a retailer’s licence; and</w:t>
      </w:r>
    </w:p>
    <w:p>
      <w:pPr>
        <w:pStyle w:val="Indenta"/>
        <w:rPr>
          <w:snapToGrid w:val="0"/>
        </w:rPr>
      </w:pPr>
      <w:r>
        <w:tab/>
        <w:t>(b)</w:t>
      </w:r>
      <w:r>
        <w:tab/>
        <w:t xml:space="preserve">$170.00 for </w:t>
      </w:r>
      <w:r>
        <w:rPr>
          <w:snapToGrid w:val="0"/>
        </w:rPr>
        <w:t>an indirect seller’s licence; and</w:t>
      </w:r>
    </w:p>
    <w:p>
      <w:pPr>
        <w:pStyle w:val="Indenta"/>
      </w:pPr>
      <w:r>
        <w:tab/>
        <w:t>(c)</w:t>
      </w:r>
      <w:r>
        <w:tab/>
        <w:t xml:space="preserve">$425.00 for </w:t>
      </w:r>
      <w:r>
        <w:rPr>
          <w:snapToGrid w:val="0"/>
        </w:rPr>
        <w:t>a wholesaler’s licence.</w:t>
      </w:r>
      <w:r>
        <w:t xml:space="preserve"> </w:t>
      </w:r>
    </w:p>
    <w:p>
      <w:pPr>
        <w:pStyle w:val="Footnotesection"/>
      </w:pPr>
      <w:r>
        <w:tab/>
        <w:t>[Regulation 26 inserted in Gazette 28 Feb 2007 p. 652.]</w:t>
      </w:r>
    </w:p>
    <w:p>
      <w:pPr>
        <w:pStyle w:val="Heading5"/>
        <w:rPr>
          <w:snapToGrid w:val="0"/>
        </w:rPr>
      </w:pPr>
      <w:bookmarkStart w:id="225" w:name="_Toc160509192"/>
      <w:r>
        <w:rPr>
          <w:rStyle w:val="CharSectno"/>
        </w:rPr>
        <w:t>27</w:t>
      </w:r>
      <w:r>
        <w:rPr>
          <w:snapToGrid w:val="0"/>
        </w:rPr>
        <w:t>.</w:t>
      </w:r>
      <w:r>
        <w:rPr>
          <w:snapToGrid w:val="0"/>
        </w:rPr>
        <w:tab/>
        <w:t>Fee to be paid on application for amendment of a licence</w:t>
      </w:r>
      <w:bookmarkEnd w:id="225"/>
    </w:p>
    <w:p>
      <w:pPr>
        <w:pStyle w:val="Subsection"/>
        <w:rPr>
          <w:snapToGrid w:val="0"/>
        </w:rPr>
      </w:pPr>
      <w:r>
        <w:rPr>
          <w:snapToGrid w:val="0"/>
        </w:rPr>
        <w:tab/>
      </w:r>
      <w:r>
        <w:rPr>
          <w:snapToGrid w:val="0"/>
        </w:rPr>
        <w:tab/>
        <w:t>The application fee to be paid for the purposes of section 44(2)(c)(ii) is $50.00.</w:t>
      </w:r>
    </w:p>
    <w:p>
      <w:pPr>
        <w:pStyle w:val="Footnotesection"/>
      </w:pPr>
      <w:r>
        <w:tab/>
        <w:t>[Regulation 27 inserted in Gazette 28 Feb 2007 p. 652.]</w:t>
      </w:r>
    </w:p>
    <w:p>
      <w:pPr>
        <w:pStyle w:val="Heading5"/>
        <w:rPr>
          <w:snapToGrid w:val="0"/>
        </w:rPr>
      </w:pPr>
      <w:bookmarkStart w:id="226" w:name="_Toc160509193"/>
      <w:r>
        <w:rPr>
          <w:rStyle w:val="CharSectno"/>
        </w:rPr>
        <w:t>28</w:t>
      </w:r>
      <w:r>
        <w:rPr>
          <w:snapToGrid w:val="0"/>
        </w:rPr>
        <w:t>.</w:t>
      </w:r>
      <w:r>
        <w:rPr>
          <w:snapToGrid w:val="0"/>
        </w:rPr>
        <w:tab/>
        <w:t>Fee to be paid for extract of registered particulars</w:t>
      </w:r>
      <w:bookmarkEnd w:id="226"/>
    </w:p>
    <w:p>
      <w:pPr>
        <w:pStyle w:val="Subsection"/>
        <w:rPr>
          <w:snapToGrid w:val="0"/>
        </w:rPr>
      </w:pPr>
      <w:r>
        <w:rPr>
          <w:snapToGrid w:val="0"/>
        </w:rPr>
        <w:tab/>
      </w:r>
      <w:r>
        <w:rPr>
          <w:snapToGrid w:val="0"/>
        </w:rPr>
        <w:tab/>
        <w:t>The fee to be paid for the purposes of section 45(3) is $25.00.</w:t>
      </w:r>
    </w:p>
    <w:p>
      <w:pPr>
        <w:pStyle w:val="Footnotesection"/>
      </w:pPr>
      <w:r>
        <w:tab/>
        <w:t>[Regulation 28 inserted in Gazette 28 Feb 2007 p. 652.]</w:t>
      </w:r>
    </w:p>
    <w:p>
      <w:pPr>
        <w:pStyle w:val="Heading5"/>
        <w:rPr>
          <w:snapToGrid w:val="0"/>
        </w:rPr>
      </w:pPr>
      <w:bookmarkStart w:id="227" w:name="_Toc160509194"/>
      <w:r>
        <w:rPr>
          <w:rStyle w:val="CharSectno"/>
        </w:rPr>
        <w:t>29</w:t>
      </w:r>
      <w:r>
        <w:rPr>
          <w:snapToGrid w:val="0"/>
        </w:rPr>
        <w:t>.</w:t>
      </w:r>
      <w:r>
        <w:rPr>
          <w:snapToGrid w:val="0"/>
        </w:rPr>
        <w:tab/>
        <w:t>Fee to be paid for duplicate licence</w:t>
      </w:r>
      <w:bookmarkEnd w:id="227"/>
    </w:p>
    <w:p>
      <w:pPr>
        <w:pStyle w:val="Subsection"/>
        <w:rPr>
          <w:snapToGrid w:val="0"/>
        </w:rPr>
      </w:pPr>
      <w:r>
        <w:rPr>
          <w:snapToGrid w:val="0"/>
        </w:rPr>
        <w:tab/>
      </w:r>
      <w:r>
        <w:rPr>
          <w:snapToGrid w:val="0"/>
        </w:rPr>
        <w:tab/>
        <w:t>The fee to be paid for the purposes of section 54(2) is $25.00.</w:t>
      </w:r>
    </w:p>
    <w:p>
      <w:pPr>
        <w:pStyle w:val="Footnotesection"/>
      </w:pPr>
      <w:r>
        <w:tab/>
        <w:t>[Regulation 29 inserted in Gazette 28 Feb 2007 p. 652.]</w:t>
      </w:r>
    </w:p>
    <w:p>
      <w:pPr>
        <w:pStyle w:val="Heading2"/>
      </w:pPr>
      <w:bookmarkStart w:id="228" w:name="_Toc160449040"/>
      <w:bookmarkStart w:id="229" w:name="_Toc160449620"/>
      <w:bookmarkStart w:id="230" w:name="_Toc160507577"/>
      <w:bookmarkStart w:id="231" w:name="_Toc160508040"/>
      <w:bookmarkStart w:id="232" w:name="_Toc160509195"/>
      <w:r>
        <w:rPr>
          <w:rStyle w:val="CharPartNo"/>
        </w:rPr>
        <w:t>Part 6</w:t>
      </w:r>
      <w:r>
        <w:rPr>
          <w:b w:val="0"/>
        </w:rPr>
        <w:t> </w:t>
      </w:r>
      <w:r>
        <w:t>—</w:t>
      </w:r>
      <w:r>
        <w:rPr>
          <w:b w:val="0"/>
        </w:rPr>
        <w:t> </w:t>
      </w:r>
      <w:r>
        <w:rPr>
          <w:rStyle w:val="CharPartText"/>
        </w:rPr>
        <w:t>Sale and supply</w:t>
      </w:r>
      <w:bookmarkEnd w:id="228"/>
      <w:bookmarkEnd w:id="229"/>
      <w:bookmarkEnd w:id="230"/>
      <w:bookmarkEnd w:id="231"/>
      <w:bookmarkEnd w:id="232"/>
    </w:p>
    <w:p>
      <w:pPr>
        <w:pStyle w:val="Footnoteheading"/>
      </w:pPr>
      <w:bookmarkStart w:id="233" w:name="_Toc160449041"/>
      <w:bookmarkStart w:id="234" w:name="_Toc160449621"/>
      <w:r>
        <w:tab/>
        <w:t>[Heading inserted in Gazette 28 Feb 2007 p. 653.]</w:t>
      </w:r>
    </w:p>
    <w:p>
      <w:pPr>
        <w:pStyle w:val="Heading3"/>
      </w:pPr>
      <w:bookmarkStart w:id="235" w:name="_Toc160507578"/>
      <w:bookmarkStart w:id="236" w:name="_Toc160508041"/>
      <w:bookmarkStart w:id="237" w:name="_Toc160509196"/>
      <w:r>
        <w:rPr>
          <w:rStyle w:val="CharDivNo"/>
        </w:rPr>
        <w:t>Division 1</w:t>
      </w:r>
      <w:r>
        <w:t> — </w:t>
      </w:r>
      <w:r>
        <w:rPr>
          <w:rStyle w:val="CharDivText"/>
        </w:rPr>
        <w:t>Terms used in this Part</w:t>
      </w:r>
      <w:bookmarkEnd w:id="233"/>
      <w:bookmarkEnd w:id="234"/>
      <w:bookmarkEnd w:id="235"/>
      <w:bookmarkEnd w:id="236"/>
      <w:bookmarkEnd w:id="237"/>
    </w:p>
    <w:p>
      <w:pPr>
        <w:pStyle w:val="Footnoteheading"/>
      </w:pPr>
      <w:r>
        <w:tab/>
        <w:t>[Heading inserted in Gazette 28 Feb 2007 p. 653.]</w:t>
      </w:r>
    </w:p>
    <w:p>
      <w:pPr>
        <w:pStyle w:val="Heading5"/>
      </w:pPr>
      <w:bookmarkStart w:id="238" w:name="_Toc160509197"/>
      <w:r>
        <w:rPr>
          <w:rStyle w:val="CharSectno"/>
        </w:rPr>
        <w:t>30</w:t>
      </w:r>
      <w:r>
        <w:t>.</w:t>
      </w:r>
      <w:r>
        <w:tab/>
        <w:t>Terms used in this Part</w:t>
      </w:r>
      <w:bookmarkEnd w:id="238"/>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rPr>
          <w:b/>
        </w:rPr>
        <w:tab/>
      </w:r>
      <w:r>
        <w:rPr>
          <w:rStyle w:val="CharDefText"/>
        </w:rPr>
        <w:t>cigar cabinet</w:t>
      </w:r>
      <w:r>
        <w:t xml:space="preserve"> means a fully enclosed cabinet or box that — </w:t>
      </w:r>
    </w:p>
    <w:p>
      <w:pPr>
        <w:pStyle w:val="Defpara"/>
      </w:pPr>
      <w:r>
        <w:tab/>
        <w:t>(a)</w:t>
      </w:r>
      <w:r>
        <w:tab/>
        <w:t xml:space="preserve">has a transparent window; and </w:t>
      </w:r>
    </w:p>
    <w:p>
      <w:pPr>
        <w:pStyle w:val="Defpara"/>
      </w:pPr>
      <w:r>
        <w:tab/>
        <w:t>(b)</w:t>
      </w:r>
      <w:r>
        <w:tab/>
        <w:t>is used to display and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pPr>
      <w:r>
        <w:tab/>
        <w:t>(a)</w:t>
      </w:r>
      <w:r>
        <w:tab/>
        <w:t xml:space="preserve">located at premises other than a duty free shop at an airport and — </w:t>
      </w:r>
    </w:p>
    <w:p>
      <w:pPr>
        <w:pStyle w:val="Defsubpara"/>
      </w:pPr>
      <w:r>
        <w:tab/>
        <w:t>(i)</w:t>
      </w:r>
      <w:r>
        <w:tab/>
        <w:t>that stores and dispenses only tobacco products; and</w:t>
      </w:r>
    </w:p>
    <w:p>
      <w:pPr>
        <w:pStyle w:val="Defsubpara"/>
      </w:pPr>
      <w:r>
        <w:tab/>
        <w:t>(ii)</w:t>
      </w:r>
      <w:r>
        <w:tab/>
        <w:t>that does not display tobacco products; and</w:t>
      </w:r>
    </w:p>
    <w:p>
      <w:pPr>
        <w:pStyle w:val="Defsubpara"/>
      </w:pPr>
      <w:r>
        <w:tab/>
        <w:t>(iii)</w:t>
      </w:r>
      <w:r>
        <w:tab/>
        <w:t>that is operated by the holder of a retailer’s licence or the employee or agent of the holder of a retailer’s licence; and</w:t>
      </w:r>
    </w:p>
    <w:p>
      <w:pPr>
        <w:pStyle w:val="Defsubpara"/>
      </w:pPr>
      <w:r>
        <w:tab/>
        <w:t>(iv)</w:t>
      </w:r>
      <w:r>
        <w:tab/>
        <w:t>that dispenses only single packets of cigarettes;</w:t>
      </w:r>
    </w:p>
    <w:p>
      <w:pPr>
        <w:pStyle w:val="Defpara"/>
      </w:pPr>
      <w:r>
        <w:tab/>
      </w:r>
      <w:r>
        <w:tab/>
        <w:t>or</w:t>
      </w:r>
    </w:p>
    <w:p>
      <w:pPr>
        <w:pStyle w:val="Defpara"/>
      </w:pPr>
      <w:r>
        <w:tab/>
        <w:t>(b)</w:t>
      </w:r>
      <w:r>
        <w:tab/>
        <w:t xml:space="preserve">located at a duty free shop at an airport and — </w:t>
      </w:r>
    </w:p>
    <w:p>
      <w:pPr>
        <w:pStyle w:val="Defsubpara"/>
      </w:pPr>
      <w:r>
        <w:tab/>
        <w:t>(i)</w:t>
      </w:r>
      <w:r>
        <w:tab/>
        <w:t>that stores and dispenses only cartons of cigarettes; and</w:t>
      </w:r>
    </w:p>
    <w:p>
      <w:pPr>
        <w:pStyle w:val="Defsubpara"/>
      </w:pPr>
      <w:r>
        <w:tab/>
        <w:t>(ii)</w:t>
      </w:r>
      <w:r>
        <w:tab/>
        <w:t>that does not display tobacco products; and</w:t>
      </w:r>
    </w:p>
    <w:p>
      <w:pPr>
        <w:pStyle w:val="Defsubpara"/>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Footnotesection"/>
      </w:pPr>
      <w:r>
        <w:tab/>
        <w:t>[Regulation 30 inserted in Gazette 28 Feb 2007 p. 653-4.]</w:t>
      </w:r>
    </w:p>
    <w:p>
      <w:pPr>
        <w:pStyle w:val="Heading3"/>
      </w:pPr>
      <w:bookmarkStart w:id="239" w:name="_Toc160449043"/>
      <w:bookmarkStart w:id="240" w:name="_Toc160449623"/>
      <w:bookmarkStart w:id="241" w:name="_Toc160507580"/>
      <w:bookmarkStart w:id="242" w:name="_Toc160508043"/>
      <w:bookmarkStart w:id="243" w:name="_Toc160509198"/>
      <w:r>
        <w:rPr>
          <w:rStyle w:val="CharDivNo"/>
        </w:rPr>
        <w:t>Division 2</w:t>
      </w:r>
      <w:r>
        <w:t> — </w:t>
      </w:r>
      <w:r>
        <w:rPr>
          <w:rStyle w:val="CharDivText"/>
        </w:rPr>
        <w:t>Proof of age</w:t>
      </w:r>
      <w:bookmarkEnd w:id="239"/>
      <w:bookmarkEnd w:id="240"/>
      <w:bookmarkEnd w:id="241"/>
      <w:bookmarkEnd w:id="242"/>
      <w:bookmarkEnd w:id="243"/>
    </w:p>
    <w:p>
      <w:pPr>
        <w:pStyle w:val="Footnoteheading"/>
      </w:pPr>
      <w:bookmarkStart w:id="244" w:name="_Toc139857800"/>
      <w:r>
        <w:tab/>
        <w:t>[Heading inserted in Gazette 28 Feb 2007 p. 654.]</w:t>
      </w:r>
    </w:p>
    <w:p>
      <w:pPr>
        <w:pStyle w:val="Heading5"/>
      </w:pPr>
      <w:bookmarkStart w:id="245" w:name="_Toc160509199"/>
      <w:r>
        <w:rPr>
          <w:rStyle w:val="CharSectno"/>
        </w:rPr>
        <w:t>31</w:t>
      </w:r>
      <w:r>
        <w:t>.</w:t>
      </w:r>
      <w:r>
        <w:tab/>
        <w:t>Proof of age</w:t>
      </w:r>
      <w:bookmarkEnd w:id="244"/>
      <w:bookmarkEnd w:id="245"/>
    </w:p>
    <w:p>
      <w:pPr>
        <w:pStyle w:val="Subsection"/>
      </w:pPr>
      <w:r>
        <w:tab/>
      </w:r>
      <w:r>
        <w:tab/>
        <w:t xml:space="preserve">A proof of age card issued to a person under the </w:t>
      </w:r>
      <w:r>
        <w:rPr>
          <w:i/>
        </w:rPr>
        <w:t>Liquor Licensing Regulations 1989</w:t>
      </w:r>
      <w:r>
        <w:t xml:space="preserve"> regulation 18B is prescribed for the purposes of section 15(1)(c).</w:t>
      </w:r>
    </w:p>
    <w:p>
      <w:pPr>
        <w:pStyle w:val="Footnotesection"/>
      </w:pPr>
      <w:r>
        <w:tab/>
        <w:t>[Regulation 31 inserted in Gazette 28 Feb 2007 p. 654.]</w:t>
      </w:r>
    </w:p>
    <w:p>
      <w:pPr>
        <w:pStyle w:val="Heading3"/>
      </w:pPr>
      <w:bookmarkStart w:id="246" w:name="_Toc160449045"/>
      <w:bookmarkStart w:id="247" w:name="_Toc160449625"/>
      <w:bookmarkStart w:id="248" w:name="_Toc160507582"/>
      <w:bookmarkStart w:id="249" w:name="_Toc160508045"/>
      <w:bookmarkStart w:id="250" w:name="_Toc160509200"/>
      <w:r>
        <w:rPr>
          <w:rStyle w:val="CharDivNo"/>
        </w:rPr>
        <w:t>Division 3</w:t>
      </w:r>
      <w:r>
        <w:t> — </w:t>
      </w:r>
      <w:r>
        <w:rPr>
          <w:rStyle w:val="CharDivText"/>
        </w:rPr>
        <w:t>Labelling of tobacco products</w:t>
      </w:r>
      <w:bookmarkEnd w:id="246"/>
      <w:bookmarkEnd w:id="247"/>
      <w:bookmarkEnd w:id="248"/>
      <w:bookmarkEnd w:id="249"/>
      <w:bookmarkEnd w:id="250"/>
    </w:p>
    <w:p>
      <w:pPr>
        <w:pStyle w:val="Footnoteheading"/>
      </w:pPr>
      <w:r>
        <w:tab/>
        <w:t>[Heading inserted in Gazette 28 Feb 2007 p. 655.]</w:t>
      </w:r>
    </w:p>
    <w:p>
      <w:pPr>
        <w:pStyle w:val="Heading5"/>
      </w:pPr>
      <w:bookmarkStart w:id="251" w:name="_Toc160509201"/>
      <w:r>
        <w:rPr>
          <w:rStyle w:val="CharSectno"/>
        </w:rPr>
        <w:t>32</w:t>
      </w:r>
      <w:r>
        <w:t>.</w:t>
      </w:r>
      <w:r>
        <w:tab/>
        <w:t>Labelling of tobacco products</w:t>
      </w:r>
      <w:bookmarkEnd w:id="251"/>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p>
    <w:p>
      <w:pPr>
        <w:pStyle w:val="Footnotesection"/>
      </w:pPr>
      <w:r>
        <w:tab/>
        <w:t>[Regulation 32 inserted in Gazette 28 Feb 2007 p. 655.]</w:t>
      </w:r>
    </w:p>
    <w:p>
      <w:pPr>
        <w:pStyle w:val="Heading3"/>
      </w:pPr>
      <w:bookmarkStart w:id="252" w:name="_Toc160449047"/>
      <w:bookmarkStart w:id="253" w:name="_Toc160449627"/>
      <w:bookmarkStart w:id="254" w:name="_Toc160507584"/>
      <w:bookmarkStart w:id="255" w:name="_Toc160508047"/>
      <w:bookmarkStart w:id="256" w:name="_Toc160509202"/>
      <w:r>
        <w:rPr>
          <w:rStyle w:val="CharDivNo"/>
        </w:rPr>
        <w:t>Division 4</w:t>
      </w:r>
      <w:r>
        <w:t> — </w:t>
      </w:r>
      <w:r>
        <w:rPr>
          <w:rStyle w:val="CharDivText"/>
        </w:rPr>
        <w:t>Display of tobacco products</w:t>
      </w:r>
      <w:bookmarkEnd w:id="252"/>
      <w:bookmarkEnd w:id="253"/>
      <w:bookmarkEnd w:id="254"/>
      <w:bookmarkEnd w:id="255"/>
      <w:bookmarkEnd w:id="256"/>
    </w:p>
    <w:p>
      <w:pPr>
        <w:pStyle w:val="Footnoteheading"/>
      </w:pPr>
      <w:r>
        <w:tab/>
        <w:t>[Heading inserted in Gazette 28 Feb 2007 p. 655.]</w:t>
      </w:r>
    </w:p>
    <w:p>
      <w:pPr>
        <w:pStyle w:val="Heading5"/>
      </w:pPr>
      <w:bookmarkStart w:id="257" w:name="_Toc160509203"/>
      <w:r>
        <w:rPr>
          <w:rStyle w:val="CharSectno"/>
        </w:rPr>
        <w:t>33</w:t>
      </w:r>
      <w:r>
        <w:t>.</w:t>
      </w:r>
      <w:r>
        <w:tab/>
        <w:t>Packages that cannot be displayed by retailer</w:t>
      </w:r>
      <w:bookmarkEnd w:id="257"/>
    </w:p>
    <w:p>
      <w:pPr>
        <w:pStyle w:val="Subsection"/>
      </w:pPr>
      <w:r>
        <w:tab/>
      </w:r>
      <w:r>
        <w:tab/>
        <w:t xml:space="preserve">The following kinds of package are prescribed for the purposes of section 22(3)(b)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Footnotesection"/>
      </w:pPr>
      <w:r>
        <w:tab/>
        <w:t>[Regulation 33 inserted in Gazette 28 Feb 2007 p. 655-6.]</w:t>
      </w:r>
    </w:p>
    <w:p>
      <w:pPr>
        <w:pStyle w:val="Heading5"/>
      </w:pPr>
      <w:bookmarkStart w:id="258" w:name="_Toc160509204"/>
      <w:r>
        <w:rPr>
          <w:rStyle w:val="CharSectno"/>
        </w:rPr>
        <w:t>34</w:t>
      </w:r>
      <w:r>
        <w:t>.</w:t>
      </w:r>
      <w:r>
        <w:tab/>
        <w:t>Location of display of tobacco products or packages by retailer</w:t>
      </w:r>
      <w:bookmarkEnd w:id="258"/>
    </w:p>
    <w:p>
      <w:pPr>
        <w:pStyle w:val="Subsection"/>
      </w:pPr>
      <w:r>
        <w:tab/>
        <w:t>(1)</w:t>
      </w:r>
      <w:r>
        <w:tab/>
        <w:t>For the purposes of section 22(4) the display of tobacco products or packages must be located at the place at which tobacco products are sold in the premises specified in the licence.</w:t>
      </w:r>
    </w:p>
    <w:p>
      <w:pPr>
        <w:pStyle w:val="Subsection"/>
      </w:pPr>
      <w:r>
        <w:tab/>
        <w:t>(2)</w:t>
      </w:r>
      <w:r>
        <w:tab/>
        <w:t xml:space="preserve">For the purposes of section 22(4) the display of tobacco products or packages for sale at premises other than cigars for sale at licensed premises must be located — </w:t>
      </w:r>
    </w:p>
    <w:p>
      <w:pPr>
        <w:pStyle w:val="Indenta"/>
      </w:pPr>
      <w:r>
        <w:tab/>
        <w:t>(a)</w:t>
      </w:r>
      <w:r>
        <w:tab/>
        <w:t>behind (but not on) a counter across which customers are served on the seller’s side; or</w:t>
      </w:r>
    </w:p>
    <w:p>
      <w:pPr>
        <w:pStyle w:val="Indenta"/>
      </w:pPr>
      <w:r>
        <w:tab/>
        <w:t>(b)</w:t>
      </w:r>
      <w:r>
        <w:tab/>
        <w:t>directly above a counter across which customers are served so that the vertical distance between the bottom of the display and the floor level on the customer’s side of the counter is at least 1.7 m.</w:t>
      </w:r>
    </w:p>
    <w:p>
      <w:pPr>
        <w:pStyle w:val="Subsection"/>
      </w:pPr>
      <w:r>
        <w:tab/>
        <w:t>(3)</w:t>
      </w:r>
      <w:r>
        <w:tab/>
        <w:t>For the purposes of section 22(4) the display of cigars for sale at licensed premises may be located on either side of a counter across which customers are served.</w:t>
      </w:r>
    </w:p>
    <w:p>
      <w:pPr>
        <w:pStyle w:val="Subsection"/>
      </w:pPr>
      <w:r>
        <w:tab/>
        <w:t>(4)</w:t>
      </w:r>
      <w:r>
        <w:tab/>
        <w:t xml:space="preserve">For the purposes of section 22(4) the display of cigars for sale at any premises — </w:t>
      </w:r>
    </w:p>
    <w:p>
      <w:pPr>
        <w:pStyle w:val="Indenta"/>
      </w:pPr>
      <w:r>
        <w:tab/>
        <w:t>(a)</w:t>
      </w:r>
      <w:r>
        <w:tab/>
        <w:t xml:space="preserve">may be in one or 2 cigar cabinets; and </w:t>
      </w:r>
    </w:p>
    <w:p>
      <w:pPr>
        <w:pStyle w:val="Indenta"/>
      </w:pPr>
      <w:r>
        <w:tab/>
        <w:t>(b)</w:t>
      </w:r>
      <w:r>
        <w:tab/>
        <w:t>may be in a humidified room.</w:t>
      </w:r>
    </w:p>
    <w:p>
      <w:pPr>
        <w:pStyle w:val="Subsection"/>
      </w:pPr>
      <w:r>
        <w:tab/>
        <w:t>(5)</w:t>
      </w:r>
      <w:r>
        <w:tab/>
        <w:t xml:space="preserve">For the purposes of section 22(4) the display of tobacco products or packages — </w:t>
      </w:r>
    </w:p>
    <w:p>
      <w:pPr>
        <w:pStyle w:val="Indenta"/>
      </w:pPr>
      <w:r>
        <w:tab/>
        <w:t>(a)</w:t>
      </w:r>
      <w:r>
        <w:tab/>
        <w:t>must not be located within 1 m of a display of confectionery or products that are designed specifically for, or marketed specifically to, children; and</w:t>
      </w:r>
    </w:p>
    <w:p>
      <w:pPr>
        <w:pStyle w:val="Indenta"/>
      </w:pPr>
      <w:r>
        <w:tab/>
        <w:t>(b)</w:t>
      </w:r>
      <w:r>
        <w:tab/>
        <w:t>if at particular premises it is not practicable to comply with paragraph (a), must be located at the greatest distance practicable from a display of confectionery or products that are designed specifically for, or marketed specifically to, children.</w:t>
      </w:r>
    </w:p>
    <w:p>
      <w:pPr>
        <w:pStyle w:val="Footnotesection"/>
      </w:pPr>
      <w:r>
        <w:tab/>
        <w:t>[Regulation 34 inserted in Gazette 28 Feb 2007 p. 656-7.]</w:t>
      </w:r>
    </w:p>
    <w:p>
      <w:pPr>
        <w:pStyle w:val="Heading5"/>
      </w:pPr>
      <w:bookmarkStart w:id="259" w:name="_Toc160509205"/>
      <w:r>
        <w:rPr>
          <w:rStyle w:val="CharSectno"/>
        </w:rPr>
        <w:t>35</w:t>
      </w:r>
      <w:r>
        <w:t>.</w:t>
      </w:r>
      <w:r>
        <w:tab/>
        <w:t>Surface area of displays in cigar cabinets</w:t>
      </w:r>
      <w:bookmarkEnd w:id="259"/>
    </w:p>
    <w:p>
      <w:pPr>
        <w:pStyle w:val="Subsection"/>
      </w:pPr>
      <w:r>
        <w:tab/>
      </w:r>
      <w:r>
        <w:tab/>
        <w:t>For the purposes of assessing the surface area of tobacco products and packages in a cigar cabinet,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657.]</w:t>
      </w:r>
    </w:p>
    <w:p>
      <w:pPr>
        <w:pStyle w:val="Heading5"/>
      </w:pPr>
      <w:bookmarkStart w:id="260" w:name="_Toc160509206"/>
      <w:r>
        <w:rPr>
          <w:rStyle w:val="CharSectno"/>
        </w:rPr>
        <w:t>36</w:t>
      </w:r>
      <w:r>
        <w:t>.</w:t>
      </w:r>
      <w:r>
        <w:tab/>
        <w:t>Number of product lines that can be displayed by retailer</w:t>
      </w:r>
      <w:bookmarkEnd w:id="260"/>
    </w:p>
    <w:p>
      <w:pPr>
        <w:pStyle w:val="Subsection"/>
      </w:pPr>
      <w:r>
        <w:tab/>
      </w:r>
      <w:r>
        <w:tab/>
        <w:t xml:space="preserve">For the purposes of section 22(4) — </w:t>
      </w:r>
    </w:p>
    <w:p>
      <w:pPr>
        <w:pStyle w:val="Indenta"/>
      </w:pPr>
      <w:r>
        <w:tab/>
        <w:t>(a)</w:t>
      </w:r>
      <w:r>
        <w:tab/>
        <w:t xml:space="preserve">the display of tobacco products or packages must not show more than 150 different product lines unless — </w:t>
      </w:r>
    </w:p>
    <w:p>
      <w:pPr>
        <w:pStyle w:val="Indenti"/>
      </w:pPr>
      <w:r>
        <w:tab/>
        <w:t>(i)</w:t>
      </w:r>
      <w:r>
        <w:tab/>
        <w:t>the holder of the retailer’s licence is a 50% retailer or a specialist retailer; or</w:t>
      </w:r>
    </w:p>
    <w:p>
      <w:pPr>
        <w:pStyle w:val="Indenti"/>
      </w:pPr>
      <w:r>
        <w:tab/>
        <w:t>(ii)</w:t>
      </w:r>
      <w:r>
        <w:tab/>
        <w:t>the display is in a cigar cabinet or a humidified room;</w:t>
      </w:r>
    </w:p>
    <w:p>
      <w:pPr>
        <w:pStyle w:val="Indenta"/>
      </w:pPr>
      <w:r>
        <w:tab/>
      </w:r>
      <w:r>
        <w:tab/>
        <w:t>and</w:t>
      </w:r>
      <w:r>
        <w:tab/>
      </w:r>
    </w:p>
    <w:p>
      <w:pPr>
        <w:pStyle w:val="Indenta"/>
      </w:pPr>
      <w:r>
        <w:tab/>
        <w:t>(b)</w:t>
      </w:r>
      <w:r>
        <w:tab/>
        <w:t>the display of a product line that is packed in one type of package must show only one package of the product line unless the display is in a cigar cabinet or a humidified room; and</w:t>
      </w:r>
    </w:p>
    <w:p>
      <w:pPr>
        <w:pStyle w:val="Indenta"/>
      </w:pPr>
      <w:r>
        <w:tab/>
        <w:t>(c)</w:t>
      </w:r>
      <w:r>
        <w:tab/>
        <w:t>the display of a product line that is packed in more than one type of package must show only one of each type of those packages unless the display is in a cigar cabinet or a humidified room</w:t>
      </w:r>
      <w:r>
        <w:rPr>
          <w:i/>
          <w:iCs/>
        </w:rPr>
        <w:t>.</w:t>
      </w:r>
    </w:p>
    <w:p>
      <w:pPr>
        <w:pStyle w:val="Footnotesection"/>
      </w:pPr>
      <w:r>
        <w:tab/>
        <w:t>[Regulation 36 inserted in Gazette 28 Feb 2007 p. 657-8.]</w:t>
      </w:r>
    </w:p>
    <w:p>
      <w:pPr>
        <w:pStyle w:val="Heading5"/>
      </w:pPr>
      <w:bookmarkStart w:id="261" w:name="_Toc160509207"/>
      <w:r>
        <w:rPr>
          <w:rStyle w:val="CharSectno"/>
        </w:rPr>
        <w:t>37</w:t>
      </w:r>
      <w:r>
        <w:t>.</w:t>
      </w:r>
      <w:r>
        <w:tab/>
        <w:t>Display of tobacco products or packages by retailer — other requirements</w:t>
      </w:r>
      <w:bookmarkEnd w:id="261"/>
    </w:p>
    <w:p>
      <w:pPr>
        <w:pStyle w:val="Subsection"/>
      </w:pPr>
      <w:r>
        <w:tab/>
        <w:t>(1)</w:t>
      </w:r>
      <w:r>
        <w:tab/>
        <w:t xml:space="preserve">For the purposes of section 22(4) the display of tobacco products or packages — </w:t>
      </w:r>
    </w:p>
    <w:p>
      <w:pPr>
        <w:pStyle w:val="Indenta"/>
      </w:pPr>
      <w:r>
        <w:tab/>
        <w:t>(a)</w:t>
      </w:r>
      <w:r>
        <w:tab/>
        <w:t>must show only tobacco products or packages of tobacco products that are available for sale, or that are usually available for sale, at the premises specified in the licence; and</w:t>
      </w:r>
    </w:p>
    <w:p>
      <w:pPr>
        <w:pStyle w:val="Indenta"/>
      </w:pPr>
      <w:r>
        <w:tab/>
        <w:t>(b)</w:t>
      </w:r>
      <w:r>
        <w:tab/>
        <w:t xml:space="preserve">must show only — </w:t>
      </w:r>
    </w:p>
    <w:p>
      <w:pPr>
        <w:pStyle w:val="Indenti"/>
      </w:pPr>
      <w:r>
        <w:tab/>
        <w:t>(i)</w:t>
      </w:r>
      <w:r>
        <w:tab/>
        <w:t xml:space="preserve">unopened packages of tobacco products; or </w:t>
      </w:r>
    </w:p>
    <w:p>
      <w:pPr>
        <w:pStyle w:val="Indenti"/>
      </w:pPr>
      <w:r>
        <w:tab/>
        <w:t>(ii)</w:t>
      </w:r>
      <w:r>
        <w:tab/>
        <w:t>opened packages of single cigars that are intended to be sold separately; or</w:t>
      </w:r>
    </w:p>
    <w:p>
      <w:pPr>
        <w:pStyle w:val="Indenti"/>
      </w:pPr>
      <w:r>
        <w:tab/>
        <w:t>(iii)</w:t>
      </w:r>
      <w:r>
        <w:tab/>
        <w:t>single cigars that are intended to be sold separately;</w:t>
      </w:r>
    </w:p>
    <w:p>
      <w:pPr>
        <w:pStyle w:val="Indenta"/>
      </w:pPr>
      <w:r>
        <w:tab/>
      </w:r>
      <w:r>
        <w:tab/>
        <w:t>and</w:t>
      </w:r>
    </w:p>
    <w:p>
      <w:pPr>
        <w:pStyle w:val="Indenta"/>
      </w:pPr>
      <w:r>
        <w:tab/>
        <w:t>(c)</w:t>
      </w:r>
      <w:r>
        <w:tab/>
        <w:t>must not be illuminated or otherwise presented so as to make the display stand out from, or appear brighter than, its surroundings; and</w:t>
      </w:r>
    </w:p>
    <w:p>
      <w:pPr>
        <w:pStyle w:val="Indenta"/>
      </w:pPr>
      <w:r>
        <w:tab/>
        <w:t>(d)</w:t>
      </w:r>
      <w:r>
        <w:tab/>
        <w:t xml:space="preserve">must not illuminate or otherwise present a tobacco product, package or product line so as to make the tobacco product, package or product line stand out from, or appear brighter than, its surroundings or any other tobacco product, package or product line in the display. </w:t>
      </w:r>
    </w:p>
    <w:p>
      <w:pPr>
        <w:pStyle w:val="Subsection"/>
      </w:pPr>
      <w:r>
        <w:tab/>
        <w:t>(2)</w:t>
      </w:r>
      <w:r>
        <w:tab/>
        <w:t xml:space="preserve">For the purposes of section 22(4) the total surface area of tobacco products or packages facing customers must be contained within an area having a perimeter — </w:t>
      </w:r>
    </w:p>
    <w:p>
      <w:pPr>
        <w:pStyle w:val="Indenta"/>
      </w:pPr>
      <w:r>
        <w:tab/>
        <w:t>(a)</w:t>
      </w:r>
      <w:r>
        <w:tab/>
        <w:t>not exceeding 8 m in the case of a 50% retailer; and</w:t>
      </w:r>
    </w:p>
    <w:p>
      <w:pPr>
        <w:pStyle w:val="Indenta"/>
      </w:pPr>
      <w:r>
        <w:tab/>
        <w:t>(b)</w:t>
      </w:r>
      <w:r>
        <w:tab/>
        <w:t>not exceeding 5 m in any case other than that of a specialist retailer.</w:t>
      </w:r>
    </w:p>
    <w:p>
      <w:pPr>
        <w:pStyle w:val="Footnotesection"/>
      </w:pPr>
      <w:r>
        <w:tab/>
        <w:t>[Regulation 37 inserted in Gazette 28 Feb 2007 p. 658-9.]</w:t>
      </w:r>
    </w:p>
    <w:p>
      <w:pPr>
        <w:pStyle w:val="Heading5"/>
      </w:pPr>
      <w:bookmarkStart w:id="262" w:name="_Toc160509208"/>
      <w:r>
        <w:rPr>
          <w:rStyle w:val="CharSectno"/>
        </w:rPr>
        <w:t>38</w:t>
      </w:r>
      <w:r>
        <w:t>.</w:t>
      </w:r>
      <w:r>
        <w:tab/>
        <w:t>No display of tobacco products or packages on vending machines</w:t>
      </w:r>
      <w:bookmarkEnd w:id="262"/>
    </w:p>
    <w:p>
      <w:pPr>
        <w:pStyle w:val="Subsection"/>
      </w:pPr>
      <w:r>
        <w:tab/>
      </w:r>
      <w:r>
        <w:tab/>
        <w:t>For the purposes of section 22(4) tobacco products or packages must not be displayed in or on a vending machine.</w:t>
      </w:r>
    </w:p>
    <w:p>
      <w:pPr>
        <w:pStyle w:val="Footnotesection"/>
      </w:pPr>
      <w:r>
        <w:tab/>
        <w:t>[Regulation 38 inserted in Gazette 28 Feb 2007 p. 659.]</w:t>
      </w:r>
    </w:p>
    <w:p>
      <w:pPr>
        <w:pStyle w:val="Heading3"/>
      </w:pPr>
      <w:bookmarkStart w:id="263" w:name="_Toc160449054"/>
      <w:bookmarkStart w:id="264" w:name="_Toc160449634"/>
      <w:bookmarkStart w:id="265" w:name="_Toc160507591"/>
      <w:bookmarkStart w:id="266" w:name="_Toc160508054"/>
      <w:bookmarkStart w:id="267" w:name="_Toc160509209"/>
      <w:r>
        <w:rPr>
          <w:rStyle w:val="CharDivNo"/>
        </w:rPr>
        <w:t>Division 5</w:t>
      </w:r>
      <w:r>
        <w:t> — </w:t>
      </w:r>
      <w:r>
        <w:rPr>
          <w:rStyle w:val="CharDivText"/>
        </w:rPr>
        <w:t>Information about availability, price of tobacco products</w:t>
      </w:r>
      <w:bookmarkEnd w:id="263"/>
      <w:bookmarkEnd w:id="264"/>
      <w:bookmarkEnd w:id="265"/>
      <w:bookmarkEnd w:id="266"/>
      <w:bookmarkEnd w:id="267"/>
    </w:p>
    <w:p>
      <w:pPr>
        <w:pStyle w:val="Footnoteheading"/>
      </w:pPr>
      <w:r>
        <w:tab/>
        <w:t>[Heading inserted in Gazette 28 Feb 2007 p. 659.]</w:t>
      </w:r>
    </w:p>
    <w:p>
      <w:pPr>
        <w:pStyle w:val="Heading5"/>
      </w:pPr>
      <w:bookmarkStart w:id="268" w:name="_Toc160509210"/>
      <w:r>
        <w:rPr>
          <w:rStyle w:val="CharSectno"/>
        </w:rPr>
        <w:t>39</w:t>
      </w:r>
      <w:r>
        <w:t>.</w:t>
      </w:r>
      <w:r>
        <w:tab/>
        <w:t>Information signs about availability or prices of tobacco products sold by retailers — location</w:t>
      </w:r>
      <w:bookmarkEnd w:id="268"/>
    </w:p>
    <w:p>
      <w:pPr>
        <w:pStyle w:val="Subsection"/>
      </w:pPr>
      <w:r>
        <w:tab/>
      </w:r>
      <w:r>
        <w:tab/>
        <w:t xml:space="preserve">For the purposes of section 24(1) a sign giving information about the availability or price of tobacco products — </w:t>
      </w:r>
    </w:p>
    <w:p>
      <w:pPr>
        <w:pStyle w:val="Indenta"/>
      </w:pPr>
      <w:r>
        <w:tab/>
        <w:t>(a)</w:t>
      </w:r>
      <w:r>
        <w:tab/>
        <w:t>must be located at the place at which tobacco products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659.]</w:t>
      </w:r>
    </w:p>
    <w:p>
      <w:pPr>
        <w:pStyle w:val="Heading5"/>
      </w:pPr>
      <w:bookmarkStart w:id="269" w:name="_Toc160509211"/>
      <w:r>
        <w:rPr>
          <w:rStyle w:val="CharSectno"/>
        </w:rPr>
        <w:t>40</w:t>
      </w:r>
      <w:r>
        <w:t>.</w:t>
      </w:r>
      <w:r>
        <w:tab/>
        <w:t>Information signs about availability or prices of tobacco products sold by retailers — contents</w:t>
      </w:r>
      <w:bookmarkEnd w:id="269"/>
    </w:p>
    <w:p>
      <w:pPr>
        <w:pStyle w:val="Subsection"/>
      </w:pPr>
      <w:r>
        <w:tab/>
      </w:r>
      <w:r>
        <w:tab/>
        <w:t xml:space="preserve">For the purposes of section 24(1) a sign giving information about the availability or price of tobacco products — </w:t>
      </w:r>
    </w:p>
    <w:p>
      <w:pPr>
        <w:pStyle w:val="Indenta"/>
      </w:pPr>
      <w:r>
        <w:tab/>
        <w:t>(a)</w:t>
      </w:r>
      <w:r>
        <w:tab/>
        <w:t xml:space="preserve">must not contain information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 xml:space="preserve">the country of origin of the available tobacco products; </w:t>
      </w:r>
    </w:p>
    <w:p>
      <w:pPr>
        <w:pStyle w:val="Indenti"/>
      </w:pPr>
      <w:r>
        <w:tab/>
        <w:t>(iv)</w:t>
      </w:r>
      <w:r>
        <w:tab/>
        <w:t>the price or prices of the available tobacco products;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products in a package mentioned in regulation 33; and</w:t>
      </w:r>
    </w:p>
    <w:p>
      <w:pPr>
        <w:pStyle w:val="Indenta"/>
      </w:pPr>
      <w:r>
        <w:tab/>
        <w:t>(d)</w:t>
      </w:r>
      <w:r>
        <w:tab/>
        <w:t>must display at the top of the sign an approved Quitline logo that is at least 2 cm in height.</w:t>
      </w:r>
    </w:p>
    <w:p>
      <w:pPr>
        <w:pStyle w:val="Footnotesection"/>
      </w:pPr>
      <w:r>
        <w:tab/>
        <w:t>[Regulation 40 inserted in Gazette 28 Feb 2007 p. 659-60.]</w:t>
      </w:r>
    </w:p>
    <w:p>
      <w:pPr>
        <w:pStyle w:val="Heading5"/>
      </w:pPr>
      <w:bookmarkStart w:id="270" w:name="_Toc160509212"/>
      <w:r>
        <w:rPr>
          <w:rStyle w:val="CharSectno"/>
        </w:rPr>
        <w:t>41</w:t>
      </w:r>
      <w:r>
        <w:t>.</w:t>
      </w:r>
      <w:r>
        <w:tab/>
        <w:t>Information signs about availability or prices of tobacco products sold by retailers — specifications</w:t>
      </w:r>
      <w:bookmarkEnd w:id="270"/>
    </w:p>
    <w:p>
      <w:pPr>
        <w:pStyle w:val="Subsection"/>
      </w:pPr>
      <w:r>
        <w:tab/>
      </w:r>
      <w:r>
        <w:tab/>
        <w:t xml:space="preserve">For the purposes of section 24(1) signage giving information about the availability or price of tobacco products — </w:t>
      </w:r>
    </w:p>
    <w:p>
      <w:pPr>
        <w:pStyle w:val="Indenta"/>
      </w:pPr>
      <w:r>
        <w:tab/>
        <w:t>(a)</w:t>
      </w:r>
      <w:r>
        <w:tab/>
        <w:t>must not exceed 1 m</w:t>
      </w:r>
      <w:r>
        <w:rPr>
          <w:vertAlign w:val="superscript"/>
        </w:rPr>
        <w:t>2</w:t>
      </w:r>
      <w:r>
        <w:t xml:space="preserve"> in area (not including the area occupied by the Quitline logo required by regulation 40(d)); and</w:t>
      </w:r>
    </w:p>
    <w:p>
      <w:pPr>
        <w:pStyle w:val="Indenta"/>
      </w:pPr>
      <w:r>
        <w:tab/>
        <w:t>(b)</w:t>
      </w:r>
      <w:r>
        <w:tab/>
        <w:t>may comprise one or more signs as long as each sign is the same size and the total area of all the signs does not exceed 1 m; and</w:t>
      </w:r>
    </w:p>
    <w:p>
      <w:pPr>
        <w:pStyle w:val="Indenta"/>
      </w:pPr>
      <w:r>
        <w:tab/>
        <w:t>(c)</w:t>
      </w:r>
      <w:r>
        <w:tab/>
        <w:t>must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660-1.]</w:t>
      </w:r>
    </w:p>
    <w:p>
      <w:pPr>
        <w:pStyle w:val="Heading5"/>
      </w:pPr>
      <w:bookmarkStart w:id="271" w:name="_Toc160509213"/>
      <w:r>
        <w:rPr>
          <w:rStyle w:val="CharSectno"/>
        </w:rPr>
        <w:t>42</w:t>
      </w:r>
      <w:r>
        <w:t>.</w:t>
      </w:r>
      <w:r>
        <w:tab/>
        <w:t>Information signs about availability or prices of tobacco products sold by retailers — cigar cabinets</w:t>
      </w:r>
      <w:bookmarkEnd w:id="271"/>
    </w:p>
    <w:p>
      <w:pPr>
        <w:pStyle w:val="Subsection"/>
      </w:pPr>
      <w:r>
        <w:tab/>
      </w:r>
      <w:r>
        <w:tab/>
        <w:t xml:space="preserve">For the purposes of section 24(1), in addition to signage complying with regulation 41(a) and (b), there may be a sign giving information about the availability or price of cigars in a cigar cabinet if — </w:t>
      </w:r>
    </w:p>
    <w:p>
      <w:pPr>
        <w:pStyle w:val="Indenta"/>
      </w:pPr>
      <w:r>
        <w:tab/>
        <w:t>(a)</w:t>
      </w:r>
      <w:r>
        <w:tab/>
        <w:t>the length of the sign’s perimeter does not exceed 1 m (not including the perimeter of the Quitline logo required by subregulation (c)); and</w:t>
      </w:r>
    </w:p>
    <w:p>
      <w:pPr>
        <w:pStyle w:val="Indenta"/>
      </w:pPr>
      <w:r>
        <w:tab/>
        <w:t>(b)</w:t>
      </w:r>
      <w:r>
        <w:tab/>
        <w:t>the sign is affixed, or located immediately adjacent, to the cigar cabinet; and</w:t>
      </w:r>
    </w:p>
    <w:p>
      <w:pPr>
        <w:pStyle w:val="Indenta"/>
      </w:pPr>
      <w:r>
        <w:tab/>
        <w:t>(c)</w:t>
      </w:r>
      <w:r>
        <w:tab/>
        <w:t>there is displayed at the top of the sign an approved Quitline logo that is at least 1 cm in height; and</w:t>
      </w:r>
    </w:p>
    <w:p>
      <w:pPr>
        <w:pStyle w:val="Indenta"/>
      </w:pPr>
      <w:r>
        <w:tab/>
        <w:t>(d)</w:t>
      </w:r>
      <w:r>
        <w:tab/>
        <w:t xml:space="preserve">the sign complies with regulations 40(a) and (b) and 41(c), (d), (e) and (f). </w:t>
      </w:r>
    </w:p>
    <w:p>
      <w:pPr>
        <w:pStyle w:val="Footnotesection"/>
      </w:pPr>
      <w:r>
        <w:tab/>
        <w:t>[Regulation 42 inserted in Gazette 28 Feb 2007 p. 661.]</w:t>
      </w:r>
    </w:p>
    <w:p>
      <w:pPr>
        <w:pStyle w:val="Heading5"/>
      </w:pPr>
      <w:bookmarkStart w:id="272" w:name="_Toc160509214"/>
      <w:r>
        <w:rPr>
          <w:rStyle w:val="CharSectno"/>
        </w:rPr>
        <w:t>43</w:t>
      </w:r>
      <w:r>
        <w:t>.</w:t>
      </w:r>
      <w:r>
        <w:tab/>
        <w:t>Price tickets for tobacco products sold by retailers — location and numbers</w:t>
      </w:r>
      <w:bookmarkEnd w:id="272"/>
    </w:p>
    <w:p>
      <w:pPr>
        <w:pStyle w:val="Subsection"/>
      </w:pPr>
      <w:r>
        <w:tab/>
        <w:t>(1)</w:t>
      </w:r>
      <w:r>
        <w:tab/>
        <w:t>For the purposes of section 24(1) —</w:t>
      </w:r>
    </w:p>
    <w:p>
      <w:pPr>
        <w:pStyle w:val="Indenta"/>
      </w:pPr>
      <w:r>
        <w:tab/>
        <w:t>(a)</w:t>
      </w:r>
      <w:r>
        <w:tab/>
        <w:t>there must not be more than one price ticket for each product line in a display of tobacco products; and</w:t>
      </w:r>
    </w:p>
    <w:p>
      <w:pPr>
        <w:pStyle w:val="Indenta"/>
      </w:pPr>
      <w:r>
        <w:tab/>
        <w:t>(b)</w:t>
      </w:r>
      <w:r>
        <w:tab/>
        <w:t>the price ticket for a product line must be located immediately below the display of the product line; and</w:t>
      </w:r>
    </w:p>
    <w:p>
      <w:pPr>
        <w:pStyle w:val="Indenta"/>
      </w:pPr>
      <w:r>
        <w:tab/>
        <w:t>(c)</w:t>
      </w:r>
      <w:r>
        <w:tab/>
        <w:t xml:space="preserve">if a facility is used to store but not display tobacco products, there must not be more than one price ticket displayed on the facility for each product line. </w:t>
      </w:r>
    </w:p>
    <w:p>
      <w:pPr>
        <w:pStyle w:val="Subsection"/>
      </w:pPr>
      <w:r>
        <w:tab/>
        <w:t>(2)</w:t>
      </w:r>
      <w:r>
        <w:tab/>
        <w:t>For the purposes of section 24(2) there must not be more than 4 price tickets for each product line available from a vending machine displayed in or on the vending machine.</w:t>
      </w:r>
    </w:p>
    <w:p>
      <w:pPr>
        <w:pStyle w:val="Footnotesection"/>
      </w:pPr>
      <w:r>
        <w:tab/>
        <w:t>[Regulation 43 inserted in Gazette 28 Feb 2007 p. 661-2.]</w:t>
      </w:r>
    </w:p>
    <w:p>
      <w:pPr>
        <w:pStyle w:val="Heading5"/>
      </w:pPr>
      <w:bookmarkStart w:id="273" w:name="_Toc160509215"/>
      <w:r>
        <w:rPr>
          <w:rStyle w:val="CharSectno"/>
        </w:rPr>
        <w:t>44</w:t>
      </w:r>
      <w:r>
        <w:t>.</w:t>
      </w:r>
      <w:r>
        <w:tab/>
        <w:t>Price tickets for tobacco products sold by retailers — contents</w:t>
      </w:r>
      <w:bookmarkEnd w:id="273"/>
    </w:p>
    <w:p>
      <w:pPr>
        <w:pStyle w:val="Subsection"/>
      </w:pPr>
      <w:r>
        <w:tab/>
      </w:r>
      <w:r>
        <w:tab/>
        <w:t xml:space="preserve">For the purposes of section 24(1) and (2) a price ticket may display information about any of the following — </w:t>
      </w:r>
    </w:p>
    <w:p>
      <w:pPr>
        <w:pStyle w:val="Indenta"/>
      </w:pPr>
      <w:r>
        <w:tab/>
        <w:t>(a)</w:t>
      </w:r>
      <w:r>
        <w:tab/>
        <w:t xml:space="preserve">the brand name, nicotine content, tar content or flavour of a tobacco product; </w:t>
      </w:r>
    </w:p>
    <w:p>
      <w:pPr>
        <w:pStyle w:val="Indenta"/>
      </w:pPr>
      <w:r>
        <w:tab/>
        <w:t>(b)</w:t>
      </w:r>
      <w:r>
        <w:tab/>
        <w:t>the number of items in a package containing a tobacco product;</w:t>
      </w:r>
    </w:p>
    <w:p>
      <w:pPr>
        <w:pStyle w:val="Indenta"/>
      </w:pPr>
      <w:r>
        <w:tab/>
        <w:t>(c)</w:t>
      </w:r>
      <w:r>
        <w:tab/>
        <w:t>the country of origin of a tobacco product;</w:t>
      </w:r>
    </w:p>
    <w:p>
      <w:pPr>
        <w:pStyle w:val="Indenta"/>
      </w:pPr>
      <w:r>
        <w:tab/>
        <w:t>(d)</w:t>
      </w:r>
      <w:r>
        <w:tab/>
        <w:t>the price of a tobacco product.</w:t>
      </w:r>
    </w:p>
    <w:p>
      <w:pPr>
        <w:pStyle w:val="Footnotesection"/>
      </w:pPr>
      <w:r>
        <w:tab/>
        <w:t>[Regulation 44 inserted in Gazette 28 Feb 2007 p. 662.]</w:t>
      </w:r>
    </w:p>
    <w:p>
      <w:pPr>
        <w:pStyle w:val="Heading5"/>
      </w:pPr>
      <w:bookmarkStart w:id="274" w:name="_Toc160509216"/>
      <w:r>
        <w:rPr>
          <w:rStyle w:val="CharSectno"/>
        </w:rPr>
        <w:t>45</w:t>
      </w:r>
      <w:r>
        <w:t>.</w:t>
      </w:r>
      <w:r>
        <w:tab/>
        <w:t>Price tickets for tobacco products sold by retailers — specifications</w:t>
      </w:r>
      <w:bookmarkEnd w:id="274"/>
    </w:p>
    <w:p>
      <w:pPr>
        <w:pStyle w:val="Subsection"/>
      </w:pPr>
      <w:r>
        <w:tab/>
      </w:r>
      <w:r>
        <w:tab/>
        <w:t xml:space="preserve">For the purposes of section 24(1) and (2) — </w:t>
      </w:r>
    </w:p>
    <w:p>
      <w:pPr>
        <w:pStyle w:val="Indenta"/>
      </w:pPr>
      <w:r>
        <w:tab/>
        <w:t>(a)</w:t>
      </w:r>
      <w:r>
        <w:tab/>
        <w:t>a price ticket must not exceed 35 cm</w:t>
      </w:r>
      <w:r>
        <w:rPr>
          <w:vertAlign w:val="superscript"/>
        </w:rPr>
        <w:t>2</w:t>
      </w:r>
      <w:r>
        <w:t xml:space="preserve"> in area; and</w:t>
      </w:r>
    </w:p>
    <w:p>
      <w:pPr>
        <w:pStyle w:val="Indenta"/>
      </w:pPr>
      <w:r>
        <w:tab/>
        <w:t>(b)</w:t>
      </w:r>
      <w:r>
        <w:tab/>
        <w:t xml:space="preserve">a price ticket must have — </w:t>
      </w:r>
    </w:p>
    <w:p>
      <w:pPr>
        <w:pStyle w:val="Indenti"/>
      </w:pPr>
      <w:r>
        <w:tab/>
        <w:t>(i)</w:t>
      </w:r>
      <w:r>
        <w:tab/>
        <w:t xml:space="preserve">a white background with black lettering; or </w:t>
      </w:r>
    </w:p>
    <w:p>
      <w:pPr>
        <w:pStyle w:val="Indenti"/>
      </w:pPr>
      <w:r>
        <w:tab/>
        <w:t>(ii)</w:t>
      </w:r>
      <w:r>
        <w:tab/>
        <w:t xml:space="preserve">a black background with white lettering; or </w:t>
      </w:r>
    </w:p>
    <w:p>
      <w:pPr>
        <w:pStyle w:val="Indenti"/>
      </w:pPr>
      <w:r>
        <w:tab/>
        <w:t>(iii)</w:t>
      </w:r>
      <w:r>
        <w:tab/>
        <w:t>the same colour lettering and the same colour background as the other price tickets displayed in the premises unless the price ticket is in electronic form on a vending machine;</w:t>
      </w:r>
    </w:p>
    <w:p>
      <w:pPr>
        <w:pStyle w:val="Indenta"/>
      </w:pPr>
      <w:r>
        <w:tab/>
      </w:r>
      <w:r>
        <w:tab/>
        <w:t>and</w:t>
      </w:r>
    </w:p>
    <w:p>
      <w:pPr>
        <w:pStyle w:val="Indenta"/>
      </w:pPr>
      <w:r>
        <w:tab/>
        <w:t>(c)</w:t>
      </w:r>
      <w:r>
        <w:tab/>
        <w:t>all price tickets for tobacco products at the premises must have the same colour lettering and the same colour background; and</w:t>
      </w:r>
    </w:p>
    <w:p>
      <w:pPr>
        <w:pStyle w:val="Indenta"/>
      </w:pPr>
      <w:r>
        <w:tab/>
        <w:t>(d)</w:t>
      </w:r>
      <w:r>
        <w:tab/>
        <w:t>a price ticket must not contain a fluorescent colour unless the price ticket is in electronic form on a vending machine; and</w:t>
      </w:r>
    </w:p>
    <w:p>
      <w:pPr>
        <w:pStyle w:val="Indenta"/>
      </w:pPr>
      <w:r>
        <w:tab/>
        <w:t>(e)</w:t>
      </w:r>
      <w:r>
        <w:tab/>
        <w:t>a price ticket must not contain lettering or numbers for the product line information exceeding 8 mm in height; and</w:t>
      </w:r>
    </w:p>
    <w:p>
      <w:pPr>
        <w:pStyle w:val="Indenta"/>
      </w:pPr>
      <w:r>
        <w:tab/>
        <w:t>(f)</w:t>
      </w:r>
      <w:r>
        <w:tab/>
        <w:t>a price ticket must not contain lettering or numbers for the product line information of a height exceeding that of the lettering or numbers for the price; and</w:t>
      </w:r>
    </w:p>
    <w:p>
      <w:pPr>
        <w:pStyle w:val="Indenta"/>
      </w:pPr>
      <w:r>
        <w:tab/>
        <w:t>(g)</w:t>
      </w:r>
      <w:r>
        <w:tab/>
        <w:t>the lettering and numbers for the product line information must be of the same height on all price tickets on vending machines at the premises;</w:t>
      </w:r>
    </w:p>
    <w:p>
      <w:pPr>
        <w:pStyle w:val="Indenta"/>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pPr>
      <w:r>
        <w:tab/>
        <w:t>(i)</w:t>
      </w:r>
      <w:r>
        <w:tab/>
        <w:t>the lettering and numbers for the price must be of the same height on all price tickets on vending machines at the premises; and</w:t>
      </w:r>
    </w:p>
    <w:p>
      <w:pPr>
        <w:pStyle w:val="Indenta"/>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pPr>
      <w:bookmarkStart w:id="275" w:name="_Toc160509217"/>
      <w:r>
        <w:rPr>
          <w:rStyle w:val="CharSectno"/>
        </w:rPr>
        <w:t>46</w:t>
      </w:r>
      <w:r>
        <w:t>.</w:t>
      </w:r>
      <w:r>
        <w:tab/>
        <w:t>Price lists for cigars sold by retailers</w:t>
      </w:r>
      <w:bookmarkEnd w:id="275"/>
    </w:p>
    <w:p>
      <w:pPr>
        <w:pStyle w:val="Subsection"/>
      </w:pPr>
      <w:r>
        <w:tab/>
      </w:r>
      <w:r>
        <w:tab/>
        <w:t>For the purposes of section 24(1) information about the availability or price of cigars in a cigar cabinet or humidified room</w:t>
      </w:r>
      <w:r>
        <w:rPr>
          <w:i/>
          <w:iCs/>
        </w:rPr>
        <w:t xml:space="preserve"> </w:t>
      </w:r>
      <w:r>
        <w:t xml:space="preserve">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pPr>
      <w:r>
        <w:tab/>
        <w:t>(e)</w:t>
      </w:r>
      <w:r>
        <w:tab/>
        <w:t>there is displayed at the top of each page of the price list an approved Quitline logo that is at least 1 cm in height.</w:t>
      </w:r>
    </w:p>
    <w:p>
      <w:pPr>
        <w:pStyle w:val="Footnotesection"/>
      </w:pPr>
      <w:r>
        <w:tab/>
        <w:t>[Regulation 46 inserted in Gazette 28 Feb 2007 p. 664.]</w:t>
      </w:r>
    </w:p>
    <w:p>
      <w:pPr>
        <w:pStyle w:val="Heading5"/>
      </w:pPr>
      <w:bookmarkStart w:id="276" w:name="_Toc160509218"/>
      <w:r>
        <w:rPr>
          <w:rStyle w:val="CharSectno"/>
        </w:rPr>
        <w:t>47</w:t>
      </w:r>
      <w:r>
        <w:t>.</w:t>
      </w:r>
      <w:r>
        <w:tab/>
        <w:t>Facsimiles of tobacco products for information about availability of tobacco products sold by retailers or from vending machine</w:t>
      </w:r>
      <w:bookmarkEnd w:id="276"/>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 xml:space="preserve">the facsimile is located — </w:t>
      </w:r>
    </w:p>
    <w:p>
      <w:pPr>
        <w:pStyle w:val="Indenti"/>
      </w:pPr>
      <w:r>
        <w:tab/>
        <w:t>(i)</w:t>
      </w:r>
      <w:r>
        <w:tab/>
        <w:t>on a dispensing unit; or</w:t>
      </w:r>
    </w:p>
    <w:p>
      <w:pPr>
        <w:pStyle w:val="Indenti"/>
      </w:pPr>
      <w:r>
        <w:tab/>
        <w:t>(ii)</w:t>
      </w:r>
      <w:r>
        <w:tab/>
        <w:t>on a price list mentioned in regulation 46; or</w:t>
      </w:r>
    </w:p>
    <w:p>
      <w:pPr>
        <w:pStyle w:val="Indenti"/>
      </w:pPr>
      <w:r>
        <w:tab/>
        <w:t>(iii)</w:t>
      </w:r>
      <w:r>
        <w:tab/>
        <w:t>on a vending machine that does not display, other than in electronic form, information about a product line that is the subject of the facsimile;</w:t>
      </w:r>
    </w:p>
    <w:p>
      <w:pPr>
        <w:pStyle w:val="Indenta"/>
      </w:pPr>
      <w:r>
        <w:tab/>
      </w:r>
      <w:r>
        <w:tab/>
        <w:t>and</w:t>
      </w:r>
    </w:p>
    <w:p>
      <w:pPr>
        <w:pStyle w:val="Indenta"/>
      </w:pPr>
      <w:r>
        <w:tab/>
        <w:t>(b)</w:t>
      </w:r>
      <w:r>
        <w:tab/>
        <w:t>in the case of a facsimile on a dispensing unit, there is no other display of packages of cigarettes at the premises; and</w:t>
      </w:r>
    </w:p>
    <w:p>
      <w:pPr>
        <w:pStyle w:val="Indenta"/>
      </w:pPr>
      <w:r>
        <w:tab/>
        <w:t>(c)</w:t>
      </w:r>
      <w:r>
        <w:tab/>
        <w:t>in the case of premises other than a duty free shop at an airport, the facsimile is not of a carton; and</w:t>
      </w:r>
    </w:p>
    <w:p>
      <w:pPr>
        <w:pStyle w:val="Indenta"/>
      </w:pPr>
      <w:r>
        <w:tab/>
        <w:t>(d)</w:t>
      </w:r>
      <w:r>
        <w:tab/>
        <w:t>in the case of a facsimile of a package, the size of the facsimile is not greater than 50% of the actual size of the front face of the package; and</w:t>
      </w:r>
    </w:p>
    <w:p>
      <w:pPr>
        <w:pStyle w:val="Indenta"/>
      </w:pPr>
      <w:r>
        <w:tab/>
        <w:t>(e)</w:t>
      </w:r>
      <w:r>
        <w:tab/>
        <w:t>in the case of a facsimile of a cigar, the size of the facsimile is not greater than the actual size of the cigar; and</w:t>
      </w:r>
    </w:p>
    <w:p>
      <w:pPr>
        <w:pStyle w:val="Indenta"/>
      </w:pPr>
      <w:r>
        <w:tab/>
        <w:t>(f)</w:t>
      </w:r>
      <w:r>
        <w:tab/>
        <w:t>in the case of a facsimile of a package, it is a facsimile of the front face of the package that is labelled as required by section 19; and</w:t>
      </w:r>
    </w:p>
    <w:p>
      <w:pPr>
        <w:pStyle w:val="Indenta"/>
      </w:pPr>
      <w:r>
        <w:tab/>
        <w:t>(g)</w:t>
      </w:r>
      <w:r>
        <w:tab/>
        <w:t>no more than 4 facsimiles of a particular product line are displayed at the premises; and</w:t>
      </w:r>
    </w:p>
    <w:p>
      <w:pPr>
        <w:pStyle w:val="Indenta"/>
      </w:pPr>
      <w:r>
        <w:tab/>
        <w:t>(h)</w:t>
      </w:r>
      <w:r>
        <w:tab/>
        <w:t>no more than 75 facsimiles are displayed at the premises; and</w:t>
      </w:r>
    </w:p>
    <w:p>
      <w:pPr>
        <w:pStyle w:val="Indenta"/>
      </w:pPr>
      <w:r>
        <w:tab/>
        <w:t>(i)</w:t>
      </w:r>
      <w:r>
        <w:tab/>
        <w:t>the total surface area of all the facsimiles located on a single dispensing unit or vending machine, as is relevant to the case, is 1 m</w:t>
      </w:r>
      <w:r>
        <w:rPr>
          <w:vertAlign w:val="superscript"/>
        </w:rPr>
        <w:t>2</w:t>
      </w:r>
      <w:r>
        <w:t xml:space="preserve"> or less.</w:t>
      </w:r>
    </w:p>
    <w:p>
      <w:pPr>
        <w:pStyle w:val="Footnotesection"/>
      </w:pPr>
      <w:r>
        <w:tab/>
        <w:t>[Regulation 47 inserted in Gazette 28 Feb 2007 p. 664-5.]</w:t>
      </w:r>
    </w:p>
    <w:p>
      <w:pPr>
        <w:pStyle w:val="Heading3"/>
      </w:pPr>
      <w:bookmarkStart w:id="277" w:name="_Toc160449064"/>
      <w:bookmarkStart w:id="278" w:name="_Toc160449644"/>
      <w:bookmarkStart w:id="279" w:name="_Toc160507601"/>
      <w:bookmarkStart w:id="280" w:name="_Toc160508064"/>
      <w:bookmarkStart w:id="281" w:name="_Toc160509219"/>
      <w:r>
        <w:rPr>
          <w:rStyle w:val="CharDivNo"/>
        </w:rPr>
        <w:t>Division 6</w:t>
      </w:r>
      <w:r>
        <w:t> — </w:t>
      </w:r>
      <w:r>
        <w:rPr>
          <w:rStyle w:val="CharDivText"/>
        </w:rPr>
        <w:t>Warnings</w:t>
      </w:r>
      <w:bookmarkEnd w:id="277"/>
      <w:bookmarkEnd w:id="278"/>
      <w:bookmarkEnd w:id="279"/>
      <w:bookmarkEnd w:id="280"/>
      <w:bookmarkEnd w:id="281"/>
    </w:p>
    <w:p>
      <w:pPr>
        <w:pStyle w:val="Footnoteheading"/>
      </w:pPr>
      <w:r>
        <w:tab/>
        <w:t>[Heading inserted in Gazette 28 Feb 2007 p. 666.]</w:t>
      </w:r>
    </w:p>
    <w:p>
      <w:pPr>
        <w:pStyle w:val="Heading5"/>
      </w:pPr>
      <w:bookmarkStart w:id="282" w:name="_Toc160509220"/>
      <w:r>
        <w:rPr>
          <w:rStyle w:val="CharSectno"/>
        </w:rPr>
        <w:t>48</w:t>
      </w:r>
      <w:r>
        <w:t>.</w:t>
      </w:r>
      <w:r>
        <w:tab/>
        <w:t>Warning signs about purchase of tobacco products etc. to underage persons — location</w:t>
      </w:r>
      <w:bookmarkEnd w:id="282"/>
    </w:p>
    <w:p>
      <w:pPr>
        <w:pStyle w:val="Subsection"/>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283" w:name="_Toc160509221"/>
      <w:r>
        <w:rPr>
          <w:rStyle w:val="CharSectno"/>
        </w:rPr>
        <w:t>49</w:t>
      </w:r>
      <w:r>
        <w:t>.</w:t>
      </w:r>
      <w:r>
        <w:tab/>
        <w:t>Warning signs about purchase of tobacco products etc. to underage persons — content and specifications</w:t>
      </w:r>
      <w:bookmarkEnd w:id="283"/>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284" w:name="_Toc160509222"/>
      <w:r>
        <w:rPr>
          <w:rStyle w:val="CharSectno"/>
        </w:rPr>
        <w:t>50</w:t>
      </w:r>
      <w:r>
        <w:t>.</w:t>
      </w:r>
      <w:r>
        <w:tab/>
        <w:t>Health warning signs — location</w:t>
      </w:r>
      <w:bookmarkEnd w:id="284"/>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285" w:name="_Toc160509223"/>
      <w:r>
        <w:rPr>
          <w:rStyle w:val="CharSectno"/>
        </w:rPr>
        <w:t>51</w:t>
      </w:r>
      <w:r>
        <w:t>.</w:t>
      </w:r>
      <w:r>
        <w:tab/>
        <w:t>Health warning signs — content and specifications</w:t>
      </w:r>
      <w:bookmarkEnd w:id="285"/>
      <w:r>
        <w:t xml:space="preserve"> </w:t>
      </w:r>
    </w:p>
    <w:p>
      <w:pPr>
        <w:pStyle w:val="Subsection"/>
      </w:pPr>
      <w:r>
        <w:tab/>
        <w:t>(1)</w:t>
      </w:r>
      <w:r>
        <w:tab/>
        <w:t xml:space="preserve">For the purposes of section 25(2)(b) and (3)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
          <w:iCs/>
        </w:rPr>
        <w:t xml:space="preserve"> </w:t>
      </w:r>
      <w:r>
        <w:t>colouring, of one of the signs set out in Schedule 2.</w:t>
      </w:r>
    </w:p>
    <w:p>
      <w:pPr>
        <w:pStyle w:val="Subsection"/>
      </w:pPr>
      <w:r>
        <w:tab/>
        <w:t>(2)</w:t>
      </w:r>
      <w:r>
        <w:tab/>
        <w:t xml:space="preserve">For the purposes of section 25(2)(b) and (3)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
          <w:iCs/>
        </w:rPr>
        <w:t xml:space="preserve"> </w:t>
      </w:r>
      <w:r>
        <w:t>colouring, set out in Schedule 3.</w:t>
      </w:r>
    </w:p>
    <w:p>
      <w:pPr>
        <w:pStyle w:val="Subsection"/>
      </w:pPr>
      <w:r>
        <w:tab/>
        <w:t>(3)</w:t>
      </w:r>
      <w:r>
        <w:tab/>
        <w:t xml:space="preserve">For the purposes of section 25(2)(b) and (3)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667-8.]</w:t>
      </w:r>
    </w:p>
    <w:p>
      <w:pPr>
        <w:pStyle w:val="Heading3"/>
      </w:pPr>
      <w:bookmarkStart w:id="286" w:name="_Toc160449069"/>
      <w:bookmarkStart w:id="287" w:name="_Toc160449649"/>
      <w:bookmarkStart w:id="288" w:name="_Toc160507606"/>
      <w:bookmarkStart w:id="289" w:name="_Toc160508069"/>
      <w:bookmarkStart w:id="290" w:name="_Toc160509224"/>
      <w:r>
        <w:rPr>
          <w:rStyle w:val="CharDivNo"/>
        </w:rPr>
        <w:t>Division 7</w:t>
      </w:r>
      <w:r>
        <w:t> — </w:t>
      </w:r>
      <w:r>
        <w:rPr>
          <w:rStyle w:val="CharDivText"/>
        </w:rPr>
        <w:t>Information and advice</w:t>
      </w:r>
      <w:bookmarkEnd w:id="286"/>
      <w:bookmarkEnd w:id="287"/>
      <w:bookmarkEnd w:id="288"/>
      <w:bookmarkEnd w:id="289"/>
      <w:bookmarkEnd w:id="290"/>
    </w:p>
    <w:p>
      <w:pPr>
        <w:pStyle w:val="Footnoteheading"/>
      </w:pPr>
      <w:r>
        <w:tab/>
        <w:t>[Heading inserted in Gazette 28 Feb 2007 p. 668.]</w:t>
      </w:r>
    </w:p>
    <w:p>
      <w:pPr>
        <w:pStyle w:val="Heading5"/>
      </w:pPr>
      <w:bookmarkStart w:id="291" w:name="_Toc160509225"/>
      <w:r>
        <w:rPr>
          <w:rStyle w:val="CharSectno"/>
        </w:rPr>
        <w:t>52</w:t>
      </w:r>
      <w:r>
        <w:t>.</w:t>
      </w:r>
      <w:r>
        <w:tab/>
        <w:t>Retailers providing purchasers of tobacco products with approved guides</w:t>
      </w:r>
      <w:bookmarkEnd w:id="291"/>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pPr>
      <w:bookmarkStart w:id="292" w:name="_Toc160509226"/>
      <w:r>
        <w:rPr>
          <w:rStyle w:val="CharSectno"/>
        </w:rPr>
        <w:t>53</w:t>
      </w:r>
      <w:r>
        <w:t>.</w:t>
      </w:r>
      <w:r>
        <w:tab/>
        <w:t>Retailers making approved guides available to purchasers of tobacco products</w:t>
      </w:r>
      <w:bookmarkEnd w:id="292"/>
    </w:p>
    <w:p>
      <w:pPr>
        <w:pStyle w:val="Subsection"/>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pPr>
      <w:bookmarkStart w:id="293" w:name="_Toc160509227"/>
      <w:r>
        <w:rPr>
          <w:rStyle w:val="CharSectno"/>
        </w:rPr>
        <w:t>54</w:t>
      </w:r>
      <w:r>
        <w:t>.</w:t>
      </w:r>
      <w:r>
        <w:tab/>
        <w:t>Wholesalers providing retailers with approved guides</w:t>
      </w:r>
      <w:bookmarkEnd w:id="293"/>
    </w:p>
    <w:p>
      <w:pPr>
        <w:pStyle w:val="Subsection"/>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294" w:name="_Toc160449073"/>
      <w:bookmarkStart w:id="295" w:name="_Toc160449653"/>
      <w:bookmarkStart w:id="296" w:name="_Toc160507610"/>
      <w:bookmarkStart w:id="297" w:name="_Toc160508073"/>
      <w:bookmarkStart w:id="298" w:name="_Toc160509228"/>
      <w:r>
        <w:rPr>
          <w:rStyle w:val="CharDivNo"/>
        </w:rPr>
        <w:t>Division 8</w:t>
      </w:r>
      <w:r>
        <w:t> — </w:t>
      </w:r>
      <w:r>
        <w:rPr>
          <w:rStyle w:val="CharDivText"/>
        </w:rPr>
        <w:t>Vending machines</w:t>
      </w:r>
      <w:bookmarkEnd w:id="294"/>
      <w:bookmarkEnd w:id="295"/>
      <w:bookmarkEnd w:id="296"/>
      <w:bookmarkEnd w:id="297"/>
      <w:bookmarkEnd w:id="298"/>
    </w:p>
    <w:p>
      <w:pPr>
        <w:pStyle w:val="Footnoteheading"/>
      </w:pPr>
      <w:bookmarkStart w:id="299" w:name="_Toc139857801"/>
      <w:r>
        <w:tab/>
        <w:t>[Heading inserted in Gazette 28 Feb 2007 p. 669.]</w:t>
      </w:r>
    </w:p>
    <w:p>
      <w:pPr>
        <w:pStyle w:val="Heading5"/>
      </w:pPr>
      <w:bookmarkStart w:id="300" w:name="_Toc160509229"/>
      <w:r>
        <w:rPr>
          <w:rStyle w:val="CharSectno"/>
        </w:rPr>
        <w:t>55</w:t>
      </w:r>
      <w:r>
        <w:t>.</w:t>
      </w:r>
      <w:r>
        <w:tab/>
        <w:t>Number of vending machines</w:t>
      </w:r>
      <w:bookmarkEnd w:id="299"/>
      <w:bookmarkEnd w:id="300"/>
    </w:p>
    <w:p>
      <w:pPr>
        <w:pStyle w:val="Subsection"/>
      </w:pPr>
      <w:r>
        <w:tab/>
      </w:r>
      <w:r>
        <w:tab/>
        <w:t>The number of vending machines prescribed for the purposes of section 27(2)(a) is 2.</w:t>
      </w:r>
    </w:p>
    <w:p>
      <w:pPr>
        <w:pStyle w:val="Footnotesection"/>
      </w:pPr>
      <w:r>
        <w:tab/>
        <w:t>[Regulation 55 inserted in Gazette 28 Feb 2007 p. 669.]</w:t>
      </w:r>
    </w:p>
    <w:p>
      <w:pPr>
        <w:pStyle w:val="Heading5"/>
      </w:pPr>
      <w:bookmarkStart w:id="301" w:name="_Toc160509230"/>
      <w:r>
        <w:rPr>
          <w:rStyle w:val="CharSectno"/>
        </w:rPr>
        <w:t>56</w:t>
      </w:r>
      <w:r>
        <w:t>.</w:t>
      </w:r>
      <w:r>
        <w:tab/>
        <w:t>Location of vending machines</w:t>
      </w:r>
      <w:bookmarkEnd w:id="301"/>
    </w:p>
    <w:p>
      <w:pPr>
        <w:pStyle w:val="Subsection"/>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302" w:name="_Toc160449076"/>
      <w:bookmarkStart w:id="303" w:name="_Toc160449656"/>
      <w:bookmarkStart w:id="304" w:name="_Toc160507613"/>
      <w:bookmarkStart w:id="305" w:name="_Toc160508076"/>
      <w:bookmarkStart w:id="306" w:name="_Toc160509231"/>
      <w:r>
        <w:rPr>
          <w:rStyle w:val="CharDivNo"/>
        </w:rPr>
        <w:t>Division 9</w:t>
      </w:r>
      <w:r>
        <w:t> — </w:t>
      </w:r>
      <w:r>
        <w:rPr>
          <w:rStyle w:val="CharDivText"/>
        </w:rPr>
        <w:t>Smokeless tobacco</w:t>
      </w:r>
      <w:bookmarkEnd w:id="302"/>
      <w:bookmarkEnd w:id="303"/>
      <w:bookmarkEnd w:id="304"/>
      <w:bookmarkEnd w:id="305"/>
      <w:bookmarkEnd w:id="306"/>
    </w:p>
    <w:p>
      <w:pPr>
        <w:pStyle w:val="Footnoteheading"/>
      </w:pPr>
      <w:bookmarkStart w:id="307" w:name="_Toc139857802"/>
      <w:r>
        <w:tab/>
        <w:t>[Heading inserted in Gazette 28 Feb 2007 p. 670.]</w:t>
      </w:r>
    </w:p>
    <w:p>
      <w:pPr>
        <w:pStyle w:val="Heading5"/>
      </w:pPr>
      <w:bookmarkStart w:id="308" w:name="_Toc160509232"/>
      <w:r>
        <w:rPr>
          <w:rStyle w:val="CharSectno"/>
        </w:rPr>
        <w:t>57</w:t>
      </w:r>
      <w:r>
        <w:t>.</w:t>
      </w:r>
      <w:r>
        <w:tab/>
        <w:t>Smokeless tobacco</w:t>
      </w:r>
      <w:bookmarkEnd w:id="307"/>
      <w:bookmarkEnd w:id="308"/>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309" w:name="_Toc160449078"/>
      <w:bookmarkStart w:id="310" w:name="_Toc160449658"/>
      <w:bookmarkStart w:id="311" w:name="_Toc160507615"/>
      <w:bookmarkStart w:id="312" w:name="_Toc160508078"/>
      <w:bookmarkStart w:id="313" w:name="_Toc160509233"/>
      <w:r>
        <w:rPr>
          <w:rStyle w:val="CharPartNo"/>
        </w:rPr>
        <w:t>Part 7</w:t>
      </w:r>
      <w:r>
        <w:rPr>
          <w:b w:val="0"/>
        </w:rPr>
        <w:t> </w:t>
      </w:r>
      <w:r>
        <w:t>—</w:t>
      </w:r>
      <w:r>
        <w:rPr>
          <w:b w:val="0"/>
        </w:rPr>
        <w:t> </w:t>
      </w:r>
      <w:r>
        <w:rPr>
          <w:rStyle w:val="CharPartText"/>
        </w:rPr>
        <w:t>Miscellaneous</w:t>
      </w:r>
      <w:bookmarkEnd w:id="309"/>
      <w:bookmarkEnd w:id="310"/>
      <w:bookmarkEnd w:id="311"/>
      <w:bookmarkEnd w:id="312"/>
      <w:bookmarkEnd w:id="313"/>
    </w:p>
    <w:p>
      <w:pPr>
        <w:pStyle w:val="Footnoteheading"/>
      </w:pPr>
      <w:r>
        <w:tab/>
        <w:t>[Heading inserted in Gazette 28 Feb 2007 p. 671.]</w:t>
      </w:r>
    </w:p>
    <w:p>
      <w:pPr>
        <w:pStyle w:val="Heading5"/>
      </w:pPr>
      <w:bookmarkStart w:id="314" w:name="_Toc160509234"/>
      <w:r>
        <w:rPr>
          <w:rStyle w:val="CharSectno"/>
        </w:rPr>
        <w:t>58</w:t>
      </w:r>
      <w:r>
        <w:t>.</w:t>
      </w:r>
      <w:r>
        <w:tab/>
        <w:t>Confidentiality — exceptions</w:t>
      </w:r>
      <w:bookmarkEnd w:id="314"/>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Indenti"/>
      </w:pPr>
      <w:r>
        <w:tab/>
        <w:t>(ii)</w:t>
      </w:r>
      <w:r>
        <w:tab/>
        <w:t>the Australian Customs Service; or</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rPr>
          <w:snapToGrid w:val="0"/>
        </w:rPr>
      </w:pPr>
      <w:r>
        <w:rPr>
          <w:snapToGrid w:val="0"/>
        </w:rPr>
        <w:tab/>
        <w:t>(i)</w:t>
      </w:r>
      <w:r>
        <w:rPr>
          <w:snapToGrid w:val="0"/>
        </w:rPr>
        <w:tab/>
        <w:t xml:space="preserve">a customs law as defined in the Commonwealth </w:t>
      </w:r>
      <w:r>
        <w:rPr>
          <w:i/>
          <w:iCs/>
          <w:snapToGrid w:val="0"/>
        </w:rPr>
        <w:t xml:space="preserve">Customs Administration Act 1985 </w:t>
      </w:r>
      <w:r>
        <w:rPr>
          <w:snapToGrid w:val="0"/>
        </w:rPr>
        <w:t>section 3; or</w:t>
      </w:r>
    </w:p>
    <w:p>
      <w:pPr>
        <w:pStyle w:val="Indenti"/>
      </w:pPr>
      <w:r>
        <w:tab/>
        <w:t>(ii)</w:t>
      </w:r>
      <w:r>
        <w:tab/>
        <w:t xml:space="preserve">a taxation law as defined in the Commonwealth </w:t>
      </w:r>
      <w:r>
        <w:rPr>
          <w:i/>
          <w:iCs/>
        </w:rPr>
        <w:t xml:space="preserve">Taxation Administration Act 1933 </w:t>
      </w:r>
      <w:r>
        <w:t>section 2; or</w:t>
      </w:r>
    </w:p>
    <w:p>
      <w:pPr>
        <w:pStyle w:val="Indenti"/>
      </w:pPr>
      <w:r>
        <w:tab/>
        <w:t>(iii)</w:t>
      </w:r>
      <w:r>
        <w:tab/>
        <w:t xml:space="preserve">an Excise Act as defined in the Commonwealth </w:t>
      </w:r>
      <w:r>
        <w:rPr>
          <w:i/>
          <w:iCs/>
        </w:rPr>
        <w:t>Excise Act 1901</w:t>
      </w:r>
      <w:r>
        <w:t xml:space="preserve"> section 4(1),</w:t>
      </w:r>
    </w:p>
    <w:p>
      <w:pPr>
        <w:pStyle w:val="Indenta"/>
      </w:pPr>
      <w:r>
        <w:tab/>
      </w:r>
      <w:r>
        <w:tab/>
        <w:t>as that law applies to a tobacco product or conduct in relation to a tobacco product.</w:t>
      </w:r>
    </w:p>
    <w:p>
      <w:pPr>
        <w:pStyle w:val="Footnotesection"/>
      </w:pPr>
      <w:r>
        <w:tab/>
        <w:t>[Regulation 58 inserted in Gazette 28 Feb 2007 p. 671-2.]</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15" w:name="_Toc160449080"/>
      <w:bookmarkStart w:id="316" w:name="_Toc160449660"/>
      <w:bookmarkStart w:id="317" w:name="_Toc160507617"/>
      <w:bookmarkStart w:id="318" w:name="_Toc160508080"/>
      <w:bookmarkStart w:id="319" w:name="_Toc160509235"/>
      <w:bookmarkStart w:id="320" w:name="_Toc113695922"/>
      <w:bookmarkStart w:id="321" w:name="_Toc141610316"/>
      <w:bookmarkStart w:id="322" w:name="_Toc141610427"/>
      <w:bookmarkStart w:id="323" w:name="_Toc141610456"/>
      <w:bookmarkStart w:id="324" w:name="_Toc141691931"/>
      <w:r>
        <w:rPr>
          <w:rStyle w:val="CharSchNo"/>
        </w:rPr>
        <w:t>Schedule 1</w:t>
      </w:r>
      <w:r>
        <w:t> — </w:t>
      </w:r>
      <w:r>
        <w:rPr>
          <w:rStyle w:val="CharSchText"/>
        </w:rPr>
        <w:t>Warning signs about purchase of tobacco products</w:t>
      </w:r>
      <w:bookmarkEnd w:id="315"/>
      <w:bookmarkEnd w:id="316"/>
      <w:bookmarkEnd w:id="317"/>
      <w:bookmarkEnd w:id="318"/>
      <w:bookmarkEnd w:id="319"/>
    </w:p>
    <w:p>
      <w:pPr>
        <w:pStyle w:val="yShoulderClause"/>
      </w:pPr>
      <w:r>
        <w:t>[r. 49(b)]</w:t>
      </w:r>
    </w:p>
    <w:p>
      <w:pPr>
        <w:pStyle w:val="yFootnoteheading"/>
      </w:pPr>
      <w:r>
        <w:tab/>
        <w:t>[Heading inserted in Gazette 28 Feb 2007 p. 673.]</w:t>
      </w:r>
    </w:p>
    <w:p>
      <w:pPr>
        <w:jc w:val="center"/>
      </w:pPr>
      <w:r>
        <w:rPr>
          <w:noProof/>
          <w:lang w:eastAsia="en-AU"/>
        </w:rPr>
        <w:drawing>
          <wp:inline distT="0" distB="0" distL="0" distR="0">
            <wp:extent cx="4352925" cy="3057525"/>
            <wp:effectExtent l="0" t="0" r="9525" b="9525"/>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52925" cy="3057525"/>
                    </a:xfrm>
                    <a:prstGeom prst="rect">
                      <a:avLst/>
                    </a:prstGeom>
                    <a:noFill/>
                    <a:ln>
                      <a:noFill/>
                    </a:ln>
                  </pic:spPr>
                </pic:pic>
              </a:graphicData>
            </a:graphic>
          </wp:inline>
        </w:drawing>
      </w:r>
    </w:p>
    <w:p>
      <w:pPr>
        <w:pStyle w:val="yFootnotesection"/>
      </w:pPr>
      <w:r>
        <w:tab/>
        <w:t>[Schedule 1 inserted in Gazette 28 Feb 2007 p. 673.]</w:t>
      </w:r>
    </w:p>
    <w:p>
      <w:pPr>
        <w:pStyle w:val="yScheduleHeading"/>
      </w:pPr>
      <w:bookmarkStart w:id="325" w:name="_Toc160449081"/>
      <w:bookmarkStart w:id="326" w:name="_Toc160449661"/>
      <w:bookmarkStart w:id="327" w:name="_Toc160507618"/>
      <w:bookmarkStart w:id="328" w:name="_Toc160508081"/>
      <w:bookmarkStart w:id="329" w:name="_Toc160509236"/>
      <w:r>
        <w:rPr>
          <w:rStyle w:val="CharSchNo"/>
        </w:rPr>
        <w:t>Schedule 2</w:t>
      </w:r>
      <w:r>
        <w:t> — </w:t>
      </w:r>
      <w:r>
        <w:rPr>
          <w:rStyle w:val="CharSchText"/>
        </w:rPr>
        <w:t>Health warning signs, general and vending machines</w:t>
      </w:r>
      <w:bookmarkEnd w:id="325"/>
      <w:bookmarkEnd w:id="326"/>
      <w:bookmarkEnd w:id="327"/>
      <w:bookmarkEnd w:id="328"/>
      <w:bookmarkEnd w:id="329"/>
    </w:p>
    <w:p>
      <w:pPr>
        <w:pStyle w:val="yShoulderClause"/>
      </w:pPr>
      <w:r>
        <w:t>[r. 51(1)(b)]</w:t>
      </w:r>
    </w:p>
    <w:p>
      <w:pPr>
        <w:pStyle w:val="yFootnoteheading"/>
      </w:pPr>
      <w:r>
        <w:tab/>
        <w:t>[Heading inserted in Gazette 28 Feb 2007 p. 674.]</w:t>
      </w:r>
    </w:p>
    <w:p>
      <w:pPr>
        <w:jc w:val="center"/>
      </w:pPr>
      <w:r>
        <w:rPr>
          <w:noProof/>
          <w:lang w:eastAsia="en-AU"/>
        </w:rPr>
        <w:drawing>
          <wp:inline distT="0" distB="0" distL="0" distR="0">
            <wp:extent cx="3867150" cy="2733675"/>
            <wp:effectExtent l="0" t="0" r="0" b="9525"/>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67150" cy="2733675"/>
                    </a:xfrm>
                    <a:prstGeom prst="rect">
                      <a:avLst/>
                    </a:prstGeom>
                    <a:noFill/>
                    <a:ln>
                      <a:noFill/>
                    </a:ln>
                  </pic:spPr>
                </pic:pic>
              </a:graphicData>
            </a:graphic>
          </wp:inline>
        </w:drawing>
      </w:r>
    </w:p>
    <w:p>
      <w:pPr>
        <w:rPr>
          <w:sz w:val="16"/>
        </w:rPr>
      </w:pPr>
    </w:p>
    <w:p>
      <w:pPr>
        <w:jc w:val="center"/>
        <w:rPr>
          <w:sz w:val="16"/>
        </w:rPr>
      </w:pPr>
      <w:r>
        <w:rPr>
          <w:noProof/>
          <w:sz w:val="16"/>
          <w:lang w:eastAsia="en-AU"/>
        </w:rPr>
        <w:drawing>
          <wp:inline distT="0" distB="0" distL="0" distR="0">
            <wp:extent cx="3895725" cy="2752725"/>
            <wp:effectExtent l="0" t="0" r="9525" b="9525"/>
            <wp:docPr id="3" name="Picture 3" descr="Attachment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3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95725" cy="2752725"/>
                    </a:xfrm>
                    <a:prstGeom prst="rect">
                      <a:avLst/>
                    </a:prstGeom>
                    <a:noFill/>
                    <a:ln>
                      <a:noFill/>
                    </a:ln>
                  </pic:spPr>
                </pic:pic>
              </a:graphicData>
            </a:graphic>
          </wp:inline>
        </w:drawing>
      </w:r>
    </w:p>
    <w:p>
      <w:pPr>
        <w:pStyle w:val="yFootnotesection"/>
      </w:pPr>
      <w:r>
        <w:tab/>
        <w:t>[Schedule 2 inserted in Gazette 28 Feb 2007 p. 674.]</w:t>
      </w:r>
    </w:p>
    <w:p>
      <w:pPr>
        <w:pStyle w:val="yScheduleHeading"/>
      </w:pPr>
      <w:bookmarkStart w:id="330" w:name="_Toc160449082"/>
      <w:bookmarkStart w:id="331" w:name="_Toc160449662"/>
      <w:bookmarkStart w:id="332" w:name="_Toc160507619"/>
      <w:bookmarkStart w:id="333" w:name="_Toc160508082"/>
      <w:bookmarkStart w:id="334" w:name="_Toc160509237"/>
      <w:r>
        <w:rPr>
          <w:rStyle w:val="CharSchNo"/>
        </w:rPr>
        <w:t>Schedule 3</w:t>
      </w:r>
      <w:r>
        <w:t> — </w:t>
      </w:r>
      <w:r>
        <w:rPr>
          <w:rStyle w:val="CharSchText"/>
        </w:rPr>
        <w:t>Health warning signs — cigar cabinets, humidified rooms</w:t>
      </w:r>
      <w:bookmarkEnd w:id="330"/>
      <w:bookmarkEnd w:id="331"/>
      <w:bookmarkEnd w:id="332"/>
      <w:bookmarkEnd w:id="333"/>
      <w:bookmarkEnd w:id="334"/>
    </w:p>
    <w:p>
      <w:pPr>
        <w:pStyle w:val="yShoulderClause"/>
        <w:rPr>
          <w:rStyle w:val="CharSchText"/>
        </w:rPr>
      </w:pPr>
      <w:r>
        <w:rPr>
          <w:rStyle w:val="CharSchText"/>
        </w:rPr>
        <w:t xml:space="preserve">[r. </w:t>
      </w:r>
      <w:r>
        <w:t>51(2)(b)</w:t>
      </w:r>
      <w:r>
        <w:rPr>
          <w:rStyle w:val="CharSchText"/>
        </w:rPr>
        <w:t>]</w:t>
      </w:r>
    </w:p>
    <w:p>
      <w:pPr>
        <w:pStyle w:val="yFootnoteheading"/>
      </w:pPr>
      <w:r>
        <w:tab/>
        <w:t>[Heading inserted in Gazette 28 Feb 2007 p. 675.]</w:t>
      </w:r>
    </w:p>
    <w:p>
      <w:pPr>
        <w:jc w:val="center"/>
      </w:pPr>
      <w:r>
        <w:rPr>
          <w:noProof/>
          <w:lang w:eastAsia="en-AU"/>
        </w:rPr>
        <w:drawing>
          <wp:inline distT="0" distB="0" distL="0" distR="0">
            <wp:extent cx="4495800" cy="3162300"/>
            <wp:effectExtent l="0" t="0" r="0" b="0"/>
            <wp:docPr id="4" name="Picture 4"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tachment 5 - Warning Sign Cigar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95800" cy="3162300"/>
                    </a:xfrm>
                    <a:prstGeom prst="rect">
                      <a:avLst/>
                    </a:prstGeom>
                    <a:noFill/>
                    <a:ln>
                      <a:noFill/>
                    </a:ln>
                  </pic:spPr>
                </pic:pic>
              </a:graphicData>
            </a:graphic>
          </wp:inline>
        </w:drawing>
      </w:r>
    </w:p>
    <w:p>
      <w:pPr>
        <w:pStyle w:val="yFootnotesection"/>
      </w:pPr>
      <w:r>
        <w:tab/>
        <w:t>[Schedule 3 inserted in Gazette 28 Feb 2007 p. 675.]</w:t>
      </w: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335" w:name="_Toc160449083"/>
      <w:bookmarkStart w:id="336" w:name="_Toc160449663"/>
      <w:bookmarkStart w:id="337" w:name="_Toc160507620"/>
      <w:bookmarkStart w:id="338" w:name="_Toc160508083"/>
      <w:bookmarkStart w:id="339" w:name="_Toc160509238"/>
      <w:r>
        <w:t>Notes</w:t>
      </w:r>
      <w:bookmarkEnd w:id="320"/>
      <w:bookmarkEnd w:id="321"/>
      <w:bookmarkEnd w:id="322"/>
      <w:bookmarkEnd w:id="323"/>
      <w:bookmarkEnd w:id="324"/>
      <w:bookmarkEnd w:id="335"/>
      <w:bookmarkEnd w:id="336"/>
      <w:bookmarkEnd w:id="337"/>
      <w:bookmarkEnd w:id="338"/>
      <w:bookmarkEnd w:id="339"/>
    </w:p>
    <w:p>
      <w:pPr>
        <w:pStyle w:val="nSubsection"/>
        <w:rPr>
          <w:snapToGrid w:val="0"/>
        </w:rPr>
      </w:pPr>
      <w:r>
        <w:rPr>
          <w:snapToGrid w:val="0"/>
          <w:vertAlign w:val="superscript"/>
        </w:rPr>
        <w:t>1</w:t>
      </w:r>
      <w:r>
        <w:rPr>
          <w:snapToGrid w:val="0"/>
        </w:rPr>
        <w:tab/>
        <w:t xml:space="preserve">This is a compilation of the </w:t>
      </w:r>
      <w:r>
        <w:rPr>
          <w:i/>
        </w:rPr>
        <w:t>Tobacco Products Control Regulations 2006</w:t>
      </w:r>
      <w:r>
        <w:rPr>
          <w:snapToGrid w:val="0"/>
        </w:rPr>
        <w:t xml:space="preserve"> and includes the amendments made by the other written laws referred to in the following table.</w:t>
      </w:r>
    </w:p>
    <w:p>
      <w:pPr>
        <w:pStyle w:val="nHeading3"/>
      </w:pPr>
      <w:bookmarkStart w:id="340" w:name="_Toc160509239"/>
      <w:r>
        <w:t>Compilation table</w:t>
      </w:r>
      <w:bookmarkEnd w:id="34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Tobacco Products Control Regulations 2006</w:t>
            </w:r>
          </w:p>
        </w:tc>
        <w:tc>
          <w:tcPr>
            <w:tcW w:w="1276" w:type="dxa"/>
            <w:tcBorders>
              <w:top w:val="single" w:sz="8" w:space="0" w:color="auto"/>
            </w:tcBorders>
          </w:tcPr>
          <w:p>
            <w:pPr>
              <w:pStyle w:val="nTable"/>
              <w:spacing w:after="40"/>
              <w:rPr>
                <w:sz w:val="19"/>
              </w:rPr>
            </w:pPr>
            <w:r>
              <w:rPr>
                <w:sz w:val="19"/>
              </w:rPr>
              <w:t>25 Jul 2006 p. 2797-808</w:t>
            </w:r>
          </w:p>
        </w:tc>
        <w:tc>
          <w:tcPr>
            <w:tcW w:w="2693" w:type="dxa"/>
            <w:tcBorders>
              <w:top w:val="single" w:sz="8" w:space="0" w:color="auto"/>
            </w:tcBorders>
          </w:tcPr>
          <w:p>
            <w:pPr>
              <w:pStyle w:val="nTable"/>
              <w:spacing w:after="40"/>
              <w:rPr>
                <w:sz w:val="19"/>
              </w:rPr>
            </w:pPr>
            <w:r>
              <w:rPr>
                <w:sz w:val="19"/>
              </w:rPr>
              <w:t>31 Jul 2006 (see r. 2)</w:t>
            </w:r>
          </w:p>
        </w:tc>
      </w:tr>
      <w:tr>
        <w:tc>
          <w:tcPr>
            <w:tcW w:w="3118" w:type="dxa"/>
            <w:tcBorders>
              <w:bottom w:val="single" w:sz="8" w:space="0" w:color="auto"/>
            </w:tcBorders>
          </w:tcPr>
          <w:p>
            <w:pPr>
              <w:pStyle w:val="nTable"/>
              <w:spacing w:after="40"/>
              <w:rPr>
                <w:i/>
                <w:sz w:val="19"/>
              </w:rPr>
            </w:pPr>
            <w:r>
              <w:rPr>
                <w:i/>
                <w:sz w:val="19"/>
              </w:rPr>
              <w:t>Tobacco Products Control Amendment Regulations 2007</w:t>
            </w:r>
          </w:p>
        </w:tc>
        <w:tc>
          <w:tcPr>
            <w:tcW w:w="1276" w:type="dxa"/>
            <w:tcBorders>
              <w:bottom w:val="single" w:sz="8" w:space="0" w:color="auto"/>
            </w:tcBorders>
          </w:tcPr>
          <w:p>
            <w:pPr>
              <w:pStyle w:val="nTable"/>
              <w:spacing w:after="40"/>
              <w:rPr>
                <w:sz w:val="19"/>
              </w:rPr>
            </w:pPr>
            <w:r>
              <w:rPr>
                <w:sz w:val="19"/>
              </w:rPr>
              <w:t>28 Feb 2007 p. 641-75</w:t>
            </w:r>
          </w:p>
        </w:tc>
        <w:tc>
          <w:tcPr>
            <w:tcW w:w="2693" w:type="dxa"/>
            <w:tcBorders>
              <w:bottom w:val="single" w:sz="8" w:space="0" w:color="auto"/>
            </w:tcBorders>
          </w:tcPr>
          <w:p>
            <w:pPr>
              <w:pStyle w:val="nTable"/>
              <w:spacing w:after="40"/>
              <w:rPr>
                <w:sz w:val="19"/>
              </w:rPr>
            </w:pPr>
            <w:r>
              <w:rPr>
                <w:sz w:val="19"/>
              </w:rPr>
              <w:t>28 Feb 2007 (see r. 2)</w:t>
            </w:r>
          </w:p>
        </w:tc>
      </w:tr>
    </w:tbl>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bookmarkStart w:id="341" w:name="UpToHere"/>
      <w:bookmarkEnd w:id="341"/>
    </w:p>
    <w:sectPr>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Products Control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Tobacco Products Control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Products Control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Products Control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Tobacco Products Control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B8E2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C46FA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FD6FB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2F0EBB0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D414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00EAC0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6A2C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6A4D1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7B4C578"/>
    <w:lvl w:ilvl="0">
      <w:start w:val="1"/>
      <w:numFmt w:val="decimal"/>
      <w:pStyle w:val="ListNumber"/>
      <w:lvlText w:val="%1."/>
      <w:lvlJc w:val="left"/>
      <w:pPr>
        <w:tabs>
          <w:tab w:val="num" w:pos="360"/>
        </w:tabs>
        <w:ind w:left="360" w:hanging="360"/>
      </w:pPr>
    </w:lvl>
  </w:abstractNum>
  <w:abstractNum w:abstractNumId="9">
    <w:nsid w:val="FFFFFF89"/>
    <w:multiLevelType w:val="singleLevel"/>
    <w:tmpl w:val="3B7EC6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3FEA5AE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2C68E63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0735"/>
    <w:docVar w:name="WAFER_20151210160735" w:val="RemoveTrackChanges"/>
    <w:docVar w:name="WAFER_20151210160735_GUID" w:val="9564360f-6cec-4eb1-af66-1580eb6f73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jpeg"/><Relationship Id="rId33"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4.jpe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3.jpeg"/><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9177</Words>
  <Characters>43501</Characters>
  <Application>Microsoft Office Word</Application>
  <DocSecurity>0</DocSecurity>
  <Lines>1208</Lines>
  <Paragraphs>752</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Tobacco Products Control Regulations 2006</vt:lpstr>
      <vt:lpstr>    Part 1 — Preliminary</vt:lpstr>
      <vt:lpstr>    Part 3 — Smoking in enclosed public places</vt:lpstr>
      <vt:lpstr>        Division 1 — Preliminary</vt:lpstr>
      <vt:lpstr>        Division 2 — Offences</vt:lpstr>
      <vt:lpstr>        Division 3 — Investigators</vt:lpstr>
      <vt:lpstr>    Part 4 — Western Australian Health Promotion Foundation and administration</vt:lpstr>
      <vt:lpstr>    Part 5 — Licensing</vt:lpstr>
      <vt:lpstr>        Division 1 — Licensing procedures</vt:lpstr>
      <vt:lpstr>        Division 2 — Further obligations of licence holders</vt:lpstr>
      <vt:lpstr>        Division 3 — Fees</vt:lpstr>
      <vt:lpstr>    Part 6 — Sale and supply</vt:lpstr>
      <vt:lpstr>        Division 1 — Terms used in this Part</vt:lpstr>
      <vt:lpstr>        Division 2 — Proof of age</vt:lpstr>
      <vt:lpstr>        Division 3 — Labelling of tobacco products</vt:lpstr>
      <vt:lpstr>        Division 4 — Display of tobacco products</vt:lpstr>
      <vt:lpstr>        Division 5 — Information about availability, price of tobacco products</vt:lpstr>
      <vt:lpstr>        Division 6 — Warnings</vt:lpstr>
      <vt:lpstr>        Division 7 — Information and advice</vt:lpstr>
      <vt:lpstr>        Division 8 — Vending machines</vt:lpstr>
      <vt:lpstr>        Division 9 — Smokeless tobacco</vt:lpstr>
      <vt:lpstr>    Part 7 — Miscellaneous</vt:lpstr>
      <vt:lpstr>    Schedule 1 — Warning signs about purchase of tobacco products</vt:lpstr>
      <vt:lpstr>    Schedule 2 — Health warning signs, general and vending machines</vt:lpstr>
      <vt:lpstr>    Schedule 3 — Health warning signs — cigar cabinets, humidified rooms</vt:lpstr>
      <vt:lpstr>    Notes</vt:lpstr>
    </vt:vector>
  </TitlesOfParts>
  <Manager/>
  <Company/>
  <LinksUpToDate>false</LinksUpToDate>
  <CharactersWithSpaces>51926</CharactersWithSpaces>
  <SharedDoc>false</SharedDoc>
  <HLinks>
    <vt:vector size="24" baseType="variant">
      <vt:variant>
        <vt:i4>8257632</vt:i4>
      </vt:variant>
      <vt:variant>
        <vt:i4>52852</vt:i4>
      </vt:variant>
      <vt:variant>
        <vt:i4>1025</vt:i4>
      </vt:variant>
      <vt:variant>
        <vt:i4>1</vt:i4>
      </vt:variant>
      <vt:variant>
        <vt:lpwstr>Attachment 2 - Warning Sign S2M</vt:lpwstr>
      </vt:variant>
      <vt:variant>
        <vt:lpwstr/>
      </vt:variant>
      <vt:variant>
        <vt:i4>5767253</vt:i4>
      </vt:variant>
      <vt:variant>
        <vt:i4>53037</vt:i4>
      </vt:variant>
      <vt:variant>
        <vt:i4>1026</vt:i4>
      </vt:variant>
      <vt:variant>
        <vt:i4>1</vt:i4>
      </vt:variant>
      <vt:variant>
        <vt:lpwstr>Attachment 4A</vt:lpwstr>
      </vt:variant>
      <vt:variant>
        <vt:lpwstr/>
      </vt:variant>
      <vt:variant>
        <vt:i4>6226005</vt:i4>
      </vt:variant>
      <vt:variant>
        <vt:i4>53040</vt:i4>
      </vt:variant>
      <vt:variant>
        <vt:i4>1027</vt:i4>
      </vt:variant>
      <vt:variant>
        <vt:i4>1</vt:i4>
      </vt:variant>
      <vt:variant>
        <vt:lpwstr>Attachment 3A</vt:lpwstr>
      </vt:variant>
      <vt:variant>
        <vt:lpwstr/>
      </vt:variant>
      <vt:variant>
        <vt:i4>3145829</vt:i4>
      </vt:variant>
      <vt:variant>
        <vt:i4>53230</vt:i4>
      </vt:variant>
      <vt:variant>
        <vt:i4>1028</vt:i4>
      </vt:variant>
      <vt:variant>
        <vt:i4>1</vt:i4>
      </vt:variant>
      <vt:variant>
        <vt:lpwstr>Attachment 5 - Warning Sign Cigars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2006 - 00-b0-07</dc:title>
  <dc:subject/>
  <dc:creator/>
  <cp:keywords/>
  <dc:description/>
  <cp:lastModifiedBy>svcMRProcess</cp:lastModifiedBy>
  <cp:revision>4</cp:revision>
  <cp:lastPrinted>2006-07-05T05:54:00Z</cp:lastPrinted>
  <dcterms:created xsi:type="dcterms:W3CDTF">2018-09-16T21:12:00Z</dcterms:created>
  <dcterms:modified xsi:type="dcterms:W3CDTF">2018-09-16T21:12:00Z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CommencementDate">
    <vt:lpwstr>20070228</vt:lpwstr>
  </property>
  <property fmtid="{D5CDD505-2E9C-101B-9397-08002B2CF9AE}" pid="4" name="DocumentType">
    <vt:lpwstr>Reg</vt:lpwstr>
  </property>
  <property fmtid="{D5CDD505-2E9C-101B-9397-08002B2CF9AE}" pid="5" name="OwlsUID">
    <vt:i4>38982</vt:i4>
  </property>
  <property fmtid="{D5CDD505-2E9C-101B-9397-08002B2CF9AE}" pid="6" name="AsAtDate">
    <vt:lpwstr>28 Feb 2007</vt:lpwstr>
  </property>
  <property fmtid="{D5CDD505-2E9C-101B-9397-08002B2CF9AE}" pid="7" name="Suffix">
    <vt:lpwstr>00-b0-07</vt:lpwstr>
  </property>
</Properties>
</file>