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Bail Act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Bail Act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_Toc106980619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_Toc106980620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_Toc106980621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this Act</w:t>
      </w:r>
      <w:r>
        <w:tab/>
      </w:r>
      <w:r>
        <w:fldChar w:fldCharType="begin"/>
      </w:r>
      <w:r>
        <w:instrText xml:space="preserve"> PAGEREF _Toc106980622 \h </w:instrText>
      </w:r>
      <w:r>
        <w:fldChar w:fldCharType="separate"/>
      </w:r>
      <w:r>
        <w:t>11</w:t>
      </w:r>
      <w:r>
        <w:fldChar w:fldCharType="end"/>
      </w:r>
    </w:p>
    <w:p>
      <w:pPr>
        <w:pStyle w:val="TOC8"/>
        <w:rPr>
          <w:rFonts w:asciiTheme="minorHAnsi" w:eastAsiaTheme="minorEastAsia" w:hAnsiTheme="minorHAnsi" w:cstheme="minorBidi"/>
          <w:szCs w:val="22"/>
        </w:rPr>
      </w:pPr>
      <w:r>
        <w:t>4AB.</w:t>
      </w:r>
      <w:r>
        <w:tab/>
      </w:r>
      <w:r>
        <w:rPr>
          <w:i/>
        </w:rPr>
        <w:t>Courts and Tribunals (Electronic Processes Facilitation) Act 2013</w:t>
      </w:r>
      <w:r>
        <w:t xml:space="preserve"> Part 2 applies</w:t>
      </w:r>
      <w:r>
        <w:tab/>
      </w:r>
      <w:r>
        <w:fldChar w:fldCharType="begin"/>
      </w:r>
      <w:r>
        <w:instrText xml:space="preserve"> PAGEREF _Toc106980623 \h </w:instrText>
      </w:r>
      <w:r>
        <w:fldChar w:fldCharType="separate"/>
      </w:r>
      <w:r>
        <w:t>12</w:t>
      </w:r>
      <w:r>
        <w:fldChar w:fldCharType="end"/>
      </w:r>
    </w:p>
    <w:p>
      <w:pPr>
        <w:pStyle w:val="TOC8"/>
        <w:rPr>
          <w:rFonts w:asciiTheme="minorHAnsi" w:eastAsiaTheme="minorEastAsia" w:hAnsiTheme="minorHAnsi" w:cstheme="minorBidi"/>
          <w:szCs w:val="22"/>
        </w:rPr>
      </w:pPr>
      <w:r>
        <w:t>4A.</w:t>
      </w:r>
      <w:r>
        <w:tab/>
        <w:t>Accused appearing on summons or court hearing notice, detention and bail of</w:t>
      </w:r>
      <w:r>
        <w:tab/>
      </w:r>
      <w:r>
        <w:fldChar w:fldCharType="begin"/>
      </w:r>
      <w:r>
        <w:instrText xml:space="preserve"> PAGEREF _Toc106980624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II — Rights of accused in relation to bail</w:t>
      </w:r>
    </w:p>
    <w:p>
      <w:pPr>
        <w:pStyle w:val="TOC8"/>
        <w:rPr>
          <w:rFonts w:asciiTheme="minorHAnsi" w:eastAsiaTheme="minorEastAsia" w:hAnsiTheme="minorHAnsi" w:cstheme="minorBidi"/>
          <w:szCs w:val="22"/>
        </w:rPr>
      </w:pPr>
      <w:r>
        <w:t>5</w:t>
      </w:r>
      <w:r>
        <w:rPr>
          <w:snapToGrid w:val="0"/>
        </w:rPr>
        <w:t>.</w:t>
      </w:r>
      <w:r>
        <w:rPr>
          <w:snapToGrid w:val="0"/>
        </w:rPr>
        <w:tab/>
        <w:t>Accused’s rights to have bail considered</w:t>
      </w:r>
      <w:r>
        <w:tab/>
      </w:r>
      <w:r>
        <w:fldChar w:fldCharType="begin"/>
      </w:r>
      <w:r>
        <w:instrText xml:space="preserve"> PAGEREF _Toc106980626 \h </w:instrText>
      </w:r>
      <w:r>
        <w:fldChar w:fldCharType="separate"/>
      </w:r>
      <w:r>
        <w:t>14</w:t>
      </w:r>
      <w:r>
        <w:fldChar w:fldCharType="end"/>
      </w:r>
    </w:p>
    <w:p>
      <w:pPr>
        <w:pStyle w:val="TOC8"/>
        <w:rPr>
          <w:rFonts w:asciiTheme="minorHAnsi" w:eastAsiaTheme="minorEastAsia" w:hAnsiTheme="minorHAnsi" w:cstheme="minorBidi"/>
          <w:szCs w:val="22"/>
        </w:rPr>
      </w:pPr>
      <w:r>
        <w:t>6.</w:t>
      </w:r>
      <w:r>
        <w:tab/>
        <w:t>Arresting officer’s duty to consider bail</w:t>
      </w:r>
      <w:r>
        <w:tab/>
      </w:r>
      <w:r>
        <w:fldChar w:fldCharType="begin"/>
      </w:r>
      <w:r>
        <w:instrText xml:space="preserve"> PAGEREF _Toc106980627 \h </w:instrText>
      </w:r>
      <w:r>
        <w:fldChar w:fldCharType="separate"/>
      </w:r>
      <w:r>
        <w:t>14</w:t>
      </w:r>
      <w:r>
        <w:fldChar w:fldCharType="end"/>
      </w:r>
    </w:p>
    <w:p>
      <w:pPr>
        <w:pStyle w:val="TOC8"/>
        <w:rPr>
          <w:rFonts w:asciiTheme="minorHAnsi" w:eastAsiaTheme="minorEastAsia" w:hAnsiTheme="minorHAnsi" w:cstheme="minorBidi"/>
          <w:szCs w:val="22"/>
        </w:rPr>
      </w:pPr>
      <w:r>
        <w:t>6A.</w:t>
      </w:r>
      <w:r>
        <w:tab/>
        <w:t>Officials considering bail may order release without bail</w:t>
      </w:r>
      <w:r>
        <w:tab/>
      </w:r>
      <w:r>
        <w:fldChar w:fldCharType="begin"/>
      </w:r>
      <w:r>
        <w:instrText xml:space="preserve"> PAGEREF _Toc106980628 \h </w:instrText>
      </w:r>
      <w:r>
        <w:fldChar w:fldCharType="separate"/>
      </w:r>
      <w:r>
        <w:t>16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Unconvicted accused, court to consider bail for</w:t>
      </w:r>
      <w:r>
        <w:tab/>
      </w:r>
      <w:r>
        <w:fldChar w:fldCharType="begin"/>
      </w:r>
      <w:r>
        <w:instrText xml:space="preserve"> PAGEREF _Toc106980629 \h </w:instrText>
      </w:r>
      <w:r>
        <w:fldChar w:fldCharType="separate"/>
      </w:r>
      <w:r>
        <w:t>17</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Bail may be dispensed with by court</w:t>
      </w:r>
      <w:r>
        <w:tab/>
      </w:r>
      <w:r>
        <w:fldChar w:fldCharType="begin"/>
      </w:r>
      <w:r>
        <w:instrText xml:space="preserve"> PAGEREF _Toc106980630 \h </w:instrText>
      </w:r>
      <w:r>
        <w:fldChar w:fldCharType="separate"/>
      </w:r>
      <w:r>
        <w:t>18</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Adult accused of murder</w:t>
      </w:r>
      <w:r>
        <w:tab/>
      </w:r>
      <w:r>
        <w:fldChar w:fldCharType="begin"/>
      </w:r>
      <w:r>
        <w:instrText xml:space="preserve"> PAGEREF _Toc106980631 \h </w:instrText>
      </w:r>
      <w:r>
        <w:fldChar w:fldCharType="separate"/>
      </w:r>
      <w:r>
        <w:t>18</w:t>
      </w:r>
      <w:r>
        <w:fldChar w:fldCharType="end"/>
      </w:r>
    </w:p>
    <w:p>
      <w:pPr>
        <w:pStyle w:val="TOC8"/>
        <w:rPr>
          <w:rFonts w:asciiTheme="minorHAnsi" w:eastAsiaTheme="minorEastAsia" w:hAnsiTheme="minorHAnsi" w:cstheme="minorBidi"/>
          <w:szCs w:val="22"/>
        </w:rPr>
      </w:pPr>
      <w:r>
        <w:t>7C.</w:t>
      </w:r>
      <w:r>
        <w:tab/>
        <w:t>C</w:t>
      </w:r>
      <w:r>
        <w:rPr>
          <w:snapToGrid w:val="0"/>
        </w:rPr>
        <w:t>hild accused of murder</w:t>
      </w:r>
      <w:r>
        <w:tab/>
      </w:r>
      <w:r>
        <w:fldChar w:fldCharType="begin"/>
      </w:r>
      <w:r>
        <w:instrText xml:space="preserve"> PAGEREF _Toc106980632 \h </w:instrText>
      </w:r>
      <w:r>
        <w:fldChar w:fldCharType="separate"/>
      </w:r>
      <w:r>
        <w:t>20</w:t>
      </w:r>
      <w:r>
        <w:fldChar w:fldCharType="end"/>
      </w:r>
    </w:p>
    <w:p>
      <w:pPr>
        <w:pStyle w:val="TOC8"/>
        <w:rPr>
          <w:rFonts w:asciiTheme="minorHAnsi" w:eastAsiaTheme="minorEastAsia" w:hAnsiTheme="minorHAnsi" w:cstheme="minorBidi"/>
          <w:szCs w:val="22"/>
        </w:rPr>
      </w:pPr>
      <w:r>
        <w:t>7D</w:t>
      </w:r>
      <w:r>
        <w:rPr>
          <w:snapToGrid w:val="0"/>
        </w:rPr>
        <w:t>.</w:t>
      </w:r>
      <w:r>
        <w:rPr>
          <w:snapToGrid w:val="0"/>
        </w:rPr>
        <w:tab/>
        <w:t>Bail after initial decision by court, court’s duty as to</w:t>
      </w:r>
      <w:r>
        <w:tab/>
      </w:r>
      <w:r>
        <w:fldChar w:fldCharType="begin"/>
      </w:r>
      <w:r>
        <w:instrText xml:space="preserve"> PAGEREF _Toc106980633 \h </w:instrText>
      </w:r>
      <w:r>
        <w:fldChar w:fldCharType="separate"/>
      </w:r>
      <w:r>
        <w:t>21</w:t>
      </w:r>
      <w:r>
        <w:fldChar w:fldCharType="end"/>
      </w:r>
    </w:p>
    <w:p>
      <w:pPr>
        <w:pStyle w:val="TOC8"/>
        <w:rPr>
          <w:rFonts w:asciiTheme="minorHAnsi" w:eastAsiaTheme="minorEastAsia" w:hAnsiTheme="minorHAnsi" w:cstheme="minorBidi"/>
          <w:szCs w:val="22"/>
        </w:rPr>
      </w:pPr>
      <w:r>
        <w:t>7E</w:t>
      </w:r>
      <w:r>
        <w:rPr>
          <w:snapToGrid w:val="0"/>
        </w:rPr>
        <w:t>.</w:t>
      </w:r>
      <w:r>
        <w:rPr>
          <w:snapToGrid w:val="0"/>
        </w:rPr>
        <w:tab/>
      </w:r>
      <w:r>
        <w:t>Bail refused for trial, court’s duty during trial</w:t>
      </w:r>
      <w:r>
        <w:tab/>
      </w:r>
      <w:r>
        <w:fldChar w:fldCharType="begin"/>
      </w:r>
      <w:r>
        <w:instrText xml:space="preserve"> PAGEREF _Toc106980634 \h </w:instrText>
      </w:r>
      <w:r>
        <w:fldChar w:fldCharType="separate"/>
      </w:r>
      <w:r>
        <w:t>22</w:t>
      </w:r>
      <w:r>
        <w:fldChar w:fldCharType="end"/>
      </w:r>
    </w:p>
    <w:p>
      <w:pPr>
        <w:pStyle w:val="TOC8"/>
        <w:rPr>
          <w:rFonts w:asciiTheme="minorHAnsi" w:eastAsiaTheme="minorEastAsia" w:hAnsiTheme="minorHAnsi" w:cstheme="minorBidi"/>
          <w:szCs w:val="22"/>
        </w:rPr>
      </w:pPr>
      <w:r>
        <w:t>7F.</w:t>
      </w:r>
      <w:r>
        <w:tab/>
        <w:t>Appeal from court of summary jurisdiction, bail in case of</w:t>
      </w:r>
      <w:r>
        <w:tab/>
      </w:r>
      <w:r>
        <w:fldChar w:fldCharType="begin"/>
      </w:r>
      <w:r>
        <w:instrText xml:space="preserve"> PAGEREF _Toc106980635 \h </w:instrText>
      </w:r>
      <w:r>
        <w:fldChar w:fldCharType="separate"/>
      </w:r>
      <w:r>
        <w:t>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to be given information, approved forms etc.</w:t>
      </w:r>
      <w:r>
        <w:tab/>
      </w:r>
      <w:r>
        <w:fldChar w:fldCharType="begin"/>
      </w:r>
      <w:r>
        <w:instrText xml:space="preserve"> PAGEREF _Toc106980636 \h </w:instrText>
      </w:r>
      <w:r>
        <w:fldChar w:fldCharType="separate"/>
      </w:r>
      <w:r>
        <w:t>23</w:t>
      </w:r>
      <w:r>
        <w:fldChar w:fldCharType="end"/>
      </w:r>
    </w:p>
    <w:p>
      <w:pPr>
        <w:pStyle w:val="TOC8"/>
        <w:rPr>
          <w:rFonts w:asciiTheme="minorHAnsi" w:eastAsiaTheme="minorEastAsia" w:hAnsiTheme="minorHAnsi" w:cstheme="minorBidi"/>
          <w:szCs w:val="22"/>
        </w:rPr>
      </w:pPr>
      <w:r>
        <w:lastRenderedPageBreak/>
        <w:t>9</w:t>
      </w:r>
      <w:r>
        <w:rPr>
          <w:snapToGrid w:val="0"/>
        </w:rPr>
        <w:t>.</w:t>
      </w:r>
      <w:r>
        <w:rPr>
          <w:snapToGrid w:val="0"/>
        </w:rPr>
        <w:tab/>
        <w:t>Bail decision may be deferred until more information obtained</w:t>
      </w:r>
      <w:r>
        <w:tab/>
      </w:r>
      <w:r>
        <w:fldChar w:fldCharType="begin"/>
      </w:r>
      <w:r>
        <w:instrText xml:space="preserve"> PAGEREF _Toc106980637 \h </w:instrText>
      </w:r>
      <w:r>
        <w:fldChar w:fldCharType="separate"/>
      </w:r>
      <w:r>
        <w:t>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Sections 5, 6 and 7 do not apply if accused imprisoned for other cause</w:t>
      </w:r>
      <w:r>
        <w:tab/>
      </w:r>
      <w:r>
        <w:fldChar w:fldCharType="begin"/>
      </w:r>
      <w:r>
        <w:instrText xml:space="preserve"> PAGEREF _Toc106980638 \h </w:instrText>
      </w:r>
      <w:r>
        <w:fldChar w:fldCharType="separate"/>
      </w:r>
      <w:r>
        <w:t>25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Accused’s rights following grant of bail</w:t>
      </w:r>
      <w:r>
        <w:tab/>
      </w:r>
      <w:r>
        <w:fldChar w:fldCharType="begin"/>
      </w:r>
      <w:r>
        <w:instrText xml:space="preserve"> PAGEREF _Toc106980639 \h </w:instrText>
      </w:r>
      <w:r>
        <w:fldChar w:fldCharType="separate"/>
      </w:r>
      <w:r>
        <w:t>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Rights in s. 7A(2) and 11, limitations on</w:t>
      </w:r>
      <w:r>
        <w:tab/>
      </w:r>
      <w:r>
        <w:fldChar w:fldCharType="begin"/>
      </w:r>
      <w:r>
        <w:instrText xml:space="preserve"> PAGEREF _Toc106980640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relating to bail</w:t>
      </w:r>
    </w:p>
    <w:p>
      <w:pPr>
        <w:pStyle w:val="TOC8"/>
        <w:rPr>
          <w:rFonts w:asciiTheme="minorHAnsi" w:eastAsiaTheme="minorEastAsia" w:hAnsiTheme="minorHAnsi" w:cstheme="minorBidi"/>
          <w:szCs w:val="22"/>
        </w:rPr>
      </w:pPr>
      <w:r>
        <w:t>13</w:t>
      </w:r>
      <w:r>
        <w:rPr>
          <w:snapToGrid w:val="0"/>
        </w:rPr>
        <w:t>.</w:t>
      </w:r>
      <w:r>
        <w:rPr>
          <w:snapToGrid w:val="0"/>
        </w:rPr>
        <w:tab/>
        <w:t>Jurisdiction to grant bail, who has and exercise of (Sch. 1)</w:t>
      </w:r>
      <w:r>
        <w:tab/>
      </w:r>
      <w:r>
        <w:fldChar w:fldCharType="begin"/>
      </w:r>
      <w:r>
        <w:instrText xml:space="preserve"> PAGEREF _Toc106980642 \h </w:instrText>
      </w:r>
      <w:r>
        <w:fldChar w:fldCharType="separate"/>
      </w:r>
      <w:r>
        <w:t>28</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Jurisdiction in s. 7A to dispense with bail, who has and exercise of</w:t>
      </w:r>
      <w:r>
        <w:tab/>
      </w:r>
      <w:r>
        <w:fldChar w:fldCharType="begin"/>
      </w:r>
      <w:r>
        <w:instrText xml:space="preserve"> PAGEREF _Toc106980643 \h </w:instrText>
      </w:r>
      <w:r>
        <w:fldChar w:fldCharType="separate"/>
      </w:r>
      <w:r>
        <w:t>28</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Notices under s. 13A(3), service and proof of</w:t>
      </w:r>
      <w:r>
        <w:tab/>
      </w:r>
      <w:r>
        <w:fldChar w:fldCharType="begin"/>
      </w:r>
      <w:r>
        <w:instrText xml:space="preserve"> PAGEREF _Toc106980644 \h </w:instrText>
      </w:r>
      <w:r>
        <w:fldChar w:fldCharType="separate"/>
      </w:r>
      <w:r>
        <w:t>29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Judges, jurisdiction of</w:t>
      </w:r>
      <w:r>
        <w:tab/>
      </w:r>
      <w:r>
        <w:fldChar w:fldCharType="begin"/>
      </w:r>
      <w:r>
        <w:instrText xml:space="preserve"> PAGEREF _Toc106980645 \h </w:instrText>
      </w:r>
      <w:r>
        <w:fldChar w:fldCharType="separate"/>
      </w:r>
      <w:r>
        <w:t>30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Accused charged with murder, jurisdiction as to bail for</w:t>
      </w:r>
      <w:r>
        <w:tab/>
      </w:r>
      <w:r>
        <w:fldChar w:fldCharType="begin"/>
      </w:r>
      <w:r>
        <w:instrText xml:space="preserve"> PAGEREF _Toc106980646 \h </w:instrText>
      </w:r>
      <w:r>
        <w:fldChar w:fldCharType="separate"/>
      </w:r>
      <w:r>
        <w:t>31</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Appeal against judge’s decision on bail, commencement and conduct</w:t>
      </w:r>
      <w:r>
        <w:tab/>
      </w:r>
      <w:r>
        <w:fldChar w:fldCharType="begin"/>
      </w:r>
      <w:r>
        <w:instrText xml:space="preserve"> PAGEREF _Toc106980647 \h </w:instrText>
      </w:r>
      <w:r>
        <w:fldChar w:fldCharType="separate"/>
      </w:r>
      <w:r>
        <w:t>32</w:t>
      </w:r>
      <w:r>
        <w:fldChar w:fldCharType="end"/>
      </w:r>
    </w:p>
    <w:p>
      <w:pPr>
        <w:pStyle w:val="TOC8"/>
        <w:rPr>
          <w:rFonts w:asciiTheme="minorHAnsi" w:eastAsiaTheme="minorEastAsia" w:hAnsiTheme="minorHAnsi" w:cstheme="minorBidi"/>
          <w:szCs w:val="22"/>
        </w:rPr>
      </w:pPr>
      <w:r>
        <w:t>15B</w:t>
      </w:r>
      <w:r>
        <w:rPr>
          <w:snapToGrid w:val="0"/>
        </w:rPr>
        <w:t>.</w:t>
      </w:r>
      <w:r>
        <w:rPr>
          <w:snapToGrid w:val="0"/>
        </w:rPr>
        <w:tab/>
        <w:t>Appeal under s. 15A, determination</w:t>
      </w:r>
      <w:r>
        <w:tab/>
      </w:r>
      <w:r>
        <w:fldChar w:fldCharType="begin"/>
      </w:r>
      <w:r>
        <w:instrText xml:space="preserve"> PAGEREF _Toc106980648 \h </w:instrText>
      </w:r>
      <w:r>
        <w:fldChar w:fldCharType="separate"/>
      </w:r>
      <w:r>
        <w:t>33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Person arrested on warrant, bail of</w:t>
      </w:r>
      <w:r>
        <w:tab/>
      </w:r>
      <w:r>
        <w:fldChar w:fldCharType="begin"/>
      </w:r>
      <w:r>
        <w:instrText xml:space="preserve"> PAGEREF _Toc106980649 \h </w:instrText>
      </w:r>
      <w:r>
        <w:fldChar w:fldCharType="separate"/>
      </w:r>
      <w:r>
        <w:t>34</w:t>
      </w:r>
      <w:r>
        <w:fldChar w:fldCharType="end"/>
      </w:r>
    </w:p>
    <w:p>
      <w:pPr>
        <w:pStyle w:val="TOC8"/>
        <w:rPr>
          <w:rFonts w:asciiTheme="minorHAnsi" w:eastAsiaTheme="minorEastAsia" w:hAnsiTheme="minorHAnsi" w:cstheme="minorBidi"/>
          <w:szCs w:val="22"/>
        </w:rPr>
      </w:pPr>
      <w:r>
        <w:t>16A.</w:t>
      </w:r>
      <w:r>
        <w:tab/>
        <w:t>Person arrested in urban area, restrictions on who can grant bail for in some cases</w:t>
      </w:r>
      <w:r>
        <w:tab/>
      </w:r>
      <w:r>
        <w:fldChar w:fldCharType="begin"/>
      </w:r>
      <w:r>
        <w:instrText xml:space="preserve"> PAGEREF _Toc106980650 \h </w:instrText>
      </w:r>
      <w:r>
        <w:fldChar w:fldCharType="separate"/>
      </w:r>
      <w:r>
        <w:t>34</w:t>
      </w:r>
      <w:r>
        <w:fldChar w:fldCharType="end"/>
      </w:r>
    </w:p>
    <w:p>
      <w:pPr>
        <w:pStyle w:val="TOC8"/>
        <w:rPr>
          <w:rFonts w:asciiTheme="minorHAnsi" w:eastAsiaTheme="minorEastAsia" w:hAnsiTheme="minorHAnsi" w:cstheme="minorBidi"/>
          <w:szCs w:val="22"/>
        </w:rPr>
      </w:pPr>
      <w:r>
        <w:t>16B.</w:t>
      </w:r>
      <w:r>
        <w:tab/>
        <w:t>Person linked to terrorism</w:t>
      </w:r>
      <w:r>
        <w:tab/>
      </w:r>
      <w:r>
        <w:fldChar w:fldCharType="begin"/>
      </w:r>
      <w:r>
        <w:instrText xml:space="preserve"> PAGEREF _Toc106980651 \h </w:instrText>
      </w:r>
      <w:r>
        <w:fldChar w:fldCharType="separate"/>
      </w:r>
      <w:r>
        <w:t>35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Conditions on bail which may be imposed</w:t>
      </w:r>
      <w:r>
        <w:tab/>
      </w:r>
      <w:r>
        <w:fldChar w:fldCharType="begin"/>
      </w:r>
      <w:r>
        <w:instrText xml:space="preserve"> PAGEREF _Toc106980652 \h </w:instrText>
      </w:r>
      <w:r>
        <w:fldChar w:fldCharType="separate"/>
      </w:r>
      <w:r>
        <w:t>36</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Child on bail, changing responsible person for (Sch. 1 Pt. C cl. 2)</w:t>
      </w:r>
      <w:r>
        <w:tab/>
      </w:r>
      <w:r>
        <w:fldChar w:fldCharType="begin"/>
      </w:r>
      <w:r>
        <w:instrText xml:space="preserve"> PAGEREF _Toc106980653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IV — Hearing of case for bail, parties, and evidence</w:t>
      </w:r>
    </w:p>
    <w:p>
      <w:pPr>
        <w:pStyle w:val="TOC8"/>
        <w:rPr>
          <w:rFonts w:asciiTheme="minorHAnsi" w:eastAsiaTheme="minorEastAsia" w:hAnsiTheme="minorHAnsi" w:cstheme="minorBidi"/>
          <w:szCs w:val="22"/>
        </w:rPr>
      </w:pPr>
      <w:r>
        <w:t>20</w:t>
      </w:r>
      <w:r>
        <w:rPr>
          <w:snapToGrid w:val="0"/>
        </w:rPr>
        <w:t>.</w:t>
      </w:r>
      <w:r>
        <w:rPr>
          <w:snapToGrid w:val="0"/>
        </w:rPr>
        <w:tab/>
        <w:t>Bail hearing for indictable offence, court may restrict publication or hold in private</w:t>
      </w:r>
      <w:r>
        <w:tab/>
      </w:r>
      <w:r>
        <w:fldChar w:fldCharType="begin"/>
      </w:r>
      <w:r>
        <w:instrText xml:space="preserve"> PAGEREF _Toc106980655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Parties to bail proceedings</w:t>
      </w:r>
      <w:r>
        <w:tab/>
      </w:r>
      <w:r>
        <w:fldChar w:fldCharType="begin"/>
      </w:r>
      <w:r>
        <w:instrText xml:space="preserve"> PAGEREF _Toc106980656 \h </w:instrText>
      </w:r>
      <w:r>
        <w:fldChar w:fldCharType="separate"/>
      </w:r>
      <w:r>
        <w:t>39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Evidence at bail hearings</w:t>
      </w:r>
      <w:r>
        <w:tab/>
      </w:r>
      <w:r>
        <w:fldChar w:fldCharType="begin"/>
      </w:r>
      <w:r>
        <w:instrText xml:space="preserve"> PAGEREF _Toc106980657 \h </w:instrText>
      </w:r>
      <w:r>
        <w:fldChar w:fldCharType="separate"/>
      </w:r>
      <w:r>
        <w:t>39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Accused not bound to supply information</w:t>
      </w:r>
      <w:r>
        <w:tab/>
      </w:r>
      <w:r>
        <w:fldChar w:fldCharType="begin"/>
      </w:r>
      <w:r>
        <w:instrText xml:space="preserve"> PAGEREF _Toc106980658 \h </w:instrText>
      </w:r>
      <w:r>
        <w:fldChar w:fldCharType="separate"/>
      </w:r>
      <w:r>
        <w:t>39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Court or authorised officer may ask police to verify accused’s information or make report</w:t>
      </w:r>
      <w:r>
        <w:tab/>
      </w:r>
      <w:r>
        <w:fldChar w:fldCharType="begin"/>
      </w:r>
      <w:r>
        <w:instrText xml:space="preserve"> PAGEREF _Toc106980659 \h </w:instrText>
      </w:r>
      <w:r>
        <w:fldChar w:fldCharType="separate"/>
      </w:r>
      <w:r>
        <w:t>40</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Court may ask community corrections officer to verify accused’s information or make report</w:t>
      </w:r>
      <w:r>
        <w:tab/>
      </w:r>
      <w:r>
        <w:fldChar w:fldCharType="begin"/>
      </w:r>
      <w:r>
        <w:instrText xml:space="preserve"> PAGEREF _Toc106980660 \h </w:instrText>
      </w:r>
      <w:r>
        <w:fldChar w:fldCharType="separate"/>
      </w:r>
      <w:r>
        <w:t>40</w:t>
      </w:r>
      <w:r>
        <w:fldChar w:fldCharType="end"/>
      </w:r>
    </w:p>
    <w:p>
      <w:pPr>
        <w:pStyle w:val="TOC8"/>
        <w:rPr>
          <w:rFonts w:asciiTheme="minorHAnsi" w:eastAsiaTheme="minorEastAsia" w:hAnsiTheme="minorHAnsi" w:cstheme="minorBidi"/>
          <w:szCs w:val="22"/>
        </w:rPr>
      </w:pPr>
      <w:r>
        <w:lastRenderedPageBreak/>
        <w:t>25</w:t>
      </w:r>
      <w:r>
        <w:rPr>
          <w:snapToGrid w:val="0"/>
        </w:rPr>
        <w:t>.</w:t>
      </w:r>
      <w:r>
        <w:rPr>
          <w:snapToGrid w:val="0"/>
        </w:rPr>
        <w:tab/>
        <w:t>Information given by accused for bail purposes not admissible at trial</w:t>
      </w:r>
      <w:r>
        <w:tab/>
      </w:r>
      <w:r>
        <w:fldChar w:fldCharType="begin"/>
      </w:r>
      <w:r>
        <w:instrText xml:space="preserve"> PAGEREF _Toc106980661 \h </w:instrText>
      </w:r>
      <w:r>
        <w:fldChar w:fldCharType="separate"/>
      </w:r>
      <w:r>
        <w:t>41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Record of bail decision and reasons</w:t>
      </w:r>
      <w:r>
        <w:tab/>
      </w:r>
      <w:r>
        <w:fldChar w:fldCharType="begin"/>
      </w:r>
      <w:r>
        <w:instrText xml:space="preserve"> PAGEREF _Toc106980662 \h </w:instrText>
      </w:r>
      <w:r>
        <w:fldChar w:fldCharType="separate"/>
      </w:r>
      <w:r>
        <w:t>42</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Relevant papers to be made available to court where accused to appear</w:t>
      </w:r>
      <w:r>
        <w:tab/>
      </w:r>
      <w:r>
        <w:fldChar w:fldCharType="begin"/>
      </w:r>
      <w:r>
        <w:instrText xml:space="preserve"> PAGEREF _Toc106980663 \h </w:instrText>
      </w:r>
      <w:r>
        <w:fldChar w:fldCharType="separate"/>
      </w:r>
      <w:r>
        <w:t>43</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 xml:space="preserve">Bail with home detention, papers to be sent to CEO </w:t>
      </w:r>
      <w:r>
        <w:t>(corrections)</w:t>
      </w:r>
      <w:r>
        <w:tab/>
      </w:r>
      <w:r>
        <w:fldChar w:fldCharType="begin"/>
      </w:r>
      <w:r>
        <w:instrText xml:space="preserve"> PAGEREF _Toc106980664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V — Bail undertakings</w:t>
      </w:r>
    </w:p>
    <w:p>
      <w:pPr>
        <w:pStyle w:val="TOC8"/>
        <w:rPr>
          <w:rFonts w:asciiTheme="minorHAnsi" w:eastAsiaTheme="minorEastAsia" w:hAnsiTheme="minorHAnsi" w:cstheme="minorBidi"/>
          <w:szCs w:val="22"/>
        </w:rPr>
      </w:pPr>
      <w:r>
        <w:t>28</w:t>
      </w:r>
      <w:r>
        <w:rPr>
          <w:snapToGrid w:val="0"/>
        </w:rPr>
        <w:t>.</w:t>
      </w:r>
      <w:r>
        <w:rPr>
          <w:snapToGrid w:val="0"/>
        </w:rPr>
        <w:tab/>
        <w:t>Bail undertaking, when required and nature of</w:t>
      </w:r>
      <w:r>
        <w:tab/>
      </w:r>
      <w:r>
        <w:fldChar w:fldCharType="begin"/>
      </w:r>
      <w:r>
        <w:instrText xml:space="preserve"> PAGEREF _Toc106980666 \h </w:instrText>
      </w:r>
      <w:r>
        <w:fldChar w:fldCharType="separate"/>
      </w:r>
      <w:r>
        <w:t>44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Before whom bail undertaking may be entered into</w:t>
      </w:r>
      <w:r>
        <w:tab/>
      </w:r>
      <w:r>
        <w:fldChar w:fldCharType="begin"/>
      </w:r>
      <w:r>
        <w:instrText xml:space="preserve"> PAGEREF _Toc106980667 \h </w:instrText>
      </w:r>
      <w:r>
        <w:fldChar w:fldCharType="separate"/>
      </w:r>
      <w:r>
        <w:t>45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r>
      <w:r>
        <w:rPr>
          <w:snapToGrid w:val="0"/>
          <w:spacing w:val="-4"/>
        </w:rPr>
        <w:t>Duties of person before whom bail undertaking is entered into</w:t>
      </w:r>
      <w:r>
        <w:tab/>
      </w:r>
      <w:r>
        <w:fldChar w:fldCharType="begin"/>
      </w:r>
      <w:r>
        <w:instrText xml:space="preserve"> PAGEREF _Toc106980668 \h </w:instrText>
      </w:r>
      <w:r>
        <w:fldChar w:fldCharType="separate"/>
      </w:r>
      <w:r>
        <w:t>45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Different time and place for appearance, substituting</w:t>
      </w:r>
      <w:r>
        <w:tab/>
      </w:r>
      <w:r>
        <w:fldChar w:fldCharType="begin"/>
      </w:r>
      <w:r>
        <w:instrText xml:space="preserve"> PAGEREF _Toc106980669 \h </w:instrText>
      </w:r>
      <w:r>
        <w:fldChar w:fldCharType="separate"/>
      </w:r>
      <w:r>
        <w:t>46</w:t>
      </w:r>
      <w:r>
        <w:fldChar w:fldCharType="end"/>
      </w:r>
    </w:p>
    <w:p>
      <w:pPr>
        <w:pStyle w:val="TOC8"/>
        <w:rPr>
          <w:rFonts w:asciiTheme="minorHAnsi" w:eastAsiaTheme="minorEastAsia" w:hAnsiTheme="minorHAnsi" w:cstheme="minorBidi"/>
          <w:szCs w:val="22"/>
        </w:rPr>
      </w:pPr>
      <w:r>
        <w:t>31A</w:t>
      </w:r>
      <w:r>
        <w:rPr>
          <w:snapToGrid w:val="0"/>
        </w:rPr>
        <w:t>.</w:t>
      </w:r>
      <w:r>
        <w:rPr>
          <w:snapToGrid w:val="0"/>
        </w:rPr>
        <w:tab/>
        <w:t>C</w:t>
      </w:r>
      <w:r>
        <w:t>onditions on bail, amending during trial</w:t>
      </w:r>
      <w:r>
        <w:tab/>
      </w:r>
      <w:r>
        <w:fldChar w:fldCharType="begin"/>
      </w:r>
      <w:r>
        <w:instrText xml:space="preserve"> PAGEREF _Toc106980670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Notices under s. 31, service and proof of</w:t>
      </w:r>
      <w:r>
        <w:tab/>
      </w:r>
      <w:r>
        <w:fldChar w:fldCharType="begin"/>
      </w:r>
      <w:r>
        <w:instrText xml:space="preserve"> PAGEREF _Toc106980671 \h </w:instrText>
      </w:r>
      <w:r>
        <w:fldChar w:fldCharType="separate"/>
      </w:r>
      <w:r>
        <w:t>50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Judicial officer may order accused to enter into bail undertaking</w:t>
      </w:r>
      <w:r>
        <w:tab/>
      </w:r>
      <w:r>
        <w:fldChar w:fldCharType="begin"/>
      </w:r>
      <w:r>
        <w:instrText xml:space="preserve"> PAGEREF _Toc106980672 \h </w:instrText>
      </w:r>
      <w:r>
        <w:fldChar w:fldCharType="separate"/>
      </w:r>
      <w:r>
        <w:t>51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When bail undertaking ceases to have effect</w:t>
      </w:r>
      <w:r>
        <w:tab/>
      </w:r>
      <w:r>
        <w:fldChar w:fldCharType="begin"/>
      </w:r>
      <w:r>
        <w:instrText xml:space="preserve"> PAGEREF _Toc106980673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VI — Sureties and surety undertakings</w:t>
      </w:r>
    </w:p>
    <w:p>
      <w:pPr>
        <w:pStyle w:val="TOC8"/>
        <w:rPr>
          <w:rFonts w:asciiTheme="minorHAnsi" w:eastAsiaTheme="minorEastAsia" w:hAnsiTheme="minorHAnsi" w:cstheme="minorBidi"/>
          <w:szCs w:val="22"/>
        </w:rPr>
      </w:pPr>
      <w:r>
        <w:t>35</w:t>
      </w:r>
      <w:r>
        <w:rPr>
          <w:snapToGrid w:val="0"/>
        </w:rPr>
        <w:t>.</w:t>
      </w:r>
      <w:r>
        <w:rPr>
          <w:snapToGrid w:val="0"/>
        </w:rPr>
        <w:tab/>
        <w:t>Surety and surety undertaking</w:t>
      </w:r>
      <w:r>
        <w:tab/>
      </w:r>
      <w:r>
        <w:fldChar w:fldCharType="begin"/>
      </w:r>
      <w:r>
        <w:instrText xml:space="preserve"> PAGEREF _Toc106980675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Sureties, who may approve</w:t>
      </w:r>
      <w:r>
        <w:tab/>
      </w:r>
      <w:r>
        <w:fldChar w:fldCharType="begin"/>
      </w:r>
      <w:r>
        <w:instrText xml:space="preserve"> PAGEREF _Toc106980676 \h </w:instrText>
      </w:r>
      <w:r>
        <w:fldChar w:fldCharType="separate"/>
      </w:r>
      <w:r>
        <w:t>53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Proposed surety to receive certain information and form</w:t>
      </w:r>
      <w:r>
        <w:tab/>
      </w:r>
      <w:r>
        <w:fldChar w:fldCharType="begin"/>
      </w:r>
      <w:r>
        <w:instrText xml:space="preserve"> PAGEREF _Toc106980677 \h </w:instrText>
      </w:r>
      <w:r>
        <w:fldChar w:fldCharType="separate"/>
      </w:r>
      <w:r>
        <w:t>54</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Persons disqualified from being sureties</w:t>
      </w:r>
      <w:r>
        <w:tab/>
      </w:r>
      <w:r>
        <w:fldChar w:fldCharType="begin"/>
      </w:r>
      <w:r>
        <w:instrText xml:space="preserve"> PAGEREF _Toc106980678 \h </w:instrText>
      </w:r>
      <w:r>
        <w:fldChar w:fldCharType="separate"/>
      </w:r>
      <w:r>
        <w:t>54</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Matters to be regarded when approving sureties</w:t>
      </w:r>
      <w:r>
        <w:tab/>
      </w:r>
      <w:r>
        <w:fldChar w:fldCharType="begin"/>
      </w:r>
      <w:r>
        <w:instrText xml:space="preserve"> PAGEREF _Toc106980679 \h </w:instrText>
      </w:r>
      <w:r>
        <w:fldChar w:fldCharType="separate"/>
      </w:r>
      <w:r>
        <w:t>55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Decision on application by proposed surety</w:t>
      </w:r>
      <w:r>
        <w:tab/>
      </w:r>
      <w:r>
        <w:fldChar w:fldCharType="begin"/>
      </w:r>
      <w:r>
        <w:instrText xml:space="preserve"> PAGEREF _Toc106980680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Finality of decision to refuse approval of surety</w:t>
      </w:r>
      <w:r>
        <w:tab/>
      </w:r>
      <w:r>
        <w:fldChar w:fldCharType="begin"/>
      </w:r>
      <w:r>
        <w:instrText xml:space="preserve"> PAGEREF _Toc106980681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Before whom surety undertaking may be entered into</w:t>
      </w:r>
      <w:r>
        <w:tab/>
      </w:r>
      <w:r>
        <w:fldChar w:fldCharType="begin"/>
      </w:r>
      <w:r>
        <w:instrText xml:space="preserve"> PAGEREF _Toc106980682 \h </w:instrText>
      </w:r>
      <w:r>
        <w:fldChar w:fldCharType="separate"/>
      </w:r>
      <w:r>
        <w:t>57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Duties of person before whom surety undertaking is entered into</w:t>
      </w:r>
      <w:r>
        <w:tab/>
      </w:r>
      <w:r>
        <w:fldChar w:fldCharType="begin"/>
      </w:r>
      <w:r>
        <w:instrText xml:space="preserve"> PAGEREF _Toc106980683 \h </w:instrText>
      </w:r>
      <w:r>
        <w:fldChar w:fldCharType="separate"/>
      </w:r>
      <w:r>
        <w:t>57</w:t>
      </w:r>
      <w:r>
        <w:fldChar w:fldCharType="end"/>
      </w:r>
    </w:p>
    <w:p>
      <w:pPr>
        <w:pStyle w:val="TOC8"/>
        <w:rPr>
          <w:rFonts w:asciiTheme="minorHAnsi" w:eastAsiaTheme="minorEastAsia" w:hAnsiTheme="minorHAnsi" w:cstheme="minorBidi"/>
          <w:szCs w:val="22"/>
        </w:rPr>
      </w:pPr>
      <w:r>
        <w:t>43A. </w:t>
      </w:r>
      <w:r>
        <w:rPr>
          <w:vertAlign w:val="superscript"/>
        </w:rPr>
        <w:t>M</w:t>
      </w:r>
      <w:r>
        <w:tab/>
        <w:t>Entering into surety undertaking where proposed surety interstate</w:t>
      </w:r>
      <w:r>
        <w:tab/>
      </w:r>
      <w:r>
        <w:fldChar w:fldCharType="begin"/>
      </w:r>
      <w:r>
        <w:instrText xml:space="preserve"> PAGEREF _Toc106980684 \h </w:instrText>
      </w:r>
      <w:r>
        <w:fldChar w:fldCharType="separate"/>
      </w:r>
      <w:r>
        <w:t>58</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When surety undertaking extends to different time or different time and place substituted under s. 31</w:t>
      </w:r>
      <w:r>
        <w:tab/>
      </w:r>
      <w:r>
        <w:fldChar w:fldCharType="begin"/>
      </w:r>
      <w:r>
        <w:instrText xml:space="preserve"> PAGEREF _Toc106980685 \h </w:instrText>
      </w:r>
      <w:r>
        <w:fldChar w:fldCharType="separate"/>
      </w:r>
      <w:r>
        <w:t>59</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Notices under s. 44, service and proof of</w:t>
      </w:r>
      <w:r>
        <w:tab/>
      </w:r>
      <w:r>
        <w:fldChar w:fldCharType="begin"/>
      </w:r>
      <w:r>
        <w:instrText xml:space="preserve"> PAGEREF _Toc106980686 \h </w:instrText>
      </w:r>
      <w:r>
        <w:fldChar w:fldCharType="separate"/>
      </w:r>
      <w:r>
        <w:t>60</w:t>
      </w:r>
      <w:r>
        <w:fldChar w:fldCharType="end"/>
      </w:r>
    </w:p>
    <w:p>
      <w:pPr>
        <w:pStyle w:val="TOC8"/>
        <w:rPr>
          <w:rFonts w:asciiTheme="minorHAnsi" w:eastAsiaTheme="minorEastAsia" w:hAnsiTheme="minorHAnsi" w:cstheme="minorBidi"/>
          <w:szCs w:val="22"/>
        </w:rPr>
      </w:pPr>
      <w:r>
        <w:lastRenderedPageBreak/>
        <w:t>46</w:t>
      </w:r>
      <w:r>
        <w:rPr>
          <w:snapToGrid w:val="0"/>
        </w:rPr>
        <w:t>.</w:t>
      </w:r>
      <w:r>
        <w:rPr>
          <w:snapToGrid w:val="0"/>
        </w:rPr>
        <w:tab/>
        <w:t>Surety’s power to arrest accused</w:t>
      </w:r>
      <w:r>
        <w:tab/>
      </w:r>
      <w:r>
        <w:fldChar w:fldCharType="begin"/>
      </w:r>
      <w:r>
        <w:instrText xml:space="preserve"> PAGEREF _Toc106980687 \h </w:instrText>
      </w:r>
      <w:r>
        <w:fldChar w:fldCharType="separate"/>
      </w:r>
      <w:r>
        <w:t>62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When surety undertaking ceases to have effect</w:t>
      </w:r>
      <w:r>
        <w:tab/>
      </w:r>
      <w:r>
        <w:fldChar w:fldCharType="begin"/>
      </w:r>
      <w:r>
        <w:instrText xml:space="preserve"> PAGEREF _Toc106980688 \h </w:instrText>
      </w:r>
      <w:r>
        <w:fldChar w:fldCharType="separate"/>
      </w:r>
      <w:r>
        <w:t>63</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Surety may apply for cancellation of his undertaking</w:t>
      </w:r>
      <w:r>
        <w:tab/>
      </w:r>
      <w:r>
        <w:fldChar w:fldCharType="begin"/>
      </w:r>
      <w:r>
        <w:instrText xml:space="preserve"> PAGEREF _Toc106980689 \h </w:instrText>
      </w:r>
      <w:r>
        <w:fldChar w:fldCharType="separate"/>
      </w:r>
      <w:r>
        <w:t>64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Surety’s undertaking to pay money, enforcing</w:t>
      </w:r>
      <w:r>
        <w:tab/>
      </w:r>
      <w:r>
        <w:fldChar w:fldCharType="begin"/>
      </w:r>
      <w:r>
        <w:instrText xml:space="preserve"> PAGEREF _Toc106980690 \h </w:instrText>
      </w:r>
      <w:r>
        <w:fldChar w:fldCharType="separate"/>
      </w:r>
      <w:r>
        <w:t>64</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Indemnifying surety, offence</w:t>
      </w:r>
      <w:r>
        <w:tab/>
      </w:r>
      <w:r>
        <w:fldChar w:fldCharType="begin"/>
      </w:r>
      <w:r>
        <w:instrText xml:space="preserve"> PAGEREF _Toc106980691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VIA — Administration of home detention conditions</w:t>
      </w:r>
    </w:p>
    <w:p>
      <w:pPr>
        <w:pStyle w:val="TOC8"/>
        <w:rPr>
          <w:rFonts w:asciiTheme="minorHAnsi" w:eastAsiaTheme="minorEastAsia" w:hAnsiTheme="minorHAnsi" w:cstheme="minorBidi"/>
          <w:szCs w:val="22"/>
        </w:rPr>
      </w:pPr>
      <w:r>
        <w:t>50A</w:t>
      </w:r>
      <w:r>
        <w:rPr>
          <w:snapToGrid w:val="0"/>
        </w:rPr>
        <w:t>.</w:t>
      </w:r>
      <w:r>
        <w:rPr>
          <w:snapToGrid w:val="0"/>
        </w:rPr>
        <w:tab/>
        <w:t xml:space="preserve">Powers of CEO </w:t>
      </w:r>
      <w:r>
        <w:t>(corrections)</w:t>
      </w:r>
      <w:r>
        <w:tab/>
      </w:r>
      <w:r>
        <w:fldChar w:fldCharType="begin"/>
      </w:r>
      <w:r>
        <w:instrText xml:space="preserve"> PAGEREF _Toc106980693 \h </w:instrText>
      </w:r>
      <w:r>
        <w:fldChar w:fldCharType="separate"/>
      </w:r>
      <w:r>
        <w:t>68</w:t>
      </w:r>
      <w:r>
        <w:fldChar w:fldCharType="end"/>
      </w:r>
    </w:p>
    <w:p>
      <w:pPr>
        <w:pStyle w:val="TOC8"/>
        <w:rPr>
          <w:rFonts w:asciiTheme="minorHAnsi" w:eastAsiaTheme="minorEastAsia" w:hAnsiTheme="minorHAnsi" w:cstheme="minorBidi"/>
          <w:szCs w:val="22"/>
        </w:rPr>
      </w:pPr>
      <w:r>
        <w:t>50C</w:t>
      </w:r>
      <w:r>
        <w:rPr>
          <w:snapToGrid w:val="0"/>
        </w:rPr>
        <w:t>.</w:t>
      </w:r>
      <w:r>
        <w:rPr>
          <w:snapToGrid w:val="0"/>
        </w:rPr>
        <w:tab/>
        <w:t>Powers and duties of community corrections officers</w:t>
      </w:r>
      <w:r>
        <w:tab/>
      </w:r>
      <w:r>
        <w:fldChar w:fldCharType="begin"/>
      </w:r>
      <w:r>
        <w:instrText xml:space="preserve"> PAGEREF _Toc106980694 \h </w:instrText>
      </w:r>
      <w:r>
        <w:fldChar w:fldCharType="separate"/>
      </w:r>
      <w:r>
        <w:t>68</w:t>
      </w:r>
      <w:r>
        <w:fldChar w:fldCharType="end"/>
      </w:r>
    </w:p>
    <w:p>
      <w:pPr>
        <w:pStyle w:val="TOC8"/>
        <w:rPr>
          <w:rFonts w:asciiTheme="minorHAnsi" w:eastAsiaTheme="minorEastAsia" w:hAnsiTheme="minorHAnsi" w:cstheme="minorBidi"/>
          <w:szCs w:val="22"/>
        </w:rPr>
      </w:pPr>
      <w:r>
        <w:t>50D</w:t>
      </w:r>
      <w:r>
        <w:rPr>
          <w:snapToGrid w:val="0"/>
        </w:rPr>
        <w:t>.</w:t>
      </w:r>
      <w:r>
        <w:rPr>
          <w:snapToGrid w:val="0"/>
        </w:rPr>
        <w:tab/>
        <w:t>Powers of members of Police Force</w:t>
      </w:r>
      <w:r>
        <w:tab/>
      </w:r>
      <w:r>
        <w:fldChar w:fldCharType="begin"/>
      </w:r>
      <w:r>
        <w:instrText xml:space="preserve"> PAGEREF _Toc106980695 \h </w:instrText>
      </w:r>
      <w:r>
        <w:fldChar w:fldCharType="separate"/>
      </w:r>
      <w:r>
        <w:t>70</w:t>
      </w:r>
      <w:r>
        <w:fldChar w:fldCharType="end"/>
      </w:r>
    </w:p>
    <w:p>
      <w:pPr>
        <w:pStyle w:val="TOC8"/>
        <w:rPr>
          <w:rFonts w:asciiTheme="minorHAnsi" w:eastAsiaTheme="minorEastAsia" w:hAnsiTheme="minorHAnsi" w:cstheme="minorBidi"/>
          <w:szCs w:val="22"/>
        </w:rPr>
      </w:pPr>
      <w:r>
        <w:t>50E</w:t>
      </w:r>
      <w:r>
        <w:rPr>
          <w:snapToGrid w:val="0"/>
        </w:rPr>
        <w:t>.</w:t>
      </w:r>
      <w:r>
        <w:rPr>
          <w:snapToGrid w:val="0"/>
        </w:rPr>
        <w:tab/>
        <w:t>CEO</w:t>
      </w:r>
      <w:r>
        <w:t xml:space="preserve"> (corrections)</w:t>
      </w:r>
      <w:r>
        <w:rPr>
          <w:snapToGrid w:val="0"/>
        </w:rPr>
        <w:t xml:space="preserve"> may substitute different place of detention and apply conditions</w:t>
      </w:r>
      <w:r>
        <w:tab/>
      </w:r>
      <w:r>
        <w:fldChar w:fldCharType="begin"/>
      </w:r>
      <w:r>
        <w:instrText xml:space="preserve"> PAGEREF _Toc106980696 \h </w:instrText>
      </w:r>
      <w:r>
        <w:fldChar w:fldCharType="separate"/>
      </w:r>
      <w:r>
        <w:t>70</w:t>
      </w:r>
      <w:r>
        <w:fldChar w:fldCharType="end"/>
      </w:r>
    </w:p>
    <w:p>
      <w:pPr>
        <w:pStyle w:val="TOC8"/>
        <w:rPr>
          <w:rFonts w:asciiTheme="minorHAnsi" w:eastAsiaTheme="minorEastAsia" w:hAnsiTheme="minorHAnsi" w:cstheme="minorBidi"/>
          <w:szCs w:val="22"/>
        </w:rPr>
      </w:pPr>
      <w:r>
        <w:t>50F</w:t>
      </w:r>
      <w:r>
        <w:rPr>
          <w:snapToGrid w:val="0"/>
        </w:rPr>
        <w:t>.</w:t>
      </w:r>
      <w:r>
        <w:rPr>
          <w:snapToGrid w:val="0"/>
        </w:rPr>
        <w:tab/>
        <w:t>CEO</w:t>
      </w:r>
      <w:r>
        <w:t xml:space="preserve"> (corrections)</w:t>
      </w:r>
      <w:r>
        <w:rPr>
          <w:snapToGrid w:val="0"/>
        </w:rPr>
        <w:t xml:space="preserve"> may revoke bail</w:t>
      </w:r>
      <w:r>
        <w:tab/>
      </w:r>
      <w:r>
        <w:fldChar w:fldCharType="begin"/>
      </w:r>
      <w:r>
        <w:instrText xml:space="preserve"> PAGEREF _Toc106980697 \h </w:instrText>
      </w:r>
      <w:r>
        <w:fldChar w:fldCharType="separate"/>
      </w:r>
      <w:r>
        <w:t>71</w:t>
      </w:r>
      <w:r>
        <w:fldChar w:fldCharType="end"/>
      </w:r>
    </w:p>
    <w:p>
      <w:pPr>
        <w:pStyle w:val="TOC8"/>
        <w:rPr>
          <w:rFonts w:asciiTheme="minorHAnsi" w:eastAsiaTheme="minorEastAsia" w:hAnsiTheme="minorHAnsi" w:cstheme="minorBidi"/>
          <w:szCs w:val="22"/>
        </w:rPr>
      </w:pPr>
      <w:r>
        <w:t>50G</w:t>
      </w:r>
      <w:r>
        <w:rPr>
          <w:snapToGrid w:val="0"/>
        </w:rPr>
        <w:t>.</w:t>
      </w:r>
      <w:r>
        <w:rPr>
          <w:snapToGrid w:val="0"/>
        </w:rPr>
        <w:tab/>
        <w:t>Procedure on arrest after revocation under s. 50F</w:t>
      </w:r>
      <w:r>
        <w:tab/>
      </w:r>
      <w:r>
        <w:fldChar w:fldCharType="begin"/>
      </w:r>
      <w:r>
        <w:instrText xml:space="preserve"> PAGEREF _Toc106980698 \h </w:instrText>
      </w:r>
      <w:r>
        <w:fldChar w:fldCharType="separate"/>
      </w:r>
      <w:r>
        <w:t>71</w:t>
      </w:r>
      <w:r>
        <w:fldChar w:fldCharType="end"/>
      </w:r>
    </w:p>
    <w:p>
      <w:pPr>
        <w:pStyle w:val="TOC8"/>
        <w:rPr>
          <w:rFonts w:asciiTheme="minorHAnsi" w:eastAsiaTheme="minorEastAsia" w:hAnsiTheme="minorHAnsi" w:cstheme="minorBidi"/>
          <w:szCs w:val="22"/>
        </w:rPr>
      </w:pPr>
      <w:r>
        <w:t>50H</w:t>
      </w:r>
      <w:r>
        <w:rPr>
          <w:snapToGrid w:val="0"/>
        </w:rPr>
        <w:t>.</w:t>
      </w:r>
      <w:r>
        <w:rPr>
          <w:snapToGrid w:val="0"/>
        </w:rPr>
        <w:tab/>
        <w:t>Rules of natural justice excluded</w:t>
      </w:r>
      <w:r>
        <w:tab/>
      </w:r>
      <w:r>
        <w:fldChar w:fldCharType="begin"/>
      </w:r>
      <w:r>
        <w:instrText xml:space="preserve"> PAGEREF _Toc106980699 \h </w:instrText>
      </w:r>
      <w:r>
        <w:fldChar w:fldCharType="separate"/>
      </w:r>
      <w:r>
        <w:t>72</w:t>
      </w:r>
      <w:r>
        <w:fldChar w:fldCharType="end"/>
      </w:r>
    </w:p>
    <w:p>
      <w:pPr>
        <w:pStyle w:val="TOC8"/>
        <w:rPr>
          <w:rFonts w:asciiTheme="minorHAnsi" w:eastAsiaTheme="minorEastAsia" w:hAnsiTheme="minorHAnsi" w:cstheme="minorBidi"/>
          <w:szCs w:val="22"/>
        </w:rPr>
      </w:pPr>
      <w:r>
        <w:t>50J</w:t>
      </w:r>
      <w:r>
        <w:rPr>
          <w:snapToGrid w:val="0"/>
        </w:rPr>
        <w:t>.</w:t>
      </w:r>
      <w:r>
        <w:rPr>
          <w:snapToGrid w:val="0"/>
        </w:rPr>
        <w:tab/>
        <w:t>Delegation by CEO</w:t>
      </w:r>
      <w:r>
        <w:t xml:space="preserve"> (corrections)</w:t>
      </w:r>
      <w:r>
        <w:tab/>
      </w:r>
      <w:r>
        <w:fldChar w:fldCharType="begin"/>
      </w:r>
      <w:r>
        <w:instrText xml:space="preserve"> PAGEREF _Toc106980700 \h </w:instrText>
      </w:r>
      <w:r>
        <w:fldChar w:fldCharType="separate"/>
      </w:r>
      <w:r>
        <w:t>72</w:t>
      </w:r>
      <w:r>
        <w:fldChar w:fldCharType="end"/>
      </w:r>
    </w:p>
    <w:p>
      <w:pPr>
        <w:pStyle w:val="TOC8"/>
        <w:rPr>
          <w:rFonts w:asciiTheme="minorHAnsi" w:eastAsiaTheme="minorEastAsia" w:hAnsiTheme="minorHAnsi" w:cstheme="minorBidi"/>
          <w:szCs w:val="22"/>
        </w:rPr>
      </w:pPr>
      <w:r>
        <w:t>50L</w:t>
      </w:r>
      <w:r>
        <w:rPr>
          <w:snapToGrid w:val="0"/>
        </w:rPr>
        <w:t>.</w:t>
      </w:r>
      <w:r>
        <w:rPr>
          <w:snapToGrid w:val="0"/>
        </w:rPr>
        <w:tab/>
        <w:t>Rules for this Part</w:t>
      </w:r>
      <w:r>
        <w:tab/>
      </w:r>
      <w:r>
        <w:fldChar w:fldCharType="begin"/>
      </w:r>
      <w:r>
        <w:instrText xml:space="preserve"> PAGEREF _Toc106980701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VII — Enforcement of bail undertakings</w:t>
      </w:r>
    </w:p>
    <w:p>
      <w:pPr>
        <w:pStyle w:val="TOC8"/>
        <w:rPr>
          <w:rFonts w:asciiTheme="minorHAnsi" w:eastAsiaTheme="minorEastAsia" w:hAnsiTheme="minorHAnsi" w:cstheme="minorBidi"/>
          <w:szCs w:val="22"/>
        </w:rPr>
      </w:pPr>
      <w:r>
        <w:t>51</w:t>
      </w:r>
      <w:r>
        <w:rPr>
          <w:snapToGrid w:val="0"/>
        </w:rPr>
        <w:t>.</w:t>
      </w:r>
      <w:r>
        <w:rPr>
          <w:snapToGrid w:val="0"/>
        </w:rPr>
        <w:tab/>
        <w:t>Failing to comply with bail undertaking, offence</w:t>
      </w:r>
      <w:r>
        <w:tab/>
      </w:r>
      <w:r>
        <w:fldChar w:fldCharType="begin"/>
      </w:r>
      <w:r>
        <w:instrText xml:space="preserve"> PAGEREF _Toc106980703 \h </w:instrText>
      </w:r>
      <w:r>
        <w:fldChar w:fldCharType="separate"/>
      </w:r>
      <w:r>
        <w:t>74</w:t>
      </w:r>
      <w:r>
        <w:fldChar w:fldCharType="end"/>
      </w:r>
    </w:p>
    <w:p>
      <w:pPr>
        <w:pStyle w:val="TOC8"/>
        <w:rPr>
          <w:rFonts w:asciiTheme="minorHAnsi" w:eastAsiaTheme="minorEastAsia" w:hAnsiTheme="minorHAnsi" w:cstheme="minorBidi"/>
          <w:szCs w:val="22"/>
        </w:rPr>
      </w:pPr>
      <w:r>
        <w:t>51A.</w:t>
      </w:r>
      <w:r>
        <w:tab/>
      </w:r>
      <w:r>
        <w:rPr>
          <w:snapToGrid w:val="0"/>
        </w:rPr>
        <w:t>Prosecuting s. 51 offence for non-appearance in court of summary jurisdiction</w:t>
      </w:r>
      <w:r>
        <w:tab/>
      </w:r>
      <w:r>
        <w:fldChar w:fldCharType="begin"/>
      </w:r>
      <w:r>
        <w:instrText xml:space="preserve"> PAGEREF _Toc106980704 \h </w:instrText>
      </w:r>
      <w:r>
        <w:fldChar w:fldCharType="separate"/>
      </w:r>
      <w:r>
        <w:t>75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Prosecuting s. 51 offence for non-appearance in superior court</w:t>
      </w:r>
      <w:r>
        <w:tab/>
      </w:r>
      <w:r>
        <w:fldChar w:fldCharType="begin"/>
      </w:r>
      <w:r>
        <w:instrText xml:space="preserve"> PAGEREF _Toc106980705 \h </w:instrText>
      </w:r>
      <w:r>
        <w:fldChar w:fldCharType="separate"/>
      </w:r>
      <w:r>
        <w:t>75</w:t>
      </w:r>
      <w:r>
        <w:fldChar w:fldCharType="end"/>
      </w:r>
    </w:p>
    <w:p>
      <w:pPr>
        <w:pStyle w:val="TOC8"/>
        <w:rPr>
          <w:rFonts w:asciiTheme="minorHAnsi" w:eastAsiaTheme="minorEastAsia" w:hAnsiTheme="minorHAnsi" w:cstheme="minorBidi"/>
          <w:szCs w:val="22"/>
        </w:rPr>
      </w:pPr>
      <w:r>
        <w:t>53.</w:t>
      </w:r>
      <w:r>
        <w:tab/>
        <w:t>Appeal against decision made under s. 52</w:t>
      </w:r>
      <w:r>
        <w:tab/>
      </w:r>
      <w:r>
        <w:fldChar w:fldCharType="begin"/>
      </w:r>
      <w:r>
        <w:instrText xml:space="preserve"> PAGEREF _Toc106980706 \h </w:instrText>
      </w:r>
      <w:r>
        <w:fldChar w:fldCharType="separate"/>
      </w:r>
      <w:r>
        <w:t>77</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Bailed accused may be taken before judicial officer to show cause against variation or revocation of bail</w:t>
      </w:r>
      <w:r>
        <w:tab/>
      </w:r>
      <w:r>
        <w:fldChar w:fldCharType="begin"/>
      </w:r>
      <w:r>
        <w:instrText xml:space="preserve"> PAGEREF _Toc106980707 \h </w:instrText>
      </w:r>
      <w:r>
        <w:fldChar w:fldCharType="separate"/>
      </w:r>
      <w:r>
        <w:t>78</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Accused on committal may be taken for purposes of s. 54 before judicial officer by which committed</w:t>
      </w:r>
      <w:r>
        <w:tab/>
      </w:r>
      <w:r>
        <w:fldChar w:fldCharType="begin"/>
      </w:r>
      <w:r>
        <w:instrText xml:space="preserve"> PAGEREF _Toc106980708 \h </w:instrText>
      </w:r>
      <w:r>
        <w:fldChar w:fldCharType="separate"/>
      </w:r>
      <w:r>
        <w:t>80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Accused before court under s. 54, judicial officer may revoke bail of etc.</w:t>
      </w:r>
      <w:r>
        <w:tab/>
      </w:r>
      <w:r>
        <w:fldChar w:fldCharType="begin"/>
      </w:r>
      <w:r>
        <w:instrText xml:space="preserve"> PAGEREF _Toc106980709 \h </w:instrText>
      </w:r>
      <w:r>
        <w:fldChar w:fldCharType="separate"/>
      </w:r>
      <w:r>
        <w:t>81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Offence under s. 51, court to order forfeiture of money under bail undertaking</w:t>
      </w:r>
      <w:r>
        <w:tab/>
      </w:r>
      <w:r>
        <w:fldChar w:fldCharType="begin"/>
      </w:r>
      <w:r>
        <w:instrText xml:space="preserve"> PAGEREF _Toc106980710 \h </w:instrText>
      </w:r>
      <w:r>
        <w:fldChar w:fldCharType="separate"/>
      </w:r>
      <w:r>
        <w:t>82</w:t>
      </w:r>
      <w:r>
        <w:fldChar w:fldCharType="end"/>
      </w:r>
    </w:p>
    <w:p>
      <w:pPr>
        <w:pStyle w:val="TOC8"/>
        <w:rPr>
          <w:rFonts w:asciiTheme="minorHAnsi" w:eastAsiaTheme="minorEastAsia" w:hAnsiTheme="minorHAnsi" w:cstheme="minorBidi"/>
          <w:szCs w:val="22"/>
        </w:rPr>
      </w:pPr>
      <w:r>
        <w:lastRenderedPageBreak/>
        <w:t>58</w:t>
      </w:r>
      <w:r>
        <w:rPr>
          <w:snapToGrid w:val="0"/>
        </w:rPr>
        <w:t>.</w:t>
      </w:r>
      <w:r>
        <w:rPr>
          <w:snapToGrid w:val="0"/>
        </w:rPr>
        <w:tab/>
        <w:t>Automatic forfeiture of money on expiration of one year after absconding</w:t>
      </w:r>
      <w:r>
        <w:tab/>
      </w:r>
      <w:r>
        <w:fldChar w:fldCharType="begin"/>
      </w:r>
      <w:r>
        <w:instrText xml:space="preserve"> PAGEREF _Toc106980711 \h </w:instrText>
      </w:r>
      <w:r>
        <w:fldChar w:fldCharType="separate"/>
      </w:r>
      <w:r>
        <w:t>83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8"/>
        <w:rPr>
          <w:rFonts w:asciiTheme="minorHAnsi" w:eastAsiaTheme="minorEastAsia" w:hAnsiTheme="minorHAnsi" w:cstheme="minorBidi"/>
          <w:szCs w:val="22"/>
        </w:rPr>
      </w:pPr>
      <w:r>
        <w:t>59</w:t>
      </w:r>
      <w:r>
        <w:rPr>
          <w:snapToGrid w:val="0"/>
        </w:rPr>
        <w:t>.</w:t>
      </w:r>
      <w:r>
        <w:rPr>
          <w:snapToGrid w:val="0"/>
        </w:rPr>
        <w:tab/>
        <w:t>Order for forfeiture, court’s additional powers as to</w:t>
      </w:r>
      <w:r>
        <w:tab/>
      </w:r>
      <w:r>
        <w:fldChar w:fldCharType="begin"/>
      </w:r>
      <w:r>
        <w:instrText xml:space="preserve"> PAGEREF _Toc106980713 \h </w:instrText>
      </w:r>
      <w:r>
        <w:fldChar w:fldCharType="separate"/>
      </w:r>
      <w:r>
        <w:t>84</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If bail dispensed with, accused may be taken before judicial officer for reconsideration of matter</w:t>
      </w:r>
      <w:r>
        <w:tab/>
      </w:r>
      <w:r>
        <w:fldChar w:fldCharType="begin"/>
      </w:r>
      <w:r>
        <w:instrText xml:space="preserve"> PAGEREF _Toc106980714 \h </w:instrText>
      </w:r>
      <w:r>
        <w:fldChar w:fldCharType="separate"/>
      </w:r>
      <w:r>
        <w:t>84</w:t>
      </w:r>
      <w:r>
        <w:fldChar w:fldCharType="end"/>
      </w:r>
    </w:p>
    <w:p>
      <w:pPr>
        <w:pStyle w:val="TOC8"/>
        <w:rPr>
          <w:rFonts w:asciiTheme="minorHAnsi" w:eastAsiaTheme="minorEastAsia" w:hAnsiTheme="minorHAnsi" w:cstheme="minorBidi"/>
          <w:szCs w:val="22"/>
        </w:rPr>
      </w:pPr>
      <w:r>
        <w:t>59B</w:t>
      </w:r>
      <w:r>
        <w:rPr>
          <w:snapToGrid w:val="0"/>
        </w:rPr>
        <w:t>.</w:t>
      </w:r>
      <w:r>
        <w:rPr>
          <w:snapToGrid w:val="0"/>
        </w:rPr>
        <w:tab/>
        <w:t>Absconding accused, warrant for arrest of</w:t>
      </w:r>
      <w:r>
        <w:tab/>
      </w:r>
      <w:r>
        <w:fldChar w:fldCharType="begin"/>
      </w:r>
      <w:r>
        <w:instrText xml:space="preserve"> PAGEREF _Toc106980715 \h </w:instrText>
      </w:r>
      <w:r>
        <w:fldChar w:fldCharType="separate"/>
      </w:r>
      <w:r>
        <w:t>85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Change of address, accused and surety to notify</w:t>
      </w:r>
      <w:r>
        <w:tab/>
      </w:r>
      <w:r>
        <w:fldChar w:fldCharType="begin"/>
      </w:r>
      <w:r>
        <w:instrText xml:space="preserve"> PAGEREF _Toc106980716 \h </w:instrText>
      </w:r>
      <w:r>
        <w:fldChar w:fldCharType="separate"/>
      </w:r>
      <w:r>
        <w:t>86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Failing to bring arrested person before court or person able to grant bail, offence</w:t>
      </w:r>
      <w:r>
        <w:tab/>
      </w:r>
      <w:r>
        <w:fldChar w:fldCharType="begin"/>
      </w:r>
      <w:r>
        <w:instrText xml:space="preserve"> PAGEREF _Toc106980717 \h </w:instrText>
      </w:r>
      <w:r>
        <w:fldChar w:fldCharType="separate"/>
      </w:r>
      <w:r>
        <w:t>86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Giving false information for bail purposes, offence</w:t>
      </w:r>
      <w:r>
        <w:tab/>
      </w:r>
      <w:r>
        <w:fldChar w:fldCharType="begin"/>
      </w:r>
      <w:r>
        <w:instrText xml:space="preserve"> PAGEREF _Toc106980718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Protection from personal liability</w:t>
      </w:r>
      <w:r>
        <w:tab/>
      </w:r>
      <w:r>
        <w:fldChar w:fldCharType="begin"/>
      </w:r>
      <w:r>
        <w:instrText xml:space="preserve"> PAGEREF _Toc106980719 \h </w:instrText>
      </w:r>
      <w:r>
        <w:fldChar w:fldCharType="separate"/>
      </w:r>
      <w:r>
        <w:t>87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Proving appearance or non</w:t>
      </w:r>
      <w:r>
        <w:rPr>
          <w:snapToGrid w:val="0"/>
        </w:rPr>
        <w:noBreakHyphen/>
        <w:t>appearance by accused</w:t>
      </w:r>
      <w:r>
        <w:tab/>
      </w:r>
      <w:r>
        <w:fldChar w:fldCharType="begin"/>
      </w:r>
      <w:r>
        <w:instrText xml:space="preserve"> PAGEREF _Toc106980720 \h </w:instrText>
      </w:r>
      <w:r>
        <w:fldChar w:fldCharType="separate"/>
      </w:r>
      <w:r>
        <w:t>87</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Bail undertakings by child, effect of</w:t>
      </w:r>
      <w:r>
        <w:tab/>
      </w:r>
      <w:r>
        <w:fldChar w:fldCharType="begin"/>
      </w:r>
      <w:r>
        <w:instrText xml:space="preserve"> PAGEREF _Toc106980721 \h </w:instrText>
      </w:r>
      <w:r>
        <w:fldChar w:fldCharType="separate"/>
      </w:r>
      <w:r>
        <w:t>88</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Other powers or duties to grant bail abolished</w:t>
      </w:r>
      <w:r>
        <w:tab/>
      </w:r>
      <w:r>
        <w:fldChar w:fldCharType="begin"/>
      </w:r>
      <w:r>
        <w:instrText xml:space="preserve"> PAGEREF _Toc106980722 \h </w:instrText>
      </w:r>
      <w:r>
        <w:fldChar w:fldCharType="separate"/>
      </w:r>
      <w:r>
        <w:t>88</w:t>
      </w:r>
      <w:r>
        <w:fldChar w:fldCharType="end"/>
      </w:r>
    </w:p>
    <w:p>
      <w:pPr>
        <w:pStyle w:val="TOC8"/>
        <w:rPr>
          <w:rFonts w:asciiTheme="minorHAnsi" w:eastAsiaTheme="minorEastAsia" w:hAnsiTheme="minorHAnsi" w:cstheme="minorBidi"/>
          <w:szCs w:val="22"/>
        </w:rPr>
      </w:pPr>
      <w:r>
        <w:t>66A</w:t>
      </w:r>
      <w:r>
        <w:rPr>
          <w:snapToGrid w:val="0"/>
        </w:rPr>
        <w:t>.</w:t>
      </w:r>
      <w:r>
        <w:rPr>
          <w:snapToGrid w:val="0"/>
        </w:rPr>
        <w:tab/>
        <w:t>Delegation by registrar of court</w:t>
      </w:r>
      <w:r>
        <w:tab/>
      </w:r>
      <w:r>
        <w:fldChar w:fldCharType="begin"/>
      </w:r>
      <w:r>
        <w:instrText xml:space="preserve"> PAGEREF _Toc106980723 \h </w:instrText>
      </w:r>
      <w:r>
        <w:fldChar w:fldCharType="separate"/>
      </w:r>
      <w:r>
        <w:t>88</w:t>
      </w:r>
      <w:r>
        <w:fldChar w:fldCharType="end"/>
      </w:r>
    </w:p>
    <w:p>
      <w:pPr>
        <w:pStyle w:val="TOC8"/>
        <w:rPr>
          <w:rFonts w:asciiTheme="minorHAnsi" w:eastAsiaTheme="minorEastAsia" w:hAnsiTheme="minorHAnsi" w:cstheme="minorBidi"/>
          <w:szCs w:val="22"/>
        </w:rPr>
      </w:pPr>
      <w:r>
        <w:t>66B.</w:t>
      </w:r>
      <w:r>
        <w:tab/>
        <w:t>Video link or audio link, use of in bail proceedings</w:t>
      </w:r>
      <w:r>
        <w:tab/>
      </w:r>
      <w:r>
        <w:fldChar w:fldCharType="begin"/>
      </w:r>
      <w:r>
        <w:instrText xml:space="preserve"> PAGEREF _Toc106980724 \h </w:instrText>
      </w:r>
      <w:r>
        <w:fldChar w:fldCharType="separate"/>
      </w:r>
      <w:r>
        <w:t>89</w:t>
      </w:r>
      <w:r>
        <w:fldChar w:fldCharType="end"/>
      </w:r>
    </w:p>
    <w:p>
      <w:pPr>
        <w:pStyle w:val="TOC8"/>
        <w:rPr>
          <w:rFonts w:asciiTheme="minorHAnsi" w:eastAsiaTheme="minorEastAsia" w:hAnsiTheme="minorHAnsi" w:cstheme="minorBidi"/>
          <w:szCs w:val="22"/>
        </w:rPr>
      </w:pPr>
      <w:r>
        <w:t>66C.</w:t>
      </w:r>
      <w:r>
        <w:tab/>
        <w:t>Protection of terrorist intelligence information in bail proceedings</w:t>
      </w:r>
      <w:r>
        <w:tab/>
      </w:r>
      <w:r>
        <w:fldChar w:fldCharType="begin"/>
      </w:r>
      <w:r>
        <w:instrText xml:space="preserve"> PAGEREF _Toc106980725 \h </w:instrText>
      </w:r>
      <w:r>
        <w:fldChar w:fldCharType="separate"/>
      </w:r>
      <w:r>
        <w:t>90</w:t>
      </w:r>
      <w:r>
        <w:fldChar w:fldCharType="end"/>
      </w:r>
    </w:p>
    <w:p>
      <w:pPr>
        <w:pStyle w:val="TOC8"/>
        <w:rPr>
          <w:rFonts w:asciiTheme="minorHAnsi" w:eastAsiaTheme="minorEastAsia" w:hAnsiTheme="minorHAnsi" w:cstheme="minorBidi"/>
          <w:szCs w:val="22"/>
        </w:rPr>
      </w:pPr>
      <w:r>
        <w:t>66D.</w:t>
      </w:r>
      <w:r>
        <w:tab/>
        <w:t>Annual report to include information about application of s. 66C</w:t>
      </w:r>
      <w:r>
        <w:tab/>
      </w:r>
      <w:r>
        <w:fldChar w:fldCharType="begin"/>
      </w:r>
      <w:r>
        <w:instrText xml:space="preserve"> PAGEREF _Toc106980726 \h </w:instrText>
      </w:r>
      <w:r>
        <w:fldChar w:fldCharType="separate"/>
      </w:r>
      <w:r>
        <w:t>91</w:t>
      </w:r>
      <w:r>
        <w:fldChar w:fldCharType="end"/>
      </w:r>
    </w:p>
    <w:p>
      <w:pPr>
        <w:pStyle w:val="TOC8"/>
        <w:rPr>
          <w:rFonts w:asciiTheme="minorHAnsi" w:eastAsiaTheme="minorEastAsia" w:hAnsiTheme="minorHAnsi" w:cstheme="minorBidi"/>
          <w:szCs w:val="22"/>
        </w:rPr>
      </w:pPr>
      <w:r>
        <w:t>66E.</w:t>
      </w:r>
      <w:r>
        <w:tab/>
        <w:t>Retrieving monitoring equipment</w:t>
      </w:r>
      <w:r>
        <w:tab/>
      </w:r>
      <w:r>
        <w:fldChar w:fldCharType="begin"/>
      </w:r>
      <w:r>
        <w:instrText xml:space="preserve"> PAGEREF _Toc106980727 \h </w:instrText>
      </w:r>
      <w:r>
        <w:fldChar w:fldCharType="separate"/>
      </w:r>
      <w:r>
        <w:t>93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Regulations</w:t>
      </w:r>
      <w:r>
        <w:tab/>
      </w:r>
      <w:r>
        <w:fldChar w:fldCharType="begin"/>
      </w:r>
      <w:r>
        <w:instrText xml:space="preserve"> PAGEREF _Toc106980728 \h </w:instrText>
      </w:r>
      <w:r>
        <w:fldChar w:fldCharType="separate"/>
      </w:r>
      <w:r>
        <w:t>93</w:t>
      </w:r>
      <w:r>
        <w:fldChar w:fldCharType="end"/>
      </w:r>
    </w:p>
    <w:p>
      <w:pPr>
        <w:pStyle w:val="TOC8"/>
        <w:rPr>
          <w:rFonts w:asciiTheme="minorHAnsi" w:eastAsiaTheme="minorEastAsia" w:hAnsiTheme="minorHAnsi" w:cstheme="minorBidi"/>
          <w:szCs w:val="22"/>
        </w:rPr>
      </w:pPr>
      <w:r>
        <w:t>67A.</w:t>
      </w:r>
      <w:r>
        <w:tab/>
        <w:t xml:space="preserve">Review of amendments made by </w:t>
      </w:r>
      <w:r>
        <w:rPr>
          <w:i/>
        </w:rPr>
        <w:t>Bail Amendment (Persons Linked to Terrorism) Act 2019</w:t>
      </w:r>
      <w:r>
        <w:tab/>
      </w:r>
      <w:r>
        <w:fldChar w:fldCharType="begin"/>
      </w:r>
      <w:r>
        <w:instrText xml:space="preserve"> PAGEREF _Toc106980729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1 — Jurisdiction as to bail and related matters</w:t>
      </w:r>
    </w:p>
    <w:p>
      <w:pPr>
        <w:pStyle w:val="TOC4"/>
        <w:tabs>
          <w:tab w:val="right" w:leader="dot" w:pos="7077"/>
        </w:tabs>
        <w:rPr>
          <w:rFonts w:asciiTheme="minorHAnsi" w:eastAsiaTheme="minorEastAsia" w:hAnsiTheme="minorHAnsi" w:cstheme="minorBidi"/>
          <w:b w:val="0"/>
          <w:szCs w:val="22"/>
        </w:rPr>
      </w:pPr>
      <w:r>
        <w:t>Part A</w:t>
      </w:r>
      <w:r>
        <w:rPr>
          <w:b w:val="0"/>
        </w:rPr>
        <w:t> — </w:t>
      </w:r>
      <w:r>
        <w:t>Jurisdiction relating to bail</w:t>
      </w:r>
    </w:p>
    <w:p>
      <w:pPr>
        <w:pStyle w:val="TOC8"/>
        <w:rPr>
          <w:rFonts w:asciiTheme="minorHAnsi" w:eastAsiaTheme="minorEastAsia" w:hAnsiTheme="minorHAnsi" w:cstheme="minorBidi"/>
          <w:szCs w:val="22"/>
        </w:rPr>
      </w:pPr>
      <w:r>
        <w:rPr>
          <w:bCs/>
        </w:rPr>
        <w:t>1</w:t>
      </w:r>
      <w:r>
        <w:t xml:space="preserve">. </w:t>
      </w:r>
      <w:r>
        <w:tab/>
        <w:t>Initial appearance</w:t>
      </w:r>
      <w:r>
        <w:tab/>
      </w:r>
      <w:r>
        <w:fldChar w:fldCharType="begin"/>
      </w:r>
      <w:r>
        <w:instrText xml:space="preserve"> PAGEREF _Toc106980732 \h </w:instrText>
      </w:r>
      <w:r>
        <w:fldChar w:fldCharType="separate"/>
      </w:r>
      <w:r>
        <w:t>96</w:t>
      </w:r>
      <w:r>
        <w:fldChar w:fldCharType="end"/>
      </w:r>
    </w:p>
    <w:p>
      <w:pPr>
        <w:pStyle w:val="TOC8"/>
        <w:rPr>
          <w:rFonts w:asciiTheme="minorHAnsi" w:eastAsiaTheme="minorEastAsia" w:hAnsiTheme="minorHAnsi" w:cstheme="minorBidi"/>
          <w:szCs w:val="22"/>
        </w:rPr>
      </w:pPr>
      <w:r>
        <w:rPr>
          <w:bCs/>
        </w:rPr>
        <w:t>2</w:t>
      </w:r>
      <w:r>
        <w:t xml:space="preserve">. </w:t>
      </w:r>
      <w:r>
        <w:tab/>
      </w:r>
      <w:r>
        <w:rPr>
          <w:bCs/>
        </w:rPr>
        <w:t>Appearance after adjournment</w:t>
      </w:r>
      <w:r>
        <w:tab/>
      </w:r>
      <w:r>
        <w:fldChar w:fldCharType="begin"/>
      </w:r>
      <w:r>
        <w:instrText xml:space="preserve"> PAGEREF _Toc106980733 \h </w:instrText>
      </w:r>
      <w:r>
        <w:fldChar w:fldCharType="separate"/>
      </w:r>
      <w:r>
        <w:t>97</w:t>
      </w:r>
      <w:r>
        <w:fldChar w:fldCharType="end"/>
      </w:r>
    </w:p>
    <w:p>
      <w:pPr>
        <w:pStyle w:val="TOC8"/>
        <w:rPr>
          <w:rFonts w:asciiTheme="minorHAnsi" w:eastAsiaTheme="minorEastAsia" w:hAnsiTheme="minorHAnsi" w:cstheme="minorBidi"/>
          <w:szCs w:val="22"/>
        </w:rPr>
      </w:pPr>
      <w:r>
        <w:rPr>
          <w:bCs/>
        </w:rPr>
        <w:t>3.</w:t>
      </w:r>
      <w:r>
        <w:t xml:space="preserve"> </w:t>
      </w:r>
      <w:r>
        <w:tab/>
      </w:r>
      <w:r>
        <w:rPr>
          <w:bCs/>
        </w:rPr>
        <w:t>Appearance on committal to Supreme Court or District Court</w:t>
      </w:r>
      <w:r>
        <w:tab/>
      </w:r>
      <w:r>
        <w:fldChar w:fldCharType="begin"/>
      </w:r>
      <w:r>
        <w:instrText xml:space="preserve"> PAGEREF _Toc106980734 \h </w:instrText>
      </w:r>
      <w:r>
        <w:fldChar w:fldCharType="separate"/>
      </w:r>
      <w:r>
        <w:t>97</w:t>
      </w:r>
      <w:r>
        <w:fldChar w:fldCharType="end"/>
      </w:r>
    </w:p>
    <w:p>
      <w:pPr>
        <w:pStyle w:val="TOC8"/>
        <w:rPr>
          <w:rFonts w:asciiTheme="minorHAnsi" w:eastAsiaTheme="minorEastAsia" w:hAnsiTheme="minorHAnsi" w:cstheme="minorBidi"/>
          <w:szCs w:val="22"/>
        </w:rPr>
      </w:pPr>
      <w:r>
        <w:rPr>
          <w:bCs/>
        </w:rPr>
        <w:t>4</w:t>
      </w:r>
      <w:r>
        <w:t xml:space="preserve">. </w:t>
      </w:r>
      <w:r>
        <w:tab/>
      </w:r>
      <w:r>
        <w:rPr>
          <w:bCs/>
        </w:rPr>
        <w:t>Appearance in connection with appeal, rehearing etc.</w:t>
      </w:r>
      <w:r>
        <w:tab/>
      </w:r>
      <w:r>
        <w:fldChar w:fldCharType="begin"/>
      </w:r>
      <w:r>
        <w:instrText xml:space="preserve"> PAGEREF _Toc106980735 \h </w:instrText>
      </w:r>
      <w:r>
        <w:fldChar w:fldCharType="separate"/>
      </w:r>
      <w:r>
        <w:t>97</w:t>
      </w:r>
      <w:r>
        <w:fldChar w:fldCharType="end"/>
      </w:r>
    </w:p>
    <w:p>
      <w:pPr>
        <w:pStyle w:val="TOC8"/>
        <w:rPr>
          <w:rFonts w:asciiTheme="minorHAnsi" w:eastAsiaTheme="minorEastAsia" w:hAnsiTheme="minorHAnsi" w:cstheme="minorBidi"/>
          <w:szCs w:val="22"/>
        </w:rPr>
      </w:pPr>
      <w:r>
        <w:rPr>
          <w:bCs/>
        </w:rPr>
        <w:t>5</w:t>
      </w:r>
      <w:r>
        <w:t xml:space="preserve">. </w:t>
      </w:r>
      <w:r>
        <w:tab/>
      </w:r>
      <w:r>
        <w:rPr>
          <w:bCs/>
        </w:rPr>
        <w:t>Appearance prescribed by regulation</w:t>
      </w:r>
      <w:r>
        <w:tab/>
      </w:r>
      <w:r>
        <w:fldChar w:fldCharType="begin"/>
      </w:r>
      <w:r>
        <w:instrText xml:space="preserve"> PAGEREF _Toc106980736 \h </w:instrText>
      </w:r>
      <w:r>
        <w:fldChar w:fldCharType="separate"/>
      </w:r>
      <w:r>
        <w:t>98</w:t>
      </w:r>
      <w:r>
        <w:fldChar w:fldCharType="end"/>
      </w:r>
    </w:p>
    <w:p>
      <w:pPr>
        <w:pStyle w:val="TOC8"/>
        <w:rPr>
          <w:rFonts w:asciiTheme="minorHAnsi" w:eastAsiaTheme="minorEastAsia" w:hAnsiTheme="minorHAnsi" w:cstheme="minorBidi"/>
          <w:szCs w:val="22"/>
        </w:rPr>
      </w:pPr>
      <w:r>
        <w:rPr>
          <w:bCs/>
        </w:rPr>
        <w:t>6</w:t>
      </w:r>
      <w:r>
        <w:t xml:space="preserve">. </w:t>
      </w:r>
      <w:r>
        <w:tab/>
      </w:r>
      <w:r>
        <w:rPr>
          <w:bCs/>
        </w:rPr>
        <w:t xml:space="preserve">Appearances not otherwise </w:t>
      </w:r>
      <w:r>
        <w:rPr>
          <w:snapToGrid w:val="0"/>
        </w:rPr>
        <w:t>provided</w:t>
      </w:r>
      <w:r>
        <w:rPr>
          <w:bCs/>
        </w:rPr>
        <w:t xml:space="preserve"> for</w:t>
      </w:r>
      <w:r>
        <w:tab/>
      </w:r>
      <w:r>
        <w:fldChar w:fldCharType="begin"/>
      </w:r>
      <w:r>
        <w:instrText xml:space="preserve"> PAGEREF _Toc106980737 \h </w:instrText>
      </w:r>
      <w:r>
        <w:fldChar w:fldCharType="separate"/>
      </w:r>
      <w:r>
        <w:t>98</w:t>
      </w:r>
      <w:r>
        <w:fldChar w:fldCharType="end"/>
      </w:r>
    </w:p>
    <w:p>
      <w:pPr>
        <w:pStyle w:val="TOC8"/>
        <w:rPr>
          <w:rFonts w:asciiTheme="minorHAnsi" w:eastAsiaTheme="minorEastAsia" w:hAnsiTheme="minorHAnsi" w:cstheme="minorBidi"/>
          <w:szCs w:val="22"/>
        </w:rPr>
      </w:pPr>
      <w:r>
        <w:t>7.</w:t>
      </w:r>
      <w:r>
        <w:tab/>
        <w:t>Term used: proceedings for an offence</w:t>
      </w:r>
      <w:r>
        <w:tab/>
      </w:r>
      <w:r>
        <w:fldChar w:fldCharType="begin"/>
      </w:r>
      <w:r>
        <w:instrText xml:space="preserve"> PAGEREF _Toc106980738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B</w:t>
      </w:r>
      <w:r>
        <w:rPr>
          <w:b w:val="0"/>
        </w:rPr>
        <w:t> — </w:t>
      </w:r>
      <w:r>
        <w:t>Cessation of powers relating to bail</w:t>
      </w:r>
    </w:p>
    <w:p>
      <w:pPr>
        <w:pStyle w:val="TOC8"/>
        <w:rPr>
          <w:rFonts w:asciiTheme="minorHAnsi" w:eastAsiaTheme="minorEastAsia" w:hAnsiTheme="minorHAnsi" w:cstheme="minorBidi"/>
          <w:szCs w:val="22"/>
        </w:rPr>
      </w:pPr>
      <w:r>
        <w:t>1</w:t>
      </w:r>
      <w:r>
        <w:rPr>
          <w:snapToGrid w:val="0"/>
        </w:rPr>
        <w:t>.</w:t>
      </w:r>
      <w:r>
        <w:rPr>
          <w:snapToGrid w:val="0"/>
        </w:rPr>
        <w:tab/>
        <w:t>Upon decision by judge, power of other officers ceases</w:t>
      </w:r>
      <w:r>
        <w:tab/>
      </w:r>
      <w:r>
        <w:fldChar w:fldCharType="begin"/>
      </w:r>
      <w:r>
        <w:instrText xml:space="preserve"> PAGEREF _Toc106980740 \h </w:instrText>
      </w:r>
      <w:r>
        <w:fldChar w:fldCharType="separate"/>
      </w:r>
      <w:r>
        <w:t>99</w:t>
      </w:r>
      <w:r>
        <w:fldChar w:fldCharType="end"/>
      </w:r>
    </w:p>
    <w:p>
      <w:pPr>
        <w:pStyle w:val="TOC8"/>
        <w:rPr>
          <w:rFonts w:asciiTheme="minorHAnsi" w:eastAsiaTheme="minorEastAsia" w:hAnsiTheme="minorHAnsi" w:cstheme="minorBidi"/>
          <w:szCs w:val="22"/>
        </w:rPr>
      </w:pPr>
      <w:r>
        <w:t>1A</w:t>
      </w:r>
      <w:r>
        <w:rPr>
          <w:snapToGrid w:val="0"/>
        </w:rPr>
        <w:t>.</w:t>
      </w:r>
      <w:r>
        <w:rPr>
          <w:snapToGrid w:val="0"/>
        </w:rPr>
        <w:tab/>
        <w:t>Upon decision by Court of Appeal, other powers cease</w:t>
      </w:r>
      <w:r>
        <w:tab/>
      </w:r>
      <w:r>
        <w:fldChar w:fldCharType="begin"/>
      </w:r>
      <w:r>
        <w:instrText xml:space="preserve"> PAGEREF _Toc106980741 \h </w:instrText>
      </w:r>
      <w:r>
        <w:fldChar w:fldCharType="separate"/>
      </w:r>
      <w:r>
        <w:t>99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Upon decision by judicial officer, his power and that of his peers ceases</w:t>
      </w:r>
      <w:r>
        <w:tab/>
      </w:r>
      <w:r>
        <w:fldChar w:fldCharType="begin"/>
      </w:r>
      <w:r>
        <w:instrText xml:space="preserve"> PAGEREF _Toc106980742 \h </w:instrText>
      </w:r>
      <w:r>
        <w:fldChar w:fldCharType="separate"/>
      </w:r>
      <w:r>
        <w:t>99</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Upon refusal of bail for initial appearance, certain powers cease</w:t>
      </w:r>
      <w:r>
        <w:tab/>
      </w:r>
      <w:r>
        <w:fldChar w:fldCharType="begin"/>
      </w:r>
      <w:r>
        <w:instrText xml:space="preserve"> PAGEREF _Toc106980743 \h </w:instrText>
      </w:r>
      <w:r>
        <w:fldChar w:fldCharType="separate"/>
      </w:r>
      <w:r>
        <w:t>100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Judicial officer’s powers if accused proves new facts or changed circumstances</w:t>
      </w:r>
      <w:r>
        <w:tab/>
      </w:r>
      <w:r>
        <w:fldChar w:fldCharType="begin"/>
      </w:r>
      <w:r>
        <w:instrText xml:space="preserve"> PAGEREF _Toc106980744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Part C — Manner in which jurisdiction to be exercised</w:t>
      </w:r>
    </w:p>
    <w:p>
      <w:pPr>
        <w:pStyle w:val="TOC8"/>
        <w:rPr>
          <w:rFonts w:asciiTheme="minorHAnsi" w:eastAsiaTheme="minorEastAsia" w:hAnsiTheme="minorHAnsi" w:cstheme="minorBidi"/>
          <w:szCs w:val="22"/>
        </w:rPr>
      </w:pPr>
      <w:r>
        <w:t>1</w:t>
      </w:r>
      <w:r>
        <w:rPr>
          <w:snapToGrid w:val="0"/>
        </w:rPr>
        <w:t>.</w:t>
      </w:r>
      <w:r>
        <w:rPr>
          <w:snapToGrid w:val="0"/>
        </w:rPr>
        <w:tab/>
        <w:t>Bail before conviction at discretion of court or judicial officer except for child</w:t>
      </w:r>
      <w:r>
        <w:tab/>
      </w:r>
      <w:r>
        <w:fldChar w:fldCharType="begin"/>
      </w:r>
      <w:r>
        <w:instrText xml:space="preserve"> PAGEREF _Toc106980746 \h </w:instrText>
      </w:r>
      <w:r>
        <w:fldChar w:fldCharType="separate"/>
      </w:r>
      <w:r>
        <w:t>101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Child to have qualified right to bail</w:t>
      </w:r>
      <w:r>
        <w:tab/>
      </w:r>
      <w:r>
        <w:fldChar w:fldCharType="begin"/>
      </w:r>
      <w:r>
        <w:instrText xml:space="preserve"> PAGEREF _Toc106980747 \h </w:instrText>
      </w:r>
      <w:r>
        <w:fldChar w:fldCharType="separate"/>
      </w:r>
      <w:r>
        <w:t>102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Matters relevant to cl. 1(a)</w:t>
      </w:r>
      <w:r>
        <w:tab/>
      </w:r>
      <w:r>
        <w:fldChar w:fldCharType="begin"/>
      </w:r>
      <w:r>
        <w:instrText xml:space="preserve"> PAGEREF _Toc106980748 \h </w:instrText>
      </w:r>
      <w:r>
        <w:fldChar w:fldCharType="separate"/>
      </w:r>
      <w:r>
        <w:t>104</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Bail for accused charged with serious offence committed while on bail or early release for another serious offence</w:t>
      </w:r>
      <w:r>
        <w:tab/>
      </w:r>
      <w:r>
        <w:fldChar w:fldCharType="begin"/>
      </w:r>
      <w:r>
        <w:instrText xml:space="preserve"> PAGEREF _Toc106980749 \h </w:instrText>
      </w:r>
      <w:r>
        <w:fldChar w:fldCharType="separate"/>
      </w:r>
      <w:r>
        <w:t>104</w:t>
      </w:r>
      <w:r>
        <w:fldChar w:fldCharType="end"/>
      </w:r>
    </w:p>
    <w:p>
      <w:pPr>
        <w:pStyle w:val="TOC8"/>
        <w:rPr>
          <w:rFonts w:asciiTheme="minorHAnsi" w:eastAsiaTheme="minorEastAsia" w:hAnsiTheme="minorHAnsi" w:cstheme="minorBidi"/>
          <w:szCs w:val="22"/>
        </w:rPr>
      </w:pPr>
      <w:r>
        <w:t>3B.</w:t>
      </w:r>
      <w:r>
        <w:tab/>
        <w:t>Exceptional reasons under cl. 3A(1), determining</w:t>
      </w:r>
      <w:r>
        <w:tab/>
      </w:r>
      <w:r>
        <w:fldChar w:fldCharType="begin"/>
      </w:r>
      <w:r>
        <w:instrText xml:space="preserve"> PAGEREF _Toc106980750 \h </w:instrText>
      </w:r>
      <w:r>
        <w:fldChar w:fldCharType="separate"/>
      </w:r>
      <w:r>
        <w:t>105</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Bail in murder cases</w:t>
      </w:r>
      <w:r>
        <w:tab/>
      </w:r>
      <w:r>
        <w:fldChar w:fldCharType="begin"/>
      </w:r>
      <w:r>
        <w:instrText xml:space="preserve"> PAGEREF _Toc106980751 \h </w:instrText>
      </w:r>
      <w:r>
        <w:fldChar w:fldCharType="separate"/>
      </w:r>
      <w:r>
        <w:t>107</w:t>
      </w:r>
      <w:r>
        <w:fldChar w:fldCharType="end"/>
      </w:r>
    </w:p>
    <w:p>
      <w:pPr>
        <w:pStyle w:val="TOC8"/>
        <w:rPr>
          <w:rFonts w:asciiTheme="minorHAnsi" w:eastAsiaTheme="minorEastAsia" w:hAnsiTheme="minorHAnsi" w:cstheme="minorBidi"/>
          <w:szCs w:val="22"/>
        </w:rPr>
      </w:pPr>
      <w:r>
        <w:t>3D.</w:t>
      </w:r>
      <w:r>
        <w:tab/>
        <w:t xml:space="preserve">Bail in cases under </w:t>
      </w:r>
      <w:r>
        <w:rPr>
          <w:i/>
        </w:rPr>
        <w:t>High Risk Serious Offenders Act 2020</w:t>
      </w:r>
      <w:r>
        <w:t xml:space="preserve"> section 80(1)</w:t>
      </w:r>
      <w:r>
        <w:tab/>
      </w:r>
      <w:r>
        <w:fldChar w:fldCharType="begin"/>
      </w:r>
      <w:r>
        <w:instrText xml:space="preserve"> PAGEREF _Toc106980752 \h </w:instrText>
      </w:r>
      <w:r>
        <w:fldChar w:fldCharType="separate"/>
      </w:r>
      <w:r>
        <w:t>108</w:t>
      </w:r>
      <w:r>
        <w:fldChar w:fldCharType="end"/>
      </w:r>
    </w:p>
    <w:p>
      <w:pPr>
        <w:pStyle w:val="TOC8"/>
        <w:rPr>
          <w:rFonts w:asciiTheme="minorHAnsi" w:eastAsiaTheme="minorEastAsia" w:hAnsiTheme="minorHAnsi" w:cstheme="minorBidi"/>
          <w:szCs w:val="22"/>
        </w:rPr>
      </w:pPr>
      <w:r>
        <w:t>3E.</w:t>
      </w:r>
      <w:r>
        <w:tab/>
        <w:t>Bail in cases of person linked to terrorism</w:t>
      </w:r>
      <w:r>
        <w:tab/>
      </w:r>
      <w:r>
        <w:fldChar w:fldCharType="begin"/>
      </w:r>
      <w:r>
        <w:instrText xml:space="preserve"> PAGEREF _Toc106980753 \h </w:instrText>
      </w:r>
      <w:r>
        <w:fldChar w:fldCharType="separate"/>
      </w:r>
      <w:r>
        <w:t>109</w:t>
      </w:r>
      <w:r>
        <w:fldChar w:fldCharType="end"/>
      </w:r>
    </w:p>
    <w:p>
      <w:pPr>
        <w:pStyle w:val="TOC8"/>
        <w:rPr>
          <w:rFonts w:asciiTheme="minorHAnsi" w:eastAsiaTheme="minorEastAsia" w:hAnsiTheme="minorHAnsi" w:cstheme="minorBidi"/>
          <w:szCs w:val="22"/>
        </w:rPr>
      </w:pPr>
      <w:r>
        <w:t>3F.</w:t>
      </w:r>
      <w:r>
        <w:tab/>
        <w:t>Bail in cases of family violence offence involving serial family violence offender</w:t>
      </w:r>
      <w:r>
        <w:tab/>
      </w:r>
      <w:r>
        <w:fldChar w:fldCharType="begin"/>
      </w:r>
      <w:r>
        <w:instrText xml:space="preserve"> PAGEREF _Toc106980754 \h </w:instrText>
      </w:r>
      <w:r>
        <w:fldChar w:fldCharType="separate"/>
      </w:r>
      <w:r>
        <w:t>111</w:t>
      </w:r>
      <w:r>
        <w:fldChar w:fldCharType="end"/>
      </w:r>
    </w:p>
    <w:p>
      <w:pPr>
        <w:pStyle w:val="TOC8"/>
        <w:rPr>
          <w:rFonts w:asciiTheme="minorHAnsi" w:eastAsiaTheme="minorEastAsia" w:hAnsiTheme="minorHAnsi" w:cstheme="minorBidi"/>
          <w:szCs w:val="22"/>
        </w:rPr>
      </w:pPr>
      <w:r>
        <w:t>4.</w:t>
      </w:r>
      <w:r>
        <w:tab/>
        <w:t>Bail after conviction for accused awaiting sentence</w:t>
      </w:r>
      <w:r>
        <w:tab/>
      </w:r>
      <w:r>
        <w:fldChar w:fldCharType="begin"/>
      </w:r>
      <w:r>
        <w:instrText xml:space="preserve"> PAGEREF _Toc106980755 \h </w:instrText>
      </w:r>
      <w:r>
        <w:fldChar w:fldCharType="separate"/>
      </w:r>
      <w:r>
        <w:t>112</w:t>
      </w:r>
      <w:r>
        <w:fldChar w:fldCharType="end"/>
      </w:r>
    </w:p>
    <w:p>
      <w:pPr>
        <w:pStyle w:val="TOC8"/>
        <w:rPr>
          <w:rFonts w:asciiTheme="minorHAnsi" w:eastAsiaTheme="minorEastAsia" w:hAnsiTheme="minorHAnsi" w:cstheme="minorBidi"/>
          <w:szCs w:val="22"/>
        </w:rPr>
      </w:pPr>
      <w:r>
        <w:t>4A.</w:t>
      </w:r>
      <w:r>
        <w:tab/>
        <w:t>Bail after conviction for accused awaiting disposal of appeal</w:t>
      </w:r>
      <w:r>
        <w:tab/>
      </w:r>
      <w:r>
        <w:fldChar w:fldCharType="begin"/>
      </w:r>
      <w:r>
        <w:instrText xml:space="preserve"> PAGEREF _Toc106980756 \h </w:instrText>
      </w:r>
      <w:r>
        <w:fldChar w:fldCharType="separate"/>
      </w:r>
      <w:r>
        <w:t>112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Exception to cl. 4A for bail in appeal under </w:t>
      </w:r>
      <w:r>
        <w:rPr>
          <w:i/>
        </w:rPr>
        <w:t>Criminal Appeals Act 2004</w:t>
      </w:r>
      <w:r>
        <w:t xml:space="preserve"> Part 2</w:t>
      </w:r>
      <w:r>
        <w:tab/>
      </w:r>
      <w:r>
        <w:fldChar w:fldCharType="begin"/>
      </w:r>
      <w:r>
        <w:instrText xml:space="preserve"> PAGEREF _Toc106980757 \h </w:instrText>
      </w:r>
      <w:r>
        <w:fldChar w:fldCharType="separate"/>
      </w:r>
      <w:r>
        <w:t>113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Bail of people on community or similar orders</w:t>
      </w:r>
      <w:r>
        <w:tab/>
      </w:r>
      <w:r>
        <w:fldChar w:fldCharType="begin"/>
      </w:r>
      <w:r>
        <w:instrText xml:space="preserve"> PAGEREF _Toc106980758 \h </w:instrText>
      </w:r>
      <w:r>
        <w:fldChar w:fldCharType="separate"/>
      </w:r>
      <w:r>
        <w:t>113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Bail for initial appearance to be for not more than 30 days</w:t>
      </w:r>
      <w:r>
        <w:tab/>
      </w:r>
      <w:r>
        <w:fldChar w:fldCharType="begin"/>
      </w:r>
      <w:r>
        <w:instrText xml:space="preserve"> PAGEREF _Toc106980759 \h </w:instrText>
      </w:r>
      <w:r>
        <w:fldChar w:fldCharType="separate"/>
      </w:r>
      <w:r>
        <w:t>114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Bail on adjournment in court of summary jurisdiction to be for not more than 30 days except by consent</w:t>
      </w:r>
      <w:r>
        <w:tab/>
      </w:r>
      <w:r>
        <w:fldChar w:fldCharType="begin"/>
      </w:r>
      <w:r>
        <w:instrText xml:space="preserve"> PAGEREF _Toc106980760 \h </w:instrText>
      </w:r>
      <w:r>
        <w:fldChar w:fldCharType="separate"/>
      </w:r>
      <w:r>
        <w:t>114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Calculating periods for cl. 7 and 8</w:t>
      </w:r>
      <w:r>
        <w:tab/>
      </w:r>
      <w:r>
        <w:fldChar w:fldCharType="begin"/>
      </w:r>
      <w:r>
        <w:instrText xml:space="preserve"> PAGEREF _Toc106980761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D — Conditions which may be imposed on a grant of bail</w:t>
      </w:r>
    </w:p>
    <w:p>
      <w:pPr>
        <w:pStyle w:val="TOC8"/>
        <w:rPr>
          <w:rFonts w:asciiTheme="minorHAnsi" w:eastAsiaTheme="minorEastAsia" w:hAnsiTheme="minorHAnsi" w:cstheme="minorBidi"/>
          <w:szCs w:val="22"/>
        </w:rPr>
      </w:pPr>
      <w:r>
        <w:t>1</w:t>
      </w:r>
      <w:r>
        <w:rPr>
          <w:snapToGrid w:val="0"/>
        </w:rPr>
        <w:t>.</w:t>
      </w:r>
      <w:r>
        <w:rPr>
          <w:snapToGrid w:val="0"/>
        </w:rPr>
        <w:tab/>
        <w:t>Conditions as to forfeiture, sureties, security etc.</w:t>
      </w:r>
      <w:r>
        <w:tab/>
      </w:r>
      <w:r>
        <w:fldChar w:fldCharType="begin"/>
      </w:r>
      <w:r>
        <w:instrText xml:space="preserve"> PAGEREF _Toc106980763 \h </w:instrText>
      </w:r>
      <w:r>
        <w:fldChar w:fldCharType="separate"/>
      </w:r>
      <w:r>
        <w:t>114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Other conditions</w:t>
      </w:r>
      <w:r>
        <w:tab/>
      </w:r>
      <w:r>
        <w:fldChar w:fldCharType="begin"/>
      </w:r>
      <w:r>
        <w:instrText xml:space="preserve"> PAGEREF _Toc106980764 \h </w:instrText>
      </w:r>
      <w:r>
        <w:fldChar w:fldCharType="separate"/>
      </w:r>
      <w:r>
        <w:t>116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Home detention condition</w:t>
      </w:r>
      <w:r>
        <w:tab/>
      </w:r>
      <w:r>
        <w:fldChar w:fldCharType="begin"/>
      </w:r>
      <w:r>
        <w:instrText xml:space="preserve"> PAGEREF _Toc106980765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Schedule 2 — Serious offences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_Toc106980768 \h </w:instrText>
      </w:r>
      <w:r>
        <w:fldChar w:fldCharType="separate"/>
      </w:r>
      <w:r>
        <w:t>127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_Toc106980769 \h </w:instrText>
      </w:r>
      <w:r>
        <w:fldChar w:fldCharType="separate"/>
      </w:r>
      <w:r>
        <w:t>132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_Toc106980770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Bail Act 1982</w:t>
      </w:r>
    </w:p>
    <w:p>
      <w:pPr>
        <w:pStyle w:val="LongTitle"/>
      </w:pPr>
      <w:r>
        <w:t xml:space="preserve">An Act to make better provision for bail in criminal proceedings. </w:t>
      </w:r>
    </w:p>
    <w:p>
      <w:pPr>
        <w:pStyle w:val="Heading2"/>
      </w:pPr>
      <w:bookmarkStart w:id="3" w:name="_Toc106978649"/>
      <w:bookmarkStart w:id="4" w:name="_Toc106980618"/>
      <w:r>
        <w:rPr>
          <w:rStyle w:val="CharPartNo"/>
        </w:rPr>
        <w:lastRenderedPageBreak/>
        <w:t>Part I</w:t>
      </w:r>
      <w:r>
        <w:rPr>
          <w:rStyle w:val="CharDivNo"/>
        </w:rPr>
        <w:t> </w:t>
      </w:r>
      <w:r>
        <w:t>—</w:t>
      </w:r>
      <w:r>
        <w:rPr>
          <w:rStyle w:val="CharDivText"/>
        </w:rPr>
        <w:t> </w:t>
      </w:r>
      <w:r>
        <w:rPr>
          <w:rStyle w:val="CharPartText"/>
        </w:rPr>
        <w:t>Preliminary</w:t>
      </w:r>
      <w:bookmarkEnd w:id="3"/>
      <w:bookmarkEnd w:id="4"/>
      <w:r>
        <w:rPr>
          <w:rStyle w:val="CharPartText"/>
        </w:rPr>
        <w:t xml:space="preserve"> </w:t>
      </w:r>
    </w:p>
    <w:p>
      <w:pPr>
        <w:pStyle w:val="Heading5"/>
        <w:rPr>
          <w:snapToGrid w:val="0"/>
        </w:rPr>
      </w:pPr>
      <w:bookmarkStart w:id="5" w:name="_Toc106980619"/>
      <w:r>
        <w:rPr>
          <w:rStyle w:val="CharSectno"/>
        </w:rPr>
        <w:t>1</w:t>
      </w:r>
      <w:r>
        <w:rPr>
          <w:snapToGrid w:val="0"/>
        </w:rPr>
        <w:t>.</w:t>
      </w:r>
      <w:r>
        <w:rPr>
          <w:snapToGrid w:val="0"/>
        </w:rPr>
        <w:tab/>
        <w:t>Short title</w:t>
      </w:r>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w:t>
      </w:r>
    </w:p>
    <w:p>
      <w:pPr>
        <w:pStyle w:val="Heading5"/>
        <w:rPr>
          <w:snapToGrid w:val="0"/>
        </w:rPr>
      </w:pPr>
      <w:bookmarkStart w:id="6" w:name="_Toc106980620"/>
      <w:r>
        <w:rPr>
          <w:rStyle w:val="CharSectno"/>
        </w:rPr>
        <w:t>2</w:t>
      </w:r>
      <w:r>
        <w:rPr>
          <w:snapToGrid w:val="0"/>
        </w:rPr>
        <w:t>.</w:t>
      </w:r>
      <w:r>
        <w:rPr>
          <w:snapToGrid w:val="0"/>
        </w:rPr>
        <w:tab/>
        <w:t>Commencement</w:t>
      </w:r>
      <w:bookmarkEnd w:id="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p>
    <w:p>
      <w:pPr>
        <w:pStyle w:val="Heading5"/>
        <w:rPr>
          <w:snapToGrid w:val="0"/>
        </w:rPr>
      </w:pPr>
      <w:bookmarkStart w:id="7" w:name="_Toc106980621"/>
      <w:r>
        <w:rPr>
          <w:rStyle w:val="CharSectno"/>
        </w:rPr>
        <w:t>3</w:t>
      </w:r>
      <w:r>
        <w:rPr>
          <w:snapToGrid w:val="0"/>
        </w:rPr>
        <w:t>.</w:t>
      </w:r>
      <w:r>
        <w:rPr>
          <w:snapToGrid w:val="0"/>
        </w:rPr>
        <w:tab/>
        <w:t>Terms used</w:t>
      </w:r>
      <w:bookmarkEnd w:id="7"/>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pPr>
      <w:r>
        <w:tab/>
        <w:t>(i)</w:t>
      </w:r>
      <w:r>
        <w:tab/>
        <w:t xml:space="preserve">under section 15 only a judge of the Supreme Court or of the Children’s Court has power to grant bail; or </w:t>
      </w:r>
    </w:p>
    <w:p>
      <w:pPr>
        <w:pStyle w:val="Defsubpara"/>
      </w:pPr>
      <w:r>
        <w:tab/>
        <w:t>(ii)</w:t>
      </w:r>
      <w: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lastRenderedPageBreak/>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tab/>
      </w:r>
      <w:r>
        <w:rPr>
          <w:rStyle w:val="CharDefText"/>
        </w:rPr>
        <w:t>Commonwealth Criminal Code</w:t>
      </w:r>
      <w:r>
        <w:t xml:space="preserve"> means the Criminal Code set out in the Schedule to the </w:t>
      </w:r>
      <w:r>
        <w:rPr>
          <w:i/>
        </w:rPr>
        <w:t>Criminal Code Act 1995</w:t>
      </w:r>
      <w:r>
        <w:t xml:space="preserve"> (Commonwealth);</w:t>
      </w:r>
    </w:p>
    <w:p>
      <w:pPr>
        <w:pStyle w:val="Defstart"/>
      </w:pPr>
      <w:r>
        <w:rPr>
          <w:b/>
        </w:rPr>
        <w:lastRenderedPageBreak/>
        <w:tab/>
      </w:r>
      <w:r>
        <w:rPr>
          <w:rStyle w:val="CharDefText"/>
        </w:rPr>
        <w:t>community corrections officer</w:t>
      </w:r>
      <w:r>
        <w:t xml:space="preserve"> has the same meaning as in the</w:t>
      </w:r>
      <w:r>
        <w:rPr>
          <w:i/>
        </w:rPr>
        <w:t xml:space="preserve"> Sentence Administration Act 2003</w:t>
      </w:r>
      <w:r>
        <w:t>;</w:t>
      </w:r>
    </w:p>
    <w:p>
      <w:pPr>
        <w:pStyle w:val="Defstart"/>
      </w:pPr>
      <w:r>
        <w:tab/>
      </w:r>
      <w:r>
        <w:rPr>
          <w:rStyle w:val="CharDefText"/>
        </w:rPr>
        <w:t>confirmed control order</w:t>
      </w:r>
      <w:r>
        <w:t xml:space="preserve"> has the meaning given in the Commonwealth Criminal Code section 100.1(1); </w:t>
      </w:r>
    </w:p>
    <w:p>
      <w:pPr>
        <w:pStyle w:val="Defstart"/>
        <w:keepNext/>
      </w:pPr>
      <w:r>
        <w:rPr>
          <w:b/>
        </w:rPr>
        <w:tab/>
      </w:r>
      <w:r>
        <w:rPr>
          <w:rStyle w:val="CharDefText"/>
        </w:rPr>
        <w:t>court</w:t>
      </w:r>
      <w:r>
        <w:t xml:space="preserve"> means each of the following — </w:t>
      </w:r>
    </w:p>
    <w:p>
      <w:pPr>
        <w:pStyle w:val="Defpara"/>
      </w:pPr>
      <w:r>
        <w:tab/>
        <w:t>(a)</w:t>
      </w:r>
      <w:r>
        <w:tab/>
        <w:t>the Magistrates Court;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1</w:t>
      </w:r>
      <w:r>
        <w:t xml:space="preserve"> or </w:t>
      </w:r>
      <w:r>
        <w:rPr>
          <w:i/>
        </w:rPr>
        <w:t>Sentence Administration Act 2003</w:t>
      </w:r>
      <w:r>
        <w:t>;</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Defstart"/>
      </w:pPr>
      <w:r>
        <w:lastRenderedPageBreak/>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tab/>
      </w:r>
      <w:r>
        <w:rPr>
          <w:rStyle w:val="CharDefText"/>
        </w:rPr>
        <w:t>interim control order</w:t>
      </w:r>
      <w:r>
        <w:t xml:space="preserve"> has the meaning given in the Commonwealth Criminal Code section 100.1(1);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tab/>
      </w:r>
      <w:r>
        <w:rPr>
          <w:rStyle w:val="CharDefText"/>
        </w:rPr>
        <w:t>person linked to terrorism</w:t>
      </w:r>
      <w:r>
        <w:t xml:space="preserve"> means a person who — </w:t>
      </w:r>
    </w:p>
    <w:p>
      <w:pPr>
        <w:pStyle w:val="Defpara"/>
      </w:pPr>
      <w:r>
        <w:tab/>
        <w:t>(a)</w:t>
      </w:r>
      <w:r>
        <w:tab/>
        <w:t>is charged with, or has been convicted of, a terrorism offence; or</w:t>
      </w:r>
    </w:p>
    <w:p>
      <w:pPr>
        <w:pStyle w:val="Defpara"/>
      </w:pPr>
      <w:r>
        <w:tab/>
        <w:t>(b)</w:t>
      </w:r>
      <w:r>
        <w:tab/>
        <w:t>is the subject of an interim control order or confirmed control order, or has been the subject of a confirmed control order within the last 10 years;</w:t>
      </w:r>
    </w:p>
    <w:p>
      <w:pPr>
        <w:pStyle w:val="Defstart"/>
      </w:pPr>
      <w:r>
        <w:rPr>
          <w:b/>
        </w:rPr>
        <w:tab/>
      </w:r>
      <w:r>
        <w:rPr>
          <w:rStyle w:val="CharDefText"/>
        </w:rPr>
        <w:t>prosecutor</w:t>
      </w:r>
      <w:r>
        <w:t xml:space="preserve"> includes — </w:t>
      </w:r>
    </w:p>
    <w:p>
      <w:pPr>
        <w:pStyle w:val="Defpara"/>
      </w:pPr>
      <w:r>
        <w:lastRenderedPageBreak/>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tab/>
      </w:r>
      <w:r>
        <w:rPr>
          <w:rStyle w:val="CharDefText"/>
        </w:rPr>
        <w:t>serial family violence offender</w:t>
      </w:r>
      <w:r>
        <w:t xml:space="preserve"> means a person declared to be a serial family violence offender under the </w:t>
      </w:r>
      <w:r>
        <w:rPr>
          <w:i/>
        </w:rPr>
        <w:t>Sentencing Act 1995</w:t>
      </w:r>
      <w:r>
        <w:t xml:space="preserve"> section 124E;</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tab/>
      </w:r>
      <w:r>
        <w:rPr>
          <w:rStyle w:val="CharDefText"/>
        </w:rPr>
        <w:t>terrorism offence</w:t>
      </w:r>
      <w:r>
        <w:rPr>
          <w:b/>
        </w:rPr>
        <w:t xml:space="preserve"> </w:t>
      </w:r>
      <w:r>
        <w:t xml:space="preserve">means — </w:t>
      </w:r>
    </w:p>
    <w:p>
      <w:pPr>
        <w:pStyle w:val="Defpara"/>
      </w:pPr>
      <w:r>
        <w:tab/>
        <w:t>(a)</w:t>
      </w:r>
      <w:r>
        <w:tab/>
        <w:t>an offence against the Commonwealth Criminal Code Division 72 Subdivision A; or</w:t>
      </w:r>
    </w:p>
    <w:p>
      <w:pPr>
        <w:pStyle w:val="Defpara"/>
      </w:pPr>
      <w:r>
        <w:tab/>
        <w:t>(b)</w:t>
      </w:r>
      <w:r>
        <w:tab/>
        <w:t>an offence against the Commonwealth Criminal Code Division 80 Subdivision B; or</w:t>
      </w:r>
    </w:p>
    <w:p>
      <w:pPr>
        <w:pStyle w:val="Defpara"/>
      </w:pPr>
      <w:r>
        <w:tab/>
        <w:t>(c)</w:t>
      </w:r>
      <w:r>
        <w:tab/>
        <w:t>an offence against the Commonwealth Criminal Code Part 5.3, except an offence against section 104.22, 104.27, 104.27A, 105.41 or 105.45; or</w:t>
      </w:r>
    </w:p>
    <w:p>
      <w:pPr>
        <w:pStyle w:val="Defpara"/>
      </w:pPr>
      <w:r>
        <w:tab/>
        <w:t>(d)</w:t>
      </w:r>
      <w:r>
        <w:tab/>
        <w:t>an offence against the Commonwealth Criminal Code Part 5.5; or</w:t>
      </w:r>
    </w:p>
    <w:p>
      <w:pPr>
        <w:pStyle w:val="Defpara"/>
      </w:pPr>
      <w:r>
        <w:lastRenderedPageBreak/>
        <w:tab/>
        <w:t>(e)</w:t>
      </w:r>
      <w:r>
        <w:tab/>
        <w:t xml:space="preserve">an offence against either of the following provisions of the </w:t>
      </w:r>
      <w:r>
        <w:rPr>
          <w:i/>
        </w:rPr>
        <w:t xml:space="preserve">Charter of the United Nations Act 1945 </w:t>
      </w:r>
      <w:r>
        <w:t xml:space="preserve">(Commonwealth) — </w:t>
      </w:r>
    </w:p>
    <w:p>
      <w:pPr>
        <w:pStyle w:val="Defsubpara"/>
      </w:pPr>
      <w:r>
        <w:tab/>
        <w:t>(i)</w:t>
      </w:r>
      <w:r>
        <w:tab/>
        <w:t>Part 4; or</w:t>
      </w:r>
    </w:p>
    <w:p>
      <w:pPr>
        <w:pStyle w:val="Defsubpara"/>
      </w:pPr>
      <w:r>
        <w:tab/>
        <w:t>(ii)</w:t>
      </w:r>
      <w:r>
        <w:tab/>
        <w:t xml:space="preserve">Part 5, to the extent that it relates to the </w:t>
      </w:r>
      <w:r>
        <w:rPr>
          <w:i/>
        </w:rPr>
        <w:t>Charter of the United Nations (Sanctions — Al</w:t>
      </w:r>
      <w:r>
        <w:rPr>
          <w:i/>
        </w:rPr>
        <w:noBreakHyphen/>
        <w:t>Qaida) Regulations 2008</w:t>
      </w:r>
      <w:r>
        <w:t xml:space="preserve"> (Commonwealth);</w:t>
      </w:r>
    </w:p>
    <w:p>
      <w:pPr>
        <w:pStyle w:val="Defpara"/>
      </w:pPr>
      <w:r>
        <w:tab/>
      </w:r>
      <w:r>
        <w:tab/>
        <w:t>or</w:t>
      </w:r>
    </w:p>
    <w:p>
      <w:pPr>
        <w:pStyle w:val="Defpara"/>
      </w:pPr>
      <w:r>
        <w:tab/>
        <w:t>(f)</w:t>
      </w:r>
      <w:r>
        <w:tab/>
        <w:t xml:space="preserve">an offence against the </w:t>
      </w:r>
      <w:r>
        <w:rPr>
          <w:i/>
        </w:rPr>
        <w:t xml:space="preserve">Crimes (Foreign Incursions and Recruitment) Act 1978 </w:t>
      </w:r>
      <w:r>
        <w:t>(Commonwealth) (repealed); or</w:t>
      </w:r>
    </w:p>
    <w:p>
      <w:pPr>
        <w:pStyle w:val="Defpara"/>
      </w:pPr>
      <w:r>
        <w:tab/>
        <w:t>(g)</w:t>
      </w:r>
      <w:r>
        <w:tab/>
        <w:t xml:space="preserve">an offence against the </w:t>
      </w:r>
      <w:r>
        <w:rPr>
          <w:i/>
        </w:rPr>
        <w:t xml:space="preserve">Crimes (Internationally Protected Persons) Act 1976 </w:t>
      </w:r>
      <w:r>
        <w:t>(Commonwealth) section 8; or</w:t>
      </w:r>
    </w:p>
    <w:p>
      <w:pPr>
        <w:pStyle w:val="Defpara"/>
      </w:pPr>
      <w:r>
        <w:tab/>
        <w:t>(h)</w:t>
      </w:r>
      <w:r>
        <w:tab/>
        <w:t>an offence under a written law or a law of the Commonwealth, another State, a Territory or another country, that substantially corresponds to an offence in paragraphs (a) to (e) and (g); or</w:t>
      </w:r>
    </w:p>
    <w:p>
      <w:pPr>
        <w:pStyle w:val="Defpara"/>
      </w:pPr>
      <w:r>
        <w:tab/>
        <w:t>(i)</w:t>
      </w:r>
      <w:r>
        <w:tab/>
        <w:t>an offence of attempting, inciting or conspiring to commit an offence referred to in paragraphs (a) to (h);</w:t>
      </w:r>
    </w:p>
    <w:p>
      <w:pPr>
        <w:pStyle w:val="Defstart"/>
      </w:pPr>
      <w:r>
        <w:tab/>
      </w:r>
      <w:r>
        <w:rPr>
          <w:rStyle w:val="CharDefText"/>
        </w:rPr>
        <w:t>terrorist act</w:t>
      </w:r>
      <w:r>
        <w:t xml:space="preserve"> has the meaning given in the </w:t>
      </w:r>
      <w:r>
        <w:rPr>
          <w:i/>
        </w:rPr>
        <w:t>Terrorism (Commonwealth Powers) Act 2002</w:t>
      </w:r>
      <w:r>
        <w:t xml:space="preserve"> section 3;</w:t>
      </w:r>
    </w:p>
    <w:p>
      <w:pPr>
        <w:pStyle w:val="Defstart"/>
        <w:keepLines/>
      </w:pPr>
      <w:r>
        <w:tab/>
      </w:r>
      <w:r>
        <w:rPr>
          <w:rStyle w:val="CharDefText"/>
        </w:rPr>
        <w:t>terrorist intelligence information</w:t>
      </w:r>
      <w:r>
        <w:t xml:space="preserve"> means information relating to an actual or suspected terrorist act (whether in this State or elsewhere)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w:t>
      </w:r>
      <w:r>
        <w:noBreakHyphen/>
        <w:t>gathering methodologies, investigative techniques or technologies or covert practices; or</w:t>
      </w:r>
    </w:p>
    <w:p>
      <w:pPr>
        <w:pStyle w:val="Defpara"/>
      </w:pPr>
      <w:r>
        <w:lastRenderedPageBreak/>
        <w:tab/>
        <w:t>(f)</w:t>
      </w:r>
      <w:r>
        <w:tab/>
        <w:t xml:space="preserve">to enable the discovery of the existence or identity of a confidential source of information relevant to law enforcement; </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pPr>
      <w:r>
        <w:tab/>
        <w:t>(1A)</w:t>
      </w:r>
      <w:r>
        <w:tab/>
        <w:t xml:space="preserve">For the purposes of the definition of </w:t>
      </w:r>
      <w:r>
        <w:rPr>
          <w:b/>
          <w:i/>
        </w:rPr>
        <w:t>designated family relationship</w:t>
      </w:r>
      <w:r>
        <w:t xml:space="preserve"> in subsection (1), an </w:t>
      </w:r>
      <w:r>
        <w:rPr>
          <w:rStyle w:val="CharDefText"/>
        </w:rPr>
        <w:t>intimate personal relationship</w:t>
      </w:r>
      <w:r>
        <w:t xml:space="preserve"> 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lastRenderedPageBreak/>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 xml:space="preserve">the first appearance in court after the arrest is to be taken, for the purposes of sections 5(1) and 8(1) and </w:t>
      </w:r>
      <w:r>
        <w:rPr>
          <w:snapToGrid w:val="0"/>
        </w:rPr>
        <w:lastRenderedPageBreak/>
        <w:t>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keepNext/>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ind w:left="890" w:hanging="890"/>
      </w:pPr>
      <w:r>
        <w:tab/>
        <w:t xml:space="preserve">[Section 3 amended: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Sch. 2 cl. 3(2); No. 45 of 2004 s. 28(4); No. 59 of 2004 s. 141; No. 84 of 2004 s. 11, 82 and 83(2); No. 65 of 2006 s. 51 and 53; No. 6 of 2008 s. 4 and 24(2); No. 46 of 2011 s. 25; No. 20 of 2013 s. 22; No. 15 of 2019 s. 4; No. 13 of 2020 s. 22; No. 30 of 2020 s. 39.]</w:t>
      </w:r>
    </w:p>
    <w:p>
      <w:pPr>
        <w:pStyle w:val="Footnotesection"/>
      </w:pPr>
      <w:r>
        <w:tab/>
        <w:t>[Section 3. Modifications to be applied in order to give effect to Cross-border Justice Act 2008: section altered 1 Nov 2009. See endnote 1M; amended: No. 42 of 2009 s. 12.]</w:t>
      </w:r>
    </w:p>
    <w:p>
      <w:pPr>
        <w:pStyle w:val="Ednotesection"/>
      </w:pPr>
      <w:r>
        <w:t>[</w:t>
      </w:r>
      <w:r>
        <w:rPr>
          <w:b/>
          <w:bCs/>
        </w:rPr>
        <w:t>3A.</w:t>
      </w:r>
      <w:r>
        <w:tab/>
        <w:t>Deleted: No. 20 of 2013 s. 23.]</w:t>
      </w:r>
    </w:p>
    <w:p>
      <w:pPr>
        <w:pStyle w:val="Heading5"/>
        <w:rPr>
          <w:snapToGrid w:val="0"/>
        </w:rPr>
      </w:pPr>
      <w:bookmarkStart w:id="8" w:name="_Toc106980622"/>
      <w:r>
        <w:rPr>
          <w:rStyle w:val="CharSectno"/>
        </w:rPr>
        <w:t>4</w:t>
      </w:r>
      <w:r>
        <w:rPr>
          <w:snapToGrid w:val="0"/>
        </w:rPr>
        <w:t>.</w:t>
      </w:r>
      <w:r>
        <w:rPr>
          <w:snapToGrid w:val="0"/>
        </w:rPr>
        <w:tab/>
        <w:t>Application of this Act</w:t>
      </w:r>
      <w:bookmarkEnd w:id="8"/>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lastRenderedPageBreak/>
        <w:tab/>
        <w:t>(c)</w:t>
      </w:r>
      <w:r>
        <w:rPr>
          <w:snapToGrid w:val="0"/>
        </w:rPr>
        <w:tab/>
        <w:t>however any reference in that law to the granting of bail may be expressed; and</w:t>
      </w:r>
    </w:p>
    <w:p>
      <w:pPr>
        <w:pStyle w:val="Indenta"/>
        <w:keepNext/>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No. 84 of 2004 s. 82.]</w:t>
      </w:r>
    </w:p>
    <w:p>
      <w:pPr>
        <w:pStyle w:val="Ednotesection"/>
      </w:pPr>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9" w:name="_Toc106980623"/>
      <w:r>
        <w:rPr>
          <w:rStyle w:val="CharSectno"/>
        </w:rPr>
        <w:t>4AB</w:t>
      </w:r>
      <w:r>
        <w:t>.</w:t>
      </w:r>
      <w:r>
        <w:tab/>
      </w:r>
      <w:r>
        <w:rPr>
          <w:i/>
        </w:rPr>
        <w:t>Courts and Tribunals (Electronic Processes Facilitation) Act 2013</w:t>
      </w:r>
      <w:r>
        <w:t xml:space="preserve"> Part 2 applies</w:t>
      </w:r>
      <w:bookmarkEnd w:id="9"/>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4AB inserted: No. 20 of 2013 s. 24.]</w:t>
      </w:r>
    </w:p>
    <w:p>
      <w:pPr>
        <w:pStyle w:val="Heading5"/>
      </w:pPr>
      <w:bookmarkStart w:id="10" w:name="_Toc106980624"/>
      <w:r>
        <w:rPr>
          <w:rStyle w:val="CharSectno"/>
        </w:rPr>
        <w:t>4A</w:t>
      </w:r>
      <w:r>
        <w:t>.</w:t>
      </w:r>
      <w:r>
        <w:tab/>
        <w:t>Accused appearing on summons or court hearing notice, detention and bail of</w:t>
      </w:r>
      <w:bookmarkEnd w:id="10"/>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keepNext/>
      </w:pPr>
      <w:r>
        <w:lastRenderedPageBreak/>
        <w:tab/>
        <w:t>(3)</w:t>
      </w:r>
      <w:r>
        <w:tab/>
        <w:t>On any appearance in court by the accused a judicial officer to whom section 7(1) applies may revoke an order made under subsection (1).</w:t>
      </w:r>
    </w:p>
    <w:p>
      <w:pPr>
        <w:pStyle w:val="Footnotesection"/>
      </w:pPr>
      <w:r>
        <w:tab/>
        <w:t>[Section 4A inserted: No. 6 of 2008 s. 6(1).]</w:t>
      </w:r>
    </w:p>
    <w:p>
      <w:pPr>
        <w:pStyle w:val="Heading2"/>
      </w:pPr>
      <w:bookmarkStart w:id="11" w:name="_Toc106978656"/>
      <w:bookmarkStart w:id="12" w:name="_Toc106980625"/>
      <w:r>
        <w:rPr>
          <w:rStyle w:val="CharPartNo"/>
        </w:rPr>
        <w:lastRenderedPageBreak/>
        <w:t>Part II</w:t>
      </w:r>
      <w:r>
        <w:rPr>
          <w:rStyle w:val="CharDivNo"/>
        </w:rPr>
        <w:t> </w:t>
      </w:r>
      <w:r>
        <w:t>—</w:t>
      </w:r>
      <w:r>
        <w:rPr>
          <w:rStyle w:val="CharDivText"/>
        </w:rPr>
        <w:t> </w:t>
      </w:r>
      <w:r>
        <w:rPr>
          <w:rStyle w:val="CharPartText"/>
        </w:rPr>
        <w:t>Rights of accused in relation to bail</w:t>
      </w:r>
      <w:bookmarkEnd w:id="11"/>
      <w:bookmarkEnd w:id="12"/>
      <w:r>
        <w:rPr>
          <w:rStyle w:val="CharPartText"/>
        </w:rPr>
        <w:t xml:space="preserve"> </w:t>
      </w:r>
    </w:p>
    <w:p>
      <w:pPr>
        <w:pStyle w:val="Footnoteheading"/>
      </w:pPr>
      <w:r>
        <w:tab/>
        <w:t xml:space="preserve">[Heading amended: No. 84 of 2004 s. 82.] </w:t>
      </w:r>
    </w:p>
    <w:p>
      <w:pPr>
        <w:pStyle w:val="Heading5"/>
        <w:rPr>
          <w:snapToGrid w:val="0"/>
        </w:rPr>
      </w:pPr>
      <w:bookmarkStart w:id="13" w:name="_Toc106980626"/>
      <w:r>
        <w:rPr>
          <w:rStyle w:val="CharSectno"/>
        </w:rPr>
        <w:t>5</w:t>
      </w:r>
      <w:r>
        <w:rPr>
          <w:snapToGrid w:val="0"/>
        </w:rPr>
        <w:t>.</w:t>
      </w:r>
      <w:r>
        <w:rPr>
          <w:snapToGrid w:val="0"/>
        </w:rPr>
        <w:tab/>
        <w:t>Accused’s rights to have bail considered</w:t>
      </w:r>
      <w:bookmarkEnd w:id="13"/>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No. 74 of 1984 s. 4; No. 84 of 2004 s. 82; No. 6 of 2008 s. 7.] </w:t>
      </w:r>
    </w:p>
    <w:p>
      <w:pPr>
        <w:pStyle w:val="Heading5"/>
      </w:pPr>
      <w:bookmarkStart w:id="14" w:name="_Toc106980627"/>
      <w:r>
        <w:rPr>
          <w:rStyle w:val="CharSectno"/>
        </w:rPr>
        <w:t>6</w:t>
      </w:r>
      <w:r>
        <w:t>.</w:t>
      </w:r>
      <w:r>
        <w:tab/>
        <w:t>Arresting officer’s duty to consider bail</w:t>
      </w:r>
      <w:bookmarkEnd w:id="14"/>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Schedule 1 Part C clauses 3A, 3D and 3F.</w:t>
      </w:r>
    </w:p>
    <w:p>
      <w:pPr>
        <w:pStyle w:val="Subsection"/>
      </w:pPr>
      <w:r>
        <w:lastRenderedPageBreak/>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(10) or (11)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 xml:space="preserve">If section 16A applies, the arrester shall bring the accused or cause the accused to be brought before a court or judge referred </w:t>
      </w:r>
      <w:r>
        <w:lastRenderedPageBreak/>
        <w:t>to in section 16A(1), who shall consider the accused’s case for bail as soon as is practicable.</w:t>
      </w:r>
    </w:p>
    <w:p>
      <w:pPr>
        <w:pStyle w:val="Subsection"/>
      </w:pPr>
      <w:r>
        <w:tab/>
        <w:t>(11)</w:t>
      </w:r>
      <w:r>
        <w:tab/>
        <w:t>If section 16B applies, the arrester must bring the accused or cause the accused to be brought before a court constituted by a judicial officer other than a justice, who must consider the accused’s case for bail as soon as is practicable.</w:t>
      </w:r>
    </w:p>
    <w:p>
      <w:pPr>
        <w:pStyle w:val="Footnotesection"/>
        <w:ind w:left="890" w:hanging="890"/>
      </w:pPr>
      <w:r>
        <w:tab/>
        <w:t xml:space="preserve">[Section 6 inserted: No. 59 of 2006 s. 4(1); amended: No. 21 of 2017 s. 4; No. 15 of 2019 s. 5; No. 30 of 2020 s. 40.] </w:t>
      </w:r>
    </w:p>
    <w:p>
      <w:pPr>
        <w:pStyle w:val="Heading5"/>
        <w:spacing w:before="180"/>
      </w:pPr>
      <w:bookmarkStart w:id="15" w:name="_Toc106980628"/>
      <w:r>
        <w:rPr>
          <w:rStyle w:val="CharSectno"/>
        </w:rPr>
        <w:t>6A</w:t>
      </w:r>
      <w:r>
        <w:t>.</w:t>
      </w:r>
      <w:r>
        <w:tab/>
        <w:t>Officials considering bail may order release without bail</w:t>
      </w:r>
      <w:bookmarkEnd w:id="15"/>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Magistrates Court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 xml:space="preserve">Criminal Procedure </w:t>
      </w:r>
      <w:r>
        <w:rPr>
          <w:i/>
        </w:rPr>
        <w:lastRenderedPageBreak/>
        <w:t>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No. 59 of 2006 s. 5.] </w:t>
      </w:r>
    </w:p>
    <w:p>
      <w:pPr>
        <w:pStyle w:val="Heading5"/>
        <w:spacing w:before="160"/>
        <w:rPr>
          <w:snapToGrid w:val="0"/>
        </w:rPr>
      </w:pPr>
      <w:bookmarkStart w:id="16" w:name="_Toc106980629"/>
      <w:r>
        <w:rPr>
          <w:rStyle w:val="CharSectno"/>
        </w:rPr>
        <w:t>7</w:t>
      </w:r>
      <w:r>
        <w:rPr>
          <w:snapToGrid w:val="0"/>
        </w:rPr>
        <w:t>.</w:t>
      </w:r>
      <w:r>
        <w:rPr>
          <w:snapToGrid w:val="0"/>
        </w:rPr>
        <w:tab/>
        <w:t>Unconvicted accused, court to consider bail for</w:t>
      </w:r>
      <w:bookmarkEnd w:id="16"/>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00"/>
      </w:pPr>
      <w:r>
        <w:tab/>
        <w:t>[(2)</w:t>
      </w:r>
      <w:r>
        <w:noBreakHyphen/>
        <w:t>(4)</w:t>
      </w:r>
      <w:r>
        <w:tab/>
        <w:t>deleted]</w:t>
      </w:r>
    </w:p>
    <w:p>
      <w:pPr>
        <w:pStyle w:val="Subsection"/>
        <w:spacing w:before="100"/>
        <w:rPr>
          <w:snapToGrid w:val="0"/>
        </w:rPr>
      </w:pPr>
      <w:r>
        <w:rPr>
          <w:snapToGrid w:val="0"/>
        </w:rPr>
        <w:lastRenderedPageBreak/>
        <w:tab/>
        <w:t>(5)</w:t>
      </w:r>
      <w:r>
        <w:rPr>
          <w:snapToGrid w:val="0"/>
        </w:rPr>
        <w:tab/>
        <w:t xml:space="preserve">The operation of this section is subject to the exercise of the </w:t>
      </w:r>
      <w:r>
        <w:t xml:space="preserve">powers conferred by sections 7A and 9 </w:t>
      </w:r>
      <w:r>
        <w:rPr>
          <w:snapToGrid w:val="0"/>
        </w:rPr>
        <w:t xml:space="preserve">and to the provisions of sections 10, 12 and 16(2) and </w:t>
      </w:r>
      <w:r>
        <w:t>Schedule 1 Part C clauses 3A, 3D, 3E and 3F.</w:t>
      </w:r>
    </w:p>
    <w:p>
      <w:pPr>
        <w:pStyle w:val="Footnotesection"/>
        <w:keepLines w:val="0"/>
        <w:spacing w:before="100"/>
        <w:ind w:left="890" w:hanging="890"/>
      </w:pPr>
      <w:r>
        <w:tab/>
        <w:t xml:space="preserve">[Section 7 amended: No. 74 of 1984 s. 5; No. 49 of 1988 s. 80; No. 45 of 1993 s. 6; No. 84 of 2004 s. 82; No. 59 of 2006 s. 4(2); No. 6 of 2008 s. 8; No. 21 of 2017 s. 5; No. 15 of 2019 s. 6; No. 30 of 2020 s. 41.] </w:t>
      </w:r>
    </w:p>
    <w:p>
      <w:pPr>
        <w:pStyle w:val="Heading5"/>
      </w:pPr>
      <w:bookmarkStart w:id="17" w:name="_Toc106980630"/>
      <w:r>
        <w:rPr>
          <w:rStyle w:val="CharSectno"/>
        </w:rPr>
        <w:t>7A</w:t>
      </w:r>
      <w:r>
        <w:rPr>
          <w:snapToGrid w:val="0"/>
        </w:rPr>
        <w:t>.</w:t>
      </w:r>
      <w:r>
        <w:rPr>
          <w:snapToGrid w:val="0"/>
        </w:rPr>
        <w:tab/>
        <w:t>Bail may be dispensed with by court</w:t>
      </w:r>
      <w:bookmarkEnd w:id="17"/>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No. 6 of 2008 s. 9(1).]</w:t>
      </w:r>
    </w:p>
    <w:p>
      <w:pPr>
        <w:pStyle w:val="Heading5"/>
      </w:pPr>
      <w:bookmarkStart w:id="18" w:name="_Toc106980631"/>
      <w:r>
        <w:rPr>
          <w:rStyle w:val="CharSectno"/>
        </w:rPr>
        <w:t>7B</w:t>
      </w:r>
      <w:r>
        <w:rPr>
          <w:snapToGrid w:val="0"/>
        </w:rPr>
        <w:t>.</w:t>
      </w:r>
      <w:r>
        <w:rPr>
          <w:snapToGrid w:val="0"/>
        </w:rPr>
        <w:tab/>
        <w:t>Adult accused of murder</w:t>
      </w:r>
      <w:bookmarkEnd w:id="18"/>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lastRenderedPageBreak/>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lastRenderedPageBreak/>
        <w:tab/>
        <w:t>(8)</w:t>
      </w:r>
      <w:r>
        <w:rPr>
          <w:snapToGrid w:val="0"/>
        </w:rPr>
        <w:tab/>
        <w:t>The accused is to be taken before a judge for the purposes of an application under this section only if the judge so orders.</w:t>
      </w:r>
    </w:p>
    <w:p>
      <w:pPr>
        <w:pStyle w:val="Footnotesection"/>
      </w:pPr>
      <w:r>
        <w:tab/>
        <w:t>[Section 7B inserted: No. 6 of 2008 s. 9(1); amended: No. 29 of 2008 s. 24(2) and (3).]</w:t>
      </w:r>
    </w:p>
    <w:p>
      <w:pPr>
        <w:pStyle w:val="Heading5"/>
      </w:pPr>
      <w:bookmarkStart w:id="19" w:name="_Toc106980632"/>
      <w:r>
        <w:rPr>
          <w:rStyle w:val="CharSectno"/>
        </w:rPr>
        <w:t>7C</w:t>
      </w:r>
      <w:r>
        <w:t>.</w:t>
      </w:r>
      <w:r>
        <w:tab/>
        <w:t>C</w:t>
      </w:r>
      <w:r>
        <w:rPr>
          <w:snapToGrid w:val="0"/>
        </w:rPr>
        <w:t>hild accused of murder</w:t>
      </w:r>
      <w:bookmarkEnd w:id="19"/>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lastRenderedPageBreak/>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100"/>
        <w:ind w:left="890" w:hanging="890"/>
      </w:pPr>
      <w:r>
        <w:tab/>
        <w:t>[Section 7C inserted: No. 6 of 2008 s. 9(1); amended: No. 29 of 2008 s. 24(4).]</w:t>
      </w:r>
    </w:p>
    <w:p>
      <w:pPr>
        <w:pStyle w:val="Heading5"/>
      </w:pPr>
      <w:bookmarkStart w:id="20" w:name="_Toc106980633"/>
      <w:r>
        <w:rPr>
          <w:rStyle w:val="CharSectno"/>
        </w:rPr>
        <w:t>7D</w:t>
      </w:r>
      <w:r>
        <w:rPr>
          <w:snapToGrid w:val="0"/>
        </w:rPr>
        <w:t>.</w:t>
      </w:r>
      <w:r>
        <w:rPr>
          <w:snapToGrid w:val="0"/>
        </w:rPr>
        <w:tab/>
        <w:t>Bail after initial decision by court, court’s duty as to</w:t>
      </w:r>
      <w:bookmarkEnd w:id="20"/>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keepLines/>
        <w:rPr>
          <w:snapToGrid w:val="0"/>
        </w:rPr>
      </w:pPr>
      <w:r>
        <w:rPr>
          <w:snapToGrid w:val="0"/>
        </w:rPr>
        <w:lastRenderedPageBreak/>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r>
        <w:tab/>
        <w:t>[Section 7D inserted: No. 6 of 2008 s. 9(1).]</w:t>
      </w:r>
    </w:p>
    <w:p>
      <w:pPr>
        <w:pStyle w:val="Heading5"/>
      </w:pPr>
      <w:bookmarkStart w:id="21" w:name="_Toc106980634"/>
      <w:r>
        <w:rPr>
          <w:rStyle w:val="CharSectno"/>
        </w:rPr>
        <w:t>7E</w:t>
      </w:r>
      <w:r>
        <w:rPr>
          <w:snapToGrid w:val="0"/>
        </w:rPr>
        <w:t>.</w:t>
      </w:r>
      <w:r>
        <w:rPr>
          <w:snapToGrid w:val="0"/>
        </w:rPr>
        <w:tab/>
      </w:r>
      <w:r>
        <w:t>Bail refused for trial, court’s duty during trial</w:t>
      </w:r>
      <w:bookmarkEnd w:id="21"/>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spacing w:before="120"/>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spacing w:before="120"/>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r>
        <w:tab/>
        <w:t>[Section 7E inserted: No. 6 of 2008 s. 9(1).]</w:t>
      </w:r>
    </w:p>
    <w:p>
      <w:pPr>
        <w:pStyle w:val="Heading5"/>
        <w:spacing w:before="180"/>
      </w:pPr>
      <w:bookmarkStart w:id="22" w:name="_Toc106980635"/>
      <w:r>
        <w:rPr>
          <w:rStyle w:val="CharSectno"/>
        </w:rPr>
        <w:t>7F</w:t>
      </w:r>
      <w:r>
        <w:t>.</w:t>
      </w:r>
      <w:r>
        <w:tab/>
        <w:t>Appeal from court of summary jurisdiction, bail in case of</w:t>
      </w:r>
      <w:bookmarkEnd w:id="22"/>
    </w:p>
    <w:p>
      <w:pPr>
        <w:pStyle w:val="Subsection"/>
        <w:spacing w:before="120"/>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keepNext/>
      </w:pPr>
      <w:r>
        <w:rPr>
          <w:snapToGrid w:val="0"/>
        </w:rPr>
        <w:lastRenderedPageBreak/>
        <w:tab/>
        <w:t>(b)</w:t>
      </w:r>
      <w:r>
        <w:rPr>
          <w:snapToGrid w:val="0"/>
        </w:rPr>
        <w:tab/>
        <w:t>in</w:t>
      </w:r>
      <w:r>
        <w:t xml:space="preserve"> any </w:t>
      </w:r>
      <w:r>
        <w:rPr>
          <w:snapToGrid w:val="0"/>
        </w:rPr>
        <w:t>other</w:t>
      </w:r>
      <w:r>
        <w:t xml:space="preserve"> case — to a judge of the Supreme Court.</w:t>
      </w:r>
    </w:p>
    <w:p>
      <w:pPr>
        <w:pStyle w:val="Subsection"/>
        <w:keepNext/>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No. 6 of 2008 s. 9(1).]</w:t>
      </w:r>
    </w:p>
    <w:p>
      <w:pPr>
        <w:pStyle w:val="Heading5"/>
        <w:rPr>
          <w:snapToGrid w:val="0"/>
        </w:rPr>
      </w:pPr>
      <w:bookmarkStart w:id="23" w:name="_Toc106980636"/>
      <w:r>
        <w:rPr>
          <w:rStyle w:val="CharSectno"/>
        </w:rPr>
        <w:t>8</w:t>
      </w:r>
      <w:r>
        <w:rPr>
          <w:snapToGrid w:val="0"/>
        </w:rPr>
        <w:t>.</w:t>
      </w:r>
      <w:r>
        <w:rPr>
          <w:snapToGrid w:val="0"/>
        </w:rPr>
        <w:tab/>
        <w:t>Accused to be given information, approved forms etc.</w:t>
      </w:r>
      <w:bookmarkEnd w:id="23"/>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lastRenderedPageBreak/>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keepNext/>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rPr>
          <w:snapToGrid w:val="0"/>
        </w:rPr>
      </w:pPr>
      <w:r>
        <w:rPr>
          <w:snapToGrid w:val="0"/>
        </w:rPr>
        <w:tab/>
        <w:t>(3)</w:t>
      </w:r>
      <w:r>
        <w:rPr>
          <w:snapToGrid w:val="0"/>
        </w:rPr>
        <w:tab/>
        <w:t>Nothing in this section shall be read as limiting section 23.</w:t>
      </w:r>
    </w:p>
    <w:p>
      <w:pPr>
        <w:pStyle w:val="Subsection"/>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keepNext/>
        <w:rPr>
          <w:snapToGrid w:val="0"/>
        </w:rPr>
      </w:pPr>
      <w:r>
        <w:rPr>
          <w:snapToGrid w:val="0"/>
        </w:rPr>
        <w:tab/>
        <w:t>(5)</w:t>
      </w:r>
      <w:r>
        <w:rPr>
          <w:snapToGrid w:val="0"/>
        </w:rPr>
        <w:tab/>
        <w:t xml:space="preserve">Where a person has applied for bail for an appeal as mentioned in section 7F(1), this section applies as if the consideration of </w:t>
      </w:r>
      <w:r>
        <w:rPr>
          <w:snapToGrid w:val="0"/>
        </w:rPr>
        <w:lastRenderedPageBreak/>
        <w:t>bail for the appeal were a first consideration of bail for an offence.</w:t>
      </w:r>
    </w:p>
    <w:p>
      <w:pPr>
        <w:pStyle w:val="Footnotesection"/>
        <w:ind w:left="890" w:hanging="890"/>
      </w:pPr>
      <w:r>
        <w:tab/>
        <w:t xml:space="preserve">[Section 8 amended: No. 74 of 1984 s. 6; No. 15 of 1988 s. 6; No. 33 of 1989 s. 18; No. 84 of 2004 s. 82; No. 6 of 2008 s. 9(2) and 43(1).] </w:t>
      </w:r>
    </w:p>
    <w:p>
      <w:pPr>
        <w:pStyle w:val="Heading5"/>
        <w:spacing w:before="240"/>
        <w:rPr>
          <w:snapToGrid w:val="0"/>
        </w:rPr>
      </w:pPr>
      <w:bookmarkStart w:id="24" w:name="_Toc106980637"/>
      <w:r>
        <w:rPr>
          <w:rStyle w:val="CharSectno"/>
        </w:rPr>
        <w:t>9</w:t>
      </w:r>
      <w:r>
        <w:rPr>
          <w:snapToGrid w:val="0"/>
        </w:rPr>
        <w:t>.</w:t>
      </w:r>
      <w:r>
        <w:rPr>
          <w:snapToGrid w:val="0"/>
        </w:rPr>
        <w:tab/>
        <w:t>Bail decision may be deferred until more information obtained</w:t>
      </w:r>
      <w:bookmarkEnd w:id="24"/>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w:t>
      </w:r>
      <w:r>
        <w:t>(2); or</w:t>
      </w:r>
    </w:p>
    <w:p>
      <w:pPr>
        <w:pStyle w:val="Indenta"/>
      </w:pPr>
      <w:r>
        <w:tab/>
        <w:t>(c)</w:t>
      </w:r>
      <w:r>
        <w:tab/>
        <w:t>without limiting paragraph (a) or (b), in the case of an accused charged with an offence where the accused and an alleged victim of the offence are, or are reasonably believed by the judicial officer or authorised officer to be, in a family relationship — to consider what, if any, conditions should be imposed to enhance the protection of the alleged victim.</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No. 57 of 1997 s. 21(2); No. 84 of 2004 s. 82; No. 6 of 2008 s. 10(1); No. 30 of 2020 s. 42.]</w:t>
      </w:r>
    </w:p>
    <w:p>
      <w:pPr>
        <w:pStyle w:val="Heading5"/>
        <w:spacing w:before="180"/>
        <w:rPr>
          <w:snapToGrid w:val="0"/>
        </w:rPr>
      </w:pPr>
      <w:bookmarkStart w:id="25" w:name="_Toc106980638"/>
      <w:r>
        <w:rPr>
          <w:rStyle w:val="CharSectno"/>
        </w:rPr>
        <w:t>10</w:t>
      </w:r>
      <w:r>
        <w:rPr>
          <w:snapToGrid w:val="0"/>
        </w:rPr>
        <w:t>.</w:t>
      </w:r>
      <w:r>
        <w:rPr>
          <w:snapToGrid w:val="0"/>
        </w:rPr>
        <w:tab/>
        <w:t>Sections 5, 6 and 7 do not apply if accused imprisoned for other cause</w:t>
      </w:r>
      <w:bookmarkEnd w:id="25"/>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w:t>
      </w:r>
      <w:r>
        <w:rPr>
          <w:snapToGrid w:val="0"/>
        </w:rPr>
        <w:lastRenderedPageBreak/>
        <w:t>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No. 84 of 2004 s. 82.]</w:t>
      </w:r>
    </w:p>
    <w:p>
      <w:pPr>
        <w:pStyle w:val="Heading5"/>
        <w:spacing w:before="180"/>
        <w:rPr>
          <w:snapToGrid w:val="0"/>
        </w:rPr>
      </w:pPr>
      <w:bookmarkStart w:id="26" w:name="_Toc106980639"/>
      <w:r>
        <w:rPr>
          <w:rStyle w:val="CharSectno"/>
        </w:rPr>
        <w:t>11</w:t>
      </w:r>
      <w:r>
        <w:rPr>
          <w:snapToGrid w:val="0"/>
        </w:rPr>
        <w:t>.</w:t>
      </w:r>
      <w:r>
        <w:rPr>
          <w:snapToGrid w:val="0"/>
        </w:rPr>
        <w:tab/>
        <w:t>Accused’s rights following grant of bail</w:t>
      </w:r>
      <w:bookmarkEnd w:id="26"/>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spacing w:before="120"/>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lastRenderedPageBreak/>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No. 74 of 1984 s. 7; No. 15 of 1988 s. 7; No. 49 of 1988 s. 81; No. 45 of 1993 s. 7; No. 47 of 1999 s. 8; No. 59 of 2004 s. 141; No. 84 of 2004 s. 82; No. 6 of 2008 s. 11(1) and (2).] </w:t>
      </w:r>
    </w:p>
    <w:p>
      <w:pPr>
        <w:pStyle w:val="Heading5"/>
        <w:rPr>
          <w:snapToGrid w:val="0"/>
        </w:rPr>
      </w:pPr>
      <w:bookmarkStart w:id="27" w:name="_Toc106980640"/>
      <w:r>
        <w:rPr>
          <w:rStyle w:val="CharSectno"/>
        </w:rPr>
        <w:t>12</w:t>
      </w:r>
      <w:r>
        <w:rPr>
          <w:snapToGrid w:val="0"/>
        </w:rPr>
        <w:t>.</w:t>
      </w:r>
      <w:r>
        <w:rPr>
          <w:snapToGrid w:val="0"/>
        </w:rPr>
        <w:tab/>
        <w:t>Rights in s. 7A(2) and 11, limitations on</w:t>
      </w:r>
      <w:bookmarkEnd w:id="27"/>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No. 6 of 2002 Sch. 2 cl. 1; No. 84 of 2004 s. 82; No. 59 of 2006 s. 6; No. 6 of 2008 s. 12.]</w:t>
      </w:r>
    </w:p>
    <w:p>
      <w:pPr>
        <w:pStyle w:val="Heading2"/>
      </w:pPr>
      <w:bookmarkStart w:id="28" w:name="_Toc106978672"/>
      <w:bookmarkStart w:id="29" w:name="_Toc106980641"/>
      <w:r>
        <w:rPr>
          <w:rStyle w:val="CharPartNo"/>
        </w:rPr>
        <w:lastRenderedPageBreak/>
        <w:t>Part III</w:t>
      </w:r>
      <w:r>
        <w:rPr>
          <w:rStyle w:val="CharDivNo"/>
        </w:rPr>
        <w:t> </w:t>
      </w:r>
      <w:r>
        <w:t>—</w:t>
      </w:r>
      <w:r>
        <w:rPr>
          <w:rStyle w:val="CharDivText"/>
        </w:rPr>
        <w:t> </w:t>
      </w:r>
      <w:r>
        <w:rPr>
          <w:rStyle w:val="CharPartText"/>
        </w:rPr>
        <w:t>Jurisdiction relating to bail</w:t>
      </w:r>
      <w:bookmarkEnd w:id="28"/>
      <w:bookmarkEnd w:id="29"/>
    </w:p>
    <w:p>
      <w:pPr>
        <w:pStyle w:val="Footnoteheading"/>
      </w:pPr>
      <w:r>
        <w:tab/>
        <w:t>[Heading inserted: No. 6 of 2008 s. 13.]</w:t>
      </w:r>
    </w:p>
    <w:p>
      <w:pPr>
        <w:pStyle w:val="Heading5"/>
        <w:rPr>
          <w:snapToGrid w:val="0"/>
        </w:rPr>
      </w:pPr>
      <w:bookmarkStart w:id="30" w:name="_Toc106980642"/>
      <w:r>
        <w:rPr>
          <w:rStyle w:val="CharSectno"/>
        </w:rPr>
        <w:t>13</w:t>
      </w:r>
      <w:r>
        <w:rPr>
          <w:snapToGrid w:val="0"/>
        </w:rPr>
        <w:t>.</w:t>
      </w:r>
      <w:r>
        <w:rPr>
          <w:snapToGrid w:val="0"/>
        </w:rPr>
        <w:tab/>
        <w:t>Jurisdiction to grant bail, who has and exercise of (Sch. 1)</w:t>
      </w:r>
      <w:bookmarkEnd w:id="30"/>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No. 61 of 1990 s. 5; No. 45 of 1993 s. 12.] </w:t>
      </w:r>
    </w:p>
    <w:p>
      <w:pPr>
        <w:pStyle w:val="Heading5"/>
      </w:pPr>
      <w:bookmarkStart w:id="31" w:name="_Toc106980643"/>
      <w:r>
        <w:rPr>
          <w:rStyle w:val="CharSectno"/>
        </w:rPr>
        <w:t>13A</w:t>
      </w:r>
      <w:r>
        <w:rPr>
          <w:snapToGrid w:val="0"/>
        </w:rPr>
        <w:t>.</w:t>
      </w:r>
      <w:r>
        <w:rPr>
          <w:snapToGrid w:val="0"/>
        </w:rPr>
        <w:tab/>
        <w:t>Jurisdiction in s. 7A to dispense with bail, who has and exercise of</w:t>
      </w:r>
      <w:bookmarkEnd w:id="31"/>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 xml:space="preserve">Where a judicial officer dispenses with the requirement for bail for an appearance by an accused the registrar of the court shall, </w:t>
      </w:r>
      <w:r>
        <w:rPr>
          <w:snapToGrid w:val="0"/>
        </w:rPr>
        <w:lastRenderedPageBreak/>
        <w:t>in accordance with section 13B, give written notice to the accused of the time and place for the appearance.</w:t>
      </w:r>
    </w:p>
    <w:p>
      <w:pPr>
        <w:pStyle w:val="Footnotesection"/>
        <w:ind w:left="890" w:hanging="890"/>
      </w:pPr>
      <w:r>
        <w:tab/>
        <w:t>[Section 13A inserted: No. 6 of 2008 s. 14.]</w:t>
      </w:r>
    </w:p>
    <w:p>
      <w:pPr>
        <w:pStyle w:val="Heading5"/>
      </w:pPr>
      <w:bookmarkStart w:id="32" w:name="_Toc106980644"/>
      <w:r>
        <w:rPr>
          <w:rStyle w:val="CharSectno"/>
        </w:rPr>
        <w:t>13B</w:t>
      </w:r>
      <w:r>
        <w:rPr>
          <w:snapToGrid w:val="0"/>
        </w:rPr>
        <w:t>.</w:t>
      </w:r>
      <w:r>
        <w:rPr>
          <w:snapToGrid w:val="0"/>
        </w:rPr>
        <w:tab/>
        <w:t>Notices under s. 13A(3), service and proof of</w:t>
      </w:r>
      <w:bookmarkEnd w:id="32"/>
      <w:r>
        <w:rPr>
          <w:snapToGrid w:val="0"/>
        </w:rPr>
        <w:t xml:space="preserve"> </w:t>
      </w:r>
    </w:p>
    <w:p>
      <w:pPr>
        <w:pStyle w:val="Subsection"/>
        <w:rPr>
          <w:rStyle w:val="CharSchText"/>
          <w:snapToGrid w:val="0"/>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pPr>
      <w:r>
        <w:tab/>
        <w:t>(b)</w:t>
      </w:r>
      <w:r>
        <w:tab/>
        <w:t>sent to the accused by post to the accused’s address appearing in the records of the court; or</w:t>
      </w:r>
    </w:p>
    <w:p>
      <w:pPr>
        <w:pStyle w:val="Indenta"/>
      </w:pPr>
      <w:r>
        <w:tab/>
        <w:t>(c)</w:t>
      </w:r>
      <w:r>
        <w:tab/>
        <w:t>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 xml:space="preserve">If a notice is sent by post under </w:t>
      </w:r>
      <w:r>
        <w:t xml:space="preserve">subsection (1)(b), </w:t>
      </w:r>
      <w:r>
        <w:rPr>
          <w:snapToGrid w:val="0"/>
        </w:rPr>
        <w:t>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No. 6 of 2008 s. 14; amended: No. 20 of 2013 s. 25; No. 34 of 2020 s. 82.]</w:t>
      </w:r>
    </w:p>
    <w:p>
      <w:pPr>
        <w:pStyle w:val="Heading5"/>
        <w:rPr>
          <w:snapToGrid w:val="0"/>
        </w:rPr>
      </w:pPr>
      <w:bookmarkStart w:id="33" w:name="_Toc106980645"/>
      <w:r>
        <w:rPr>
          <w:rStyle w:val="CharSectno"/>
        </w:rPr>
        <w:lastRenderedPageBreak/>
        <w:t>14</w:t>
      </w:r>
      <w:r>
        <w:rPr>
          <w:snapToGrid w:val="0"/>
        </w:rPr>
        <w:t>.</w:t>
      </w:r>
      <w:r>
        <w:rPr>
          <w:snapToGrid w:val="0"/>
        </w:rPr>
        <w:tab/>
        <w:t>Judges, jurisdiction of</w:t>
      </w:r>
      <w:bookmarkEnd w:id="33"/>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keepNext/>
        <w:rPr>
          <w:snapToGrid w:val="0"/>
        </w:rPr>
      </w:pPr>
      <w:r>
        <w:rPr>
          <w:snapToGrid w:val="0"/>
        </w:rPr>
        <w:lastRenderedPageBreak/>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20"/>
        <w:rPr>
          <w:snapToGrid w:val="0"/>
        </w:rPr>
      </w:pPr>
      <w:r>
        <w:rPr>
          <w:snapToGrid w:val="0"/>
        </w:rPr>
        <w:tab/>
      </w:r>
      <w:r>
        <w:rPr>
          <w:snapToGrid w:val="0"/>
        </w:rPr>
        <w:tab/>
        <w:t>and the judge may issue any warrant which may be necessary to carry such an order into effect.</w:t>
      </w:r>
    </w:p>
    <w:p>
      <w:pPr>
        <w:pStyle w:val="Subsection"/>
        <w:spacing w:before="120"/>
        <w:rPr>
          <w:snapToGrid w:val="0"/>
        </w:rPr>
      </w:pPr>
      <w:r>
        <w:rPr>
          <w:snapToGrid w:val="0"/>
        </w:rPr>
        <w:tab/>
        <w:t>(4)</w:t>
      </w:r>
      <w:r>
        <w:rPr>
          <w:snapToGrid w:val="0"/>
        </w:rPr>
        <w:tab/>
        <w:t xml:space="preserve">In this section — </w:t>
      </w:r>
    </w:p>
    <w:p>
      <w:pPr>
        <w:pStyle w:val="Indenta"/>
        <w:spacing w:before="60"/>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spacing w:before="60"/>
        <w:rPr>
          <w:snapToGrid w:val="0"/>
        </w:rPr>
      </w:pPr>
      <w:r>
        <w:rPr>
          <w:snapToGrid w:val="0"/>
        </w:rPr>
        <w:tab/>
        <w:t>(i)</w:t>
      </w:r>
      <w:r>
        <w:rPr>
          <w:snapToGrid w:val="0"/>
        </w:rPr>
        <w:tab/>
        <w:t>in the case of a child charged with an offence before the Children’s Court, to a judge of that Court; and</w:t>
      </w:r>
    </w:p>
    <w:p>
      <w:pPr>
        <w:pStyle w:val="Indenti"/>
        <w:spacing w:before="60"/>
        <w:rPr>
          <w:snapToGrid w:val="0"/>
        </w:rPr>
      </w:pPr>
      <w:r>
        <w:rPr>
          <w:snapToGrid w:val="0"/>
        </w:rPr>
        <w:tab/>
        <w:t>(ii)</w:t>
      </w:r>
      <w:r>
        <w:rPr>
          <w:snapToGrid w:val="0"/>
        </w:rPr>
        <w:tab/>
        <w:t>in the case of an accused committed for trial or sentence to the District Court, to a judge of that Court; and</w:t>
      </w:r>
    </w:p>
    <w:p>
      <w:pPr>
        <w:pStyle w:val="Indenti"/>
        <w:spacing w:before="60"/>
        <w:rPr>
          <w:snapToGrid w:val="0"/>
        </w:rPr>
      </w:pPr>
      <w:r>
        <w:rPr>
          <w:snapToGrid w:val="0"/>
        </w:rPr>
        <w:tab/>
        <w:t>(iii)</w:t>
      </w:r>
      <w:r>
        <w:rPr>
          <w:snapToGrid w:val="0"/>
        </w:rPr>
        <w:tab/>
        <w:t xml:space="preserve">in any other case, to a judge of the Supreme Court;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spacing w:before="60"/>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spacing w:before="60"/>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80"/>
      </w:pPr>
      <w:r>
        <w:tab/>
      </w:r>
      <w:r>
        <w:tab/>
        <w:t>[Section 14 amended: No. 74 of 1984 s. 8; No. 49 of 1988 s. 82; No. 84 of 2004 s. 82; No. 6 of 2008 s. 15(1)</w:t>
      </w:r>
      <w:r>
        <w:noBreakHyphen/>
        <w:t xml:space="preserve">(4).] </w:t>
      </w:r>
    </w:p>
    <w:p>
      <w:pPr>
        <w:pStyle w:val="Heading5"/>
        <w:keepNext w:val="0"/>
        <w:keepLines w:val="0"/>
        <w:spacing w:before="180"/>
        <w:rPr>
          <w:snapToGrid w:val="0"/>
        </w:rPr>
      </w:pPr>
      <w:bookmarkStart w:id="34" w:name="_Toc106980646"/>
      <w:r>
        <w:rPr>
          <w:rStyle w:val="CharSectno"/>
        </w:rPr>
        <w:t>15</w:t>
      </w:r>
      <w:r>
        <w:rPr>
          <w:snapToGrid w:val="0"/>
        </w:rPr>
        <w:t>.</w:t>
      </w:r>
      <w:r>
        <w:rPr>
          <w:snapToGrid w:val="0"/>
        </w:rPr>
        <w:tab/>
        <w:t>Accused charged with murder, jurisdiction as to bail for</w:t>
      </w:r>
      <w:bookmarkEnd w:id="34"/>
      <w:r>
        <w:rPr>
          <w:snapToGrid w:val="0"/>
        </w:rPr>
        <w:t xml:space="preserve"> </w:t>
      </w:r>
    </w:p>
    <w:p>
      <w:pPr>
        <w:pStyle w:val="Subsection"/>
        <w:spacing w:before="12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spacing w:before="60"/>
        <w:rPr>
          <w:snapToGrid w:val="0"/>
        </w:rPr>
      </w:pPr>
      <w:r>
        <w:rPr>
          <w:snapToGrid w:val="0"/>
        </w:rPr>
        <w:tab/>
        <w:t>(a)</w:t>
      </w:r>
      <w:r>
        <w:rPr>
          <w:snapToGrid w:val="0"/>
        </w:rPr>
        <w:tab/>
        <w:t>where section 31(2)(d) applies; or</w:t>
      </w:r>
    </w:p>
    <w:p>
      <w:pPr>
        <w:pStyle w:val="Indenta"/>
        <w:rPr>
          <w:snapToGrid w:val="0"/>
        </w:rPr>
      </w:pPr>
      <w:r>
        <w:rPr>
          <w:snapToGrid w:val="0"/>
        </w:rPr>
        <w:lastRenderedPageBreak/>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120"/>
      </w:pPr>
      <w:r>
        <w:tab/>
        <w:t>[(2)</w:t>
      </w:r>
      <w:r>
        <w:tab/>
        <w:t xml:space="preserve">deleted] </w:t>
      </w:r>
    </w:p>
    <w:p>
      <w:pPr>
        <w:pStyle w:val="Footnotesection"/>
        <w:ind w:left="890" w:hanging="890"/>
      </w:pPr>
      <w:r>
        <w:tab/>
        <w:t xml:space="preserve">[Section 15 amended: No. 52 of 1984 s. 35; No. 74 of 1984 s. 9; No. 49 of 1988 s. 83; No. 70 of 1988 s. 45; No. 45 of 1993 s. 12; No. 45 of 2004 s. 28(4); No. 84 of 2004 s. 82; No. 29 of 2008 s. 24(5).] </w:t>
      </w:r>
    </w:p>
    <w:p>
      <w:pPr>
        <w:pStyle w:val="Heading5"/>
        <w:spacing w:before="240"/>
      </w:pPr>
      <w:bookmarkStart w:id="35" w:name="_Toc106980647"/>
      <w:r>
        <w:rPr>
          <w:rStyle w:val="CharSectno"/>
        </w:rPr>
        <w:t>15A</w:t>
      </w:r>
      <w:r>
        <w:rPr>
          <w:snapToGrid w:val="0"/>
        </w:rPr>
        <w:t>.</w:t>
      </w:r>
      <w:r>
        <w:rPr>
          <w:snapToGrid w:val="0"/>
        </w:rPr>
        <w:tab/>
        <w:t>Appeal against judge’s decision on bail, commencement and conduct</w:t>
      </w:r>
      <w:bookmarkEnd w:id="35"/>
    </w:p>
    <w:p>
      <w:pPr>
        <w:pStyle w:val="Subsection"/>
        <w:spacing w:before="18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spacing w:before="120"/>
      </w:pPr>
      <w:r>
        <w:tab/>
        <w:t>and includes a decision under section 55 or 59A(4).</w:t>
      </w:r>
    </w:p>
    <w:p>
      <w:pPr>
        <w:pStyle w:val="Subsection"/>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pPr>
      <w:r>
        <w:tab/>
        <w:t>(3)</w:t>
      </w:r>
      <w:r>
        <w:tab/>
        <w:t>The leave of the Court of Appeal is required for each ground of appeal in an appeal under this section.</w:t>
      </w:r>
    </w:p>
    <w:p>
      <w:pPr>
        <w:pStyle w:val="Subsection"/>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pPr>
      <w:r>
        <w:tab/>
        <w:t>(5)</w:t>
      </w:r>
      <w:r>
        <w:tab/>
        <w:t>An appeal under this section shall be commenced and conducted in accordance with this section, section 15B and rules of court made by the Supreme Court.</w:t>
      </w:r>
    </w:p>
    <w:p>
      <w:pPr>
        <w:pStyle w:val="Subsection"/>
      </w:pPr>
      <w:r>
        <w:lastRenderedPageBreak/>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r>
        <w:tab/>
        <w:t>[Section 15A inserted: No. 6 of 2008 s. 16(1).]</w:t>
      </w:r>
    </w:p>
    <w:p>
      <w:pPr>
        <w:pStyle w:val="Heading5"/>
      </w:pPr>
      <w:bookmarkStart w:id="36" w:name="_Toc106980648"/>
      <w:r>
        <w:rPr>
          <w:rStyle w:val="CharSectno"/>
        </w:rPr>
        <w:t>15B</w:t>
      </w:r>
      <w:r>
        <w:rPr>
          <w:snapToGrid w:val="0"/>
        </w:rPr>
        <w:t>.</w:t>
      </w:r>
      <w:r>
        <w:rPr>
          <w:snapToGrid w:val="0"/>
        </w:rPr>
        <w:tab/>
        <w:t>Appeal under s. 15A, determination</w:t>
      </w:r>
      <w:bookmarkEnd w:id="36"/>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lastRenderedPageBreak/>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No. 6 of 2008 s. 16(1).]</w:t>
      </w:r>
    </w:p>
    <w:p>
      <w:pPr>
        <w:pStyle w:val="Heading5"/>
        <w:rPr>
          <w:snapToGrid w:val="0"/>
        </w:rPr>
      </w:pPr>
      <w:bookmarkStart w:id="37" w:name="_Toc106980649"/>
      <w:r>
        <w:rPr>
          <w:rStyle w:val="CharSectno"/>
        </w:rPr>
        <w:t>16</w:t>
      </w:r>
      <w:r>
        <w:rPr>
          <w:snapToGrid w:val="0"/>
        </w:rPr>
        <w:t>.</w:t>
      </w:r>
      <w:r>
        <w:rPr>
          <w:snapToGrid w:val="0"/>
        </w:rPr>
        <w:tab/>
        <w:t>Person arrested on warrant, bail of</w:t>
      </w:r>
      <w:bookmarkEnd w:id="37"/>
      <w:r>
        <w:rPr>
          <w:snapToGrid w:val="0"/>
        </w:rPr>
        <w:t xml:space="preserve"> </w:t>
      </w:r>
    </w:p>
    <w:p>
      <w:pPr>
        <w:pStyle w:val="Subsection"/>
        <w:rPr>
          <w:snapToGrid w:val="0"/>
        </w:rPr>
      </w:pPr>
      <w:r>
        <w:rPr>
          <w:snapToGrid w:val="0"/>
        </w:rPr>
        <w:tab/>
        <w:t>(1)</w:t>
      </w:r>
      <w:r>
        <w:rPr>
          <w:snapToGrid w:val="0"/>
        </w:rPr>
        <w:tab/>
        <w:t>Subject to sections </w:t>
      </w:r>
      <w:r>
        <w:t>14, 15 and 16B</w:t>
      </w:r>
      <w:r>
        <w:rPr>
          <w:snapToGrid w:val="0"/>
        </w:rPr>
        <w:t xml:space="preserve">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No. 59 of 2004 s. 141; No. 84 of 2004 s. 11 and 82; No. 59 of 2006 s. 4(3); No. 6 of 2008 s. 36(2); No. 15 of 2019 s. 7.]</w:t>
      </w:r>
    </w:p>
    <w:p>
      <w:pPr>
        <w:pStyle w:val="Heading5"/>
        <w:keepLines w:val="0"/>
        <w:spacing w:before="180"/>
      </w:pPr>
      <w:bookmarkStart w:id="38" w:name="_Toc106980650"/>
      <w:r>
        <w:rPr>
          <w:rStyle w:val="CharSectno"/>
        </w:rPr>
        <w:t>16A</w:t>
      </w:r>
      <w:r>
        <w:t>.</w:t>
      </w:r>
      <w:r>
        <w:tab/>
        <w:t>Person arrested in urban area, restrictions on who can grant bail for in some cases</w:t>
      </w:r>
      <w:bookmarkEnd w:id="38"/>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lastRenderedPageBreak/>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Ednotesubsection"/>
      </w:pPr>
      <w:r>
        <w:tab/>
        <w:t>[(3)</w:t>
      </w:r>
      <w:r>
        <w:tab/>
        <w:t>deleted.]</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No. 54 of 1998 s. 6(1); amended: No. 38 of 2004 s. 59; No. 84 of 2004 s. 82</w:t>
      </w:r>
      <w:r>
        <w:rPr>
          <w:spacing w:val="-4"/>
        </w:rPr>
        <w:t>; No. 38 of 2005 s. 15; No. 49 of 2016 s. 88; No. 13 of 2020 s. 23.]</w:t>
      </w:r>
    </w:p>
    <w:p>
      <w:pPr>
        <w:pStyle w:val="Heading5"/>
      </w:pPr>
      <w:bookmarkStart w:id="39" w:name="_Toc106980651"/>
      <w:r>
        <w:rPr>
          <w:rStyle w:val="CharSectno"/>
        </w:rPr>
        <w:t>16B</w:t>
      </w:r>
      <w:r>
        <w:t>.</w:t>
      </w:r>
      <w:r>
        <w:tab/>
        <w:t>Person linked to terrorism</w:t>
      </w:r>
      <w:bookmarkEnd w:id="39"/>
    </w:p>
    <w:p>
      <w:pPr>
        <w:pStyle w:val="Subsection"/>
      </w:pPr>
      <w:r>
        <w:tab/>
        <w:t>(1)</w:t>
      </w:r>
      <w:r>
        <w:tab/>
        <w:t>This section applies if a person linked to terrorism is in custody —</w:t>
      </w:r>
    </w:p>
    <w:p>
      <w:pPr>
        <w:pStyle w:val="Indenta"/>
      </w:pPr>
      <w:r>
        <w:tab/>
        <w:t>(a)</w:t>
      </w:r>
      <w:r>
        <w:tab/>
        <w:t>awaiting an appearance in court before conviction for an offence; or</w:t>
      </w:r>
    </w:p>
    <w:p>
      <w:pPr>
        <w:pStyle w:val="Indenta"/>
      </w:pPr>
      <w:r>
        <w:lastRenderedPageBreak/>
        <w:tab/>
        <w:t>(b)</w:t>
      </w:r>
      <w:r>
        <w:tab/>
        <w:t>waiting to be sentenced or otherwise dealt with for an offence of which the person has been convicted.</w:t>
      </w:r>
    </w:p>
    <w:p>
      <w:pPr>
        <w:pStyle w:val="Subsection"/>
      </w:pPr>
      <w:r>
        <w:tab/>
        <w:t>(2)</w:t>
      </w:r>
      <w:r>
        <w:tab/>
        <w:t>The power to grant bail to the person can be exercised only by a court constituted by a judicial officer other than a justice.</w:t>
      </w:r>
    </w:p>
    <w:p>
      <w:pPr>
        <w:pStyle w:val="Footnotesection"/>
      </w:pPr>
      <w:r>
        <w:tab/>
      </w:r>
      <w:r>
        <w:rPr>
          <w:snapToGrid/>
        </w:rPr>
        <w:t>[Section 16B inserted: No. 15 of 2019 s. 8.]</w:t>
      </w:r>
    </w:p>
    <w:p>
      <w:pPr>
        <w:pStyle w:val="Heading5"/>
        <w:rPr>
          <w:snapToGrid w:val="0"/>
        </w:rPr>
      </w:pPr>
      <w:bookmarkStart w:id="40" w:name="_Toc106980652"/>
      <w:r>
        <w:rPr>
          <w:rStyle w:val="CharSectno"/>
        </w:rPr>
        <w:t>17</w:t>
      </w:r>
      <w:r>
        <w:rPr>
          <w:snapToGrid w:val="0"/>
        </w:rPr>
        <w:t>.</w:t>
      </w:r>
      <w:r>
        <w:rPr>
          <w:snapToGrid w:val="0"/>
        </w:rPr>
        <w:tab/>
        <w:t>Conditions on bail which may be imposed</w:t>
      </w:r>
      <w:bookmarkEnd w:id="40"/>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No. 45 of 1993 s. 8 and 12; No. 84 of 2004 s. 82.] </w:t>
      </w:r>
    </w:p>
    <w:p>
      <w:pPr>
        <w:pStyle w:val="Heading5"/>
        <w:rPr>
          <w:snapToGrid w:val="0"/>
        </w:rPr>
      </w:pPr>
      <w:bookmarkStart w:id="41" w:name="_Toc106980653"/>
      <w:r>
        <w:rPr>
          <w:rStyle w:val="CharSectno"/>
        </w:rPr>
        <w:t>17A</w:t>
      </w:r>
      <w:r>
        <w:rPr>
          <w:snapToGrid w:val="0"/>
        </w:rPr>
        <w:t>.</w:t>
      </w:r>
      <w:r>
        <w:rPr>
          <w:snapToGrid w:val="0"/>
        </w:rPr>
        <w:tab/>
        <w:t>Child on bail, changing responsible person for (Sch. 1 Pt. C cl. 2)</w:t>
      </w:r>
      <w:bookmarkEnd w:id="41"/>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lastRenderedPageBreak/>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No. 45 of 1993 s. 9; amended: No. 84 of 2004 s. 82.] </w:t>
      </w:r>
    </w:p>
    <w:p>
      <w:pPr>
        <w:pStyle w:val="Ednotesection"/>
      </w:pPr>
      <w:r>
        <w:t>[</w:t>
      </w:r>
      <w:r>
        <w:rPr>
          <w:b/>
          <w:bCs/>
        </w:rPr>
        <w:t>18</w:t>
      </w:r>
      <w:r>
        <w:rPr>
          <w:b/>
          <w:bCs/>
        </w:rPr>
        <w:noBreakHyphen/>
        <w:t>19.</w:t>
      </w:r>
      <w:r>
        <w:tab/>
        <w:t>Deleted: No. 59 of 2006 s. 7(1).]</w:t>
      </w:r>
    </w:p>
    <w:p>
      <w:pPr>
        <w:pStyle w:val="Heading2"/>
      </w:pPr>
      <w:bookmarkStart w:id="42" w:name="_Toc106978685"/>
      <w:bookmarkStart w:id="43" w:name="_Toc106980654"/>
      <w:r>
        <w:rPr>
          <w:rStyle w:val="CharPartNo"/>
        </w:rPr>
        <w:lastRenderedPageBreak/>
        <w:t>Part IV</w:t>
      </w:r>
      <w:r>
        <w:rPr>
          <w:rStyle w:val="CharDivNo"/>
        </w:rPr>
        <w:t> </w:t>
      </w:r>
      <w:r>
        <w:t>—</w:t>
      </w:r>
      <w:r>
        <w:rPr>
          <w:rStyle w:val="CharDivText"/>
        </w:rPr>
        <w:t> </w:t>
      </w:r>
      <w:r>
        <w:rPr>
          <w:rStyle w:val="CharPartText"/>
        </w:rPr>
        <w:t>Hearing of case for bail, parties, and evidence</w:t>
      </w:r>
      <w:bookmarkEnd w:id="42"/>
      <w:bookmarkEnd w:id="43"/>
      <w:r>
        <w:rPr>
          <w:rStyle w:val="CharPartText"/>
        </w:rPr>
        <w:t xml:space="preserve"> </w:t>
      </w:r>
    </w:p>
    <w:p>
      <w:pPr>
        <w:pStyle w:val="Heading5"/>
        <w:spacing w:before="160"/>
        <w:rPr>
          <w:snapToGrid w:val="0"/>
        </w:rPr>
      </w:pPr>
      <w:bookmarkStart w:id="44" w:name="_Toc106980655"/>
      <w:r>
        <w:rPr>
          <w:rStyle w:val="CharSectno"/>
        </w:rPr>
        <w:t>20</w:t>
      </w:r>
      <w:r>
        <w:rPr>
          <w:snapToGrid w:val="0"/>
        </w:rPr>
        <w:t>.</w:t>
      </w:r>
      <w:r>
        <w:rPr>
          <w:snapToGrid w:val="0"/>
        </w:rPr>
        <w:tab/>
        <w:t>Bail hearing for indictable offence, court may restrict publication or hold in private</w:t>
      </w:r>
      <w:bookmarkEnd w:id="44"/>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No. 50 of 2003 s. 37(2); No. 4 of 2004 s. 58; No. 84 of 2004 s. 11 and 82.]</w:t>
      </w:r>
    </w:p>
    <w:p>
      <w:pPr>
        <w:pStyle w:val="Heading5"/>
        <w:rPr>
          <w:snapToGrid w:val="0"/>
        </w:rPr>
      </w:pPr>
      <w:bookmarkStart w:id="45" w:name="_Toc106980656"/>
      <w:r>
        <w:rPr>
          <w:rStyle w:val="CharSectno"/>
        </w:rPr>
        <w:lastRenderedPageBreak/>
        <w:t>21</w:t>
      </w:r>
      <w:r>
        <w:rPr>
          <w:snapToGrid w:val="0"/>
        </w:rPr>
        <w:t>.</w:t>
      </w:r>
      <w:r>
        <w:rPr>
          <w:snapToGrid w:val="0"/>
        </w:rPr>
        <w:tab/>
        <w:t>Parties to bail proceedings</w:t>
      </w:r>
      <w:bookmarkEnd w:id="45"/>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No. 15 of 1988 s. 9; No. 49 of 1988 s. 84; No. 33 of 1989 s. 18; No. 31 of 1993 s. 7; No. 65 of 2003 s. 88(3); No. 59 of 2004 s. 141; No. 84 of 2004 s. 11 and 82; No. 6 of 2008 s. 9(3).] </w:t>
      </w:r>
    </w:p>
    <w:p>
      <w:pPr>
        <w:pStyle w:val="Heading5"/>
        <w:rPr>
          <w:snapToGrid w:val="0"/>
        </w:rPr>
      </w:pPr>
      <w:bookmarkStart w:id="46" w:name="_Toc106980657"/>
      <w:r>
        <w:rPr>
          <w:rStyle w:val="CharSectno"/>
        </w:rPr>
        <w:t>22</w:t>
      </w:r>
      <w:r>
        <w:rPr>
          <w:snapToGrid w:val="0"/>
        </w:rPr>
        <w:t>.</w:t>
      </w:r>
      <w:r>
        <w:rPr>
          <w:snapToGrid w:val="0"/>
        </w:rPr>
        <w:tab/>
        <w:t>Evidence at bail hearings</w:t>
      </w:r>
      <w:bookmarkEnd w:id="46"/>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47" w:name="_Toc106980658"/>
      <w:r>
        <w:rPr>
          <w:rStyle w:val="CharSectno"/>
        </w:rPr>
        <w:t>23</w:t>
      </w:r>
      <w:r>
        <w:rPr>
          <w:snapToGrid w:val="0"/>
        </w:rPr>
        <w:t>.</w:t>
      </w:r>
      <w:r>
        <w:rPr>
          <w:snapToGrid w:val="0"/>
        </w:rPr>
        <w:tab/>
        <w:t>Accused not bound to supply information</w:t>
      </w:r>
      <w:bookmarkEnd w:id="47"/>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No. 84 of 2004 s. 82; No. 6 of 2008 s. 43(2).] </w:t>
      </w:r>
    </w:p>
    <w:p>
      <w:pPr>
        <w:pStyle w:val="Heading5"/>
        <w:rPr>
          <w:snapToGrid w:val="0"/>
        </w:rPr>
      </w:pPr>
      <w:bookmarkStart w:id="48" w:name="_Toc106980659"/>
      <w:r>
        <w:rPr>
          <w:rStyle w:val="CharSectno"/>
        </w:rPr>
        <w:lastRenderedPageBreak/>
        <w:t>24</w:t>
      </w:r>
      <w:r>
        <w:rPr>
          <w:snapToGrid w:val="0"/>
        </w:rPr>
        <w:t>.</w:t>
      </w:r>
      <w:r>
        <w:rPr>
          <w:snapToGrid w:val="0"/>
        </w:rPr>
        <w:tab/>
        <w:t>Court or authorised officer may ask police to verify accused’s information or make report</w:t>
      </w:r>
      <w:bookmarkEnd w:id="48"/>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No. 61 of 1990 s. 6; amended: No. 45 of 1993 s. 12; No. 84 of 2004 s. 82; No. 6 of 2008 s. 43(2).] </w:t>
      </w:r>
    </w:p>
    <w:p>
      <w:pPr>
        <w:pStyle w:val="Heading5"/>
        <w:rPr>
          <w:snapToGrid w:val="0"/>
        </w:rPr>
      </w:pPr>
      <w:bookmarkStart w:id="49" w:name="_Toc106980660"/>
      <w:r>
        <w:rPr>
          <w:rStyle w:val="CharSectno"/>
        </w:rPr>
        <w:t>24A</w:t>
      </w:r>
      <w:r>
        <w:rPr>
          <w:snapToGrid w:val="0"/>
        </w:rPr>
        <w:t>.</w:t>
      </w:r>
      <w:r>
        <w:rPr>
          <w:snapToGrid w:val="0"/>
        </w:rPr>
        <w:tab/>
        <w:t>Court may ask community corrections officer to verify accused’s information or make report</w:t>
      </w:r>
      <w:bookmarkEnd w:id="49"/>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lastRenderedPageBreak/>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pPr>
      <w:r>
        <w:rPr>
          <w:snapToGrid w:val="0"/>
        </w:rPr>
        <w:tab/>
        <w:t>(4)</w:t>
      </w:r>
      <w:r>
        <w:rPr>
          <w:snapToGrid w:val="0"/>
        </w:rPr>
        <w:tab/>
        <w:t xml:space="preserve">Where a community corrections officer makes a report that an accused is suitable to be subject to a home detention </w:t>
      </w:r>
      <w:r>
        <w:t>condition, the officer must — </w:t>
      </w:r>
    </w:p>
    <w:p>
      <w:pPr>
        <w:pStyle w:val="Indenta"/>
      </w:pPr>
      <w:r>
        <w:tab/>
        <w:t>(a)</w:t>
      </w:r>
      <w:r>
        <w:tab/>
        <w:t>include in the report a recommendation as to whether or not the accused is suitable for electronic monitoring while the accused is subject to the home detention condition; and</w:t>
      </w:r>
    </w:p>
    <w:p>
      <w:pPr>
        <w:pStyle w:val="Indenta"/>
      </w:pPr>
      <w:r>
        <w:tab/>
        <w:t>(b)</w:t>
      </w:r>
      <w:r>
        <w:tab/>
        <w:t>annex to the report, and provide to the accused or the accused’s solicitor or counsel, a list of those conditions in rules made under section 50L that may be applied to the accused by the CEO (corrections) while the accused is subject to the home detention condition.</w:t>
      </w:r>
    </w:p>
    <w:p>
      <w:pPr>
        <w:pStyle w:val="Footnotesection"/>
      </w:pPr>
      <w:r>
        <w:tab/>
        <w:t xml:space="preserve">[Section 24A inserted: No. 61 of 1990 s. 7; amended: No. 31 of 1993 s. 9; No. 84 of 2004 s. 82; No. 65 of 2006 s. 53; No. 13 of 2020 s. 24.] </w:t>
      </w:r>
    </w:p>
    <w:p>
      <w:pPr>
        <w:pStyle w:val="Heading5"/>
        <w:rPr>
          <w:snapToGrid w:val="0"/>
        </w:rPr>
      </w:pPr>
      <w:bookmarkStart w:id="50" w:name="_Toc106980661"/>
      <w:r>
        <w:rPr>
          <w:rStyle w:val="CharSectno"/>
        </w:rPr>
        <w:t>25</w:t>
      </w:r>
      <w:r>
        <w:rPr>
          <w:snapToGrid w:val="0"/>
        </w:rPr>
        <w:t>.</w:t>
      </w:r>
      <w:r>
        <w:rPr>
          <w:snapToGrid w:val="0"/>
        </w:rPr>
        <w:tab/>
        <w:t>Information given by accused for bail purposes not admissible at trial</w:t>
      </w:r>
      <w:bookmarkEnd w:id="50"/>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No. 84 of 2004 s. 82.] </w:t>
      </w:r>
    </w:p>
    <w:p>
      <w:pPr>
        <w:pStyle w:val="Heading5"/>
        <w:rPr>
          <w:snapToGrid w:val="0"/>
        </w:rPr>
      </w:pPr>
      <w:bookmarkStart w:id="51" w:name="_Toc106980662"/>
      <w:r>
        <w:rPr>
          <w:rStyle w:val="CharSectno"/>
        </w:rPr>
        <w:lastRenderedPageBreak/>
        <w:t>26</w:t>
      </w:r>
      <w:r>
        <w:rPr>
          <w:snapToGrid w:val="0"/>
        </w:rPr>
        <w:t>.</w:t>
      </w:r>
      <w:r>
        <w:rPr>
          <w:snapToGrid w:val="0"/>
        </w:rPr>
        <w:tab/>
        <w:t>Record of bail decision and reasons</w:t>
      </w:r>
      <w:bookmarkEnd w:id="51"/>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an offence to which Schedule 1 Part C clause 3A or 3D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an offence to which Schedule 1 Part C clause 3A, 3D, 3E or 3F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Subsection"/>
      </w:pPr>
      <w:r>
        <w:lastRenderedPageBreak/>
        <w:tab/>
        <w:t>(5)</w:t>
      </w:r>
      <w:r>
        <w:tab/>
        <w:t>A bail record form, or the record of a decision and reasons for it, must not include information that is terrorist intelligence information.</w:t>
      </w:r>
    </w:p>
    <w:p>
      <w:pPr>
        <w:pStyle w:val="Footnotesection"/>
      </w:pPr>
      <w:r>
        <w:tab/>
        <w:t xml:space="preserve">[Section 26 inserted: No. 15 of 1988 s. 10; amended: No. 49 of 1988 s. 85; No. 45 of 1993 s. 12; No. 59 of 2004 s. 141; No. 84 of 2004 s. 82; No. 6 of 2008 s. 17 and 43(1); No. 21 of 2017 s. 6; No. 15 of 2019 s. 9; No. 30 of 2020 s. 43.] </w:t>
      </w:r>
    </w:p>
    <w:p>
      <w:pPr>
        <w:pStyle w:val="Heading5"/>
        <w:rPr>
          <w:snapToGrid w:val="0"/>
        </w:rPr>
      </w:pPr>
      <w:bookmarkStart w:id="52" w:name="_Toc106980663"/>
      <w:r>
        <w:rPr>
          <w:rStyle w:val="CharSectno"/>
        </w:rPr>
        <w:t>27</w:t>
      </w:r>
      <w:r>
        <w:rPr>
          <w:snapToGrid w:val="0"/>
        </w:rPr>
        <w:t>.</w:t>
      </w:r>
      <w:r>
        <w:rPr>
          <w:snapToGrid w:val="0"/>
        </w:rPr>
        <w:tab/>
        <w:t>Relevant papers to be made available to court where accused to appear</w:t>
      </w:r>
      <w:bookmarkEnd w:id="52"/>
    </w:p>
    <w:p>
      <w:pPr>
        <w:pStyle w:val="Subsection"/>
        <w:rPr>
          <w:snapToGrid w:val="0"/>
        </w:rPr>
      </w:pPr>
      <w:r>
        <w:rPr>
          <w:snapToGrid w:val="0"/>
        </w:rPr>
        <w:tab/>
        <w:t>(1)</w:t>
      </w:r>
      <w:r>
        <w:rPr>
          <w:snapToGrid w:val="0"/>
        </w:rPr>
        <w:tab/>
        <w:t xml:space="preserve">An authorised officer and a judicial officer who consider an accused’s case for bail for an appearance for an offence and a person before whom a bail undertaking or a surety undertaking is entered into shall ensure that the relevant papers are </w:t>
      </w:r>
      <w:r>
        <w:t>made available</w:t>
      </w:r>
      <w:r>
        <w:rPr>
          <w:snapToGrid w:val="0"/>
        </w:rPr>
        <w:t xml:space="preserve">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w:t>
      </w:r>
      <w:r>
        <w:t>made available</w:t>
      </w:r>
      <w:r>
        <w:rPr>
          <w:snapToGrid w:val="0"/>
        </w:rPr>
        <w:t xml:space="preserve"> by that officer or person.</w:t>
      </w:r>
    </w:p>
    <w:p>
      <w:pPr>
        <w:pStyle w:val="Footnotesection"/>
      </w:pPr>
      <w:r>
        <w:tab/>
        <w:t xml:space="preserve">[Section 27 amended: No. 84 of 2004 s. 82; No. 59 of 2006 s. 7(2); No. 20 of 2013 s. 26.] </w:t>
      </w:r>
    </w:p>
    <w:p>
      <w:pPr>
        <w:pStyle w:val="Heading5"/>
        <w:rPr>
          <w:snapToGrid w:val="0"/>
        </w:rPr>
      </w:pPr>
      <w:bookmarkStart w:id="53" w:name="_Toc106980664"/>
      <w:r>
        <w:rPr>
          <w:rStyle w:val="CharSectno"/>
        </w:rPr>
        <w:t>27A</w:t>
      </w:r>
      <w:r>
        <w:rPr>
          <w:snapToGrid w:val="0"/>
        </w:rPr>
        <w:t>.</w:t>
      </w:r>
      <w:r>
        <w:rPr>
          <w:snapToGrid w:val="0"/>
        </w:rPr>
        <w:tab/>
        <w:t xml:space="preserve">Bail with home detention, papers to be sent to CEO </w:t>
      </w:r>
      <w:r>
        <w:t>(corrections)</w:t>
      </w:r>
      <w:bookmarkEnd w:id="53"/>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No. 61 of 1990 s. 8; amended: No. 31 of 1993 s. 9; No. 65 of 2006 s. 53.] </w:t>
      </w:r>
    </w:p>
    <w:p>
      <w:pPr>
        <w:pStyle w:val="Heading2"/>
      </w:pPr>
      <w:bookmarkStart w:id="54" w:name="_Toc106978696"/>
      <w:bookmarkStart w:id="55" w:name="_Toc106980665"/>
      <w:r>
        <w:rPr>
          <w:rStyle w:val="CharPartNo"/>
        </w:rPr>
        <w:lastRenderedPageBreak/>
        <w:t>Part V</w:t>
      </w:r>
      <w:r>
        <w:rPr>
          <w:rStyle w:val="CharDivNo"/>
        </w:rPr>
        <w:t> </w:t>
      </w:r>
      <w:r>
        <w:t>—</w:t>
      </w:r>
      <w:r>
        <w:rPr>
          <w:rStyle w:val="CharDivText"/>
        </w:rPr>
        <w:t> </w:t>
      </w:r>
      <w:r>
        <w:rPr>
          <w:rStyle w:val="CharPartText"/>
        </w:rPr>
        <w:t>Bail undertakings</w:t>
      </w:r>
      <w:bookmarkEnd w:id="54"/>
      <w:bookmarkEnd w:id="55"/>
      <w:r>
        <w:rPr>
          <w:rStyle w:val="CharPartText"/>
        </w:rPr>
        <w:t xml:space="preserve"> </w:t>
      </w:r>
    </w:p>
    <w:p>
      <w:pPr>
        <w:pStyle w:val="Heading5"/>
        <w:rPr>
          <w:snapToGrid w:val="0"/>
        </w:rPr>
      </w:pPr>
      <w:bookmarkStart w:id="56" w:name="_Toc106980666"/>
      <w:r>
        <w:rPr>
          <w:rStyle w:val="CharSectno"/>
        </w:rPr>
        <w:t>28</w:t>
      </w:r>
      <w:r>
        <w:rPr>
          <w:snapToGrid w:val="0"/>
        </w:rPr>
        <w:t>.</w:t>
      </w:r>
      <w:r>
        <w:rPr>
          <w:snapToGrid w:val="0"/>
        </w:rPr>
        <w:tab/>
        <w:t>Bail undertaking, when required and nature of</w:t>
      </w:r>
      <w:bookmarkEnd w:id="56"/>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No. 61 of 1990 s. 9; No. 45 of 1993 s. 12; No. 59 of 2004 s. 141; No. 84 of 2004 s. 82; No. 6 of 2008 s. 18(1).] </w:t>
      </w:r>
    </w:p>
    <w:p>
      <w:pPr>
        <w:pStyle w:val="Heading5"/>
        <w:rPr>
          <w:snapToGrid w:val="0"/>
        </w:rPr>
      </w:pPr>
      <w:bookmarkStart w:id="57" w:name="_Toc106980667"/>
      <w:r>
        <w:rPr>
          <w:rStyle w:val="CharSectno"/>
        </w:rPr>
        <w:lastRenderedPageBreak/>
        <w:t>29</w:t>
      </w:r>
      <w:r>
        <w:rPr>
          <w:snapToGrid w:val="0"/>
        </w:rPr>
        <w:t>.</w:t>
      </w:r>
      <w:r>
        <w:rPr>
          <w:snapToGrid w:val="0"/>
        </w:rPr>
        <w:tab/>
        <w:t>Before whom bail undertaking may be entered into</w:t>
      </w:r>
      <w:bookmarkEnd w:id="57"/>
      <w:r>
        <w:rPr>
          <w:snapToGrid w:val="0"/>
        </w:rPr>
        <w:t xml:space="preserve"> </w:t>
      </w:r>
    </w:p>
    <w:p>
      <w:pPr>
        <w:pStyle w:val="Subsection"/>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a registrar of a court, other than a deputy registrar of the Magistrates Court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No. 15 of 1988 s. 11; No. 49 of 1988 s. 86; No. 2 of 1996 s. 61; No. 59 of 2004 s. 141; No. 84 of 2004 s. 82; No. 6 of 2008 s. 19.] </w:t>
      </w:r>
    </w:p>
    <w:p>
      <w:pPr>
        <w:pStyle w:val="Heading5"/>
        <w:rPr>
          <w:snapToGrid w:val="0"/>
        </w:rPr>
      </w:pPr>
      <w:bookmarkStart w:id="58" w:name="_Toc106980668"/>
      <w:r>
        <w:rPr>
          <w:rStyle w:val="CharSectno"/>
        </w:rPr>
        <w:t>30</w:t>
      </w:r>
      <w:r>
        <w:rPr>
          <w:snapToGrid w:val="0"/>
        </w:rPr>
        <w:t>.</w:t>
      </w:r>
      <w:r>
        <w:rPr>
          <w:snapToGrid w:val="0"/>
        </w:rPr>
        <w:tab/>
      </w:r>
      <w:r>
        <w:rPr>
          <w:snapToGrid w:val="0"/>
          <w:spacing w:val="-4"/>
        </w:rPr>
        <w:t>Duties of person before whom bail undertaking is entered into</w:t>
      </w:r>
      <w:bookmarkEnd w:id="58"/>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No. 15 of 1988 s. 12; amended: No. 84 of 2004 s. 82; No. 6 of 2008 s. 20 and 43(3).] </w:t>
      </w:r>
    </w:p>
    <w:p>
      <w:pPr>
        <w:pStyle w:val="Heading5"/>
        <w:rPr>
          <w:snapToGrid w:val="0"/>
        </w:rPr>
      </w:pPr>
      <w:bookmarkStart w:id="59" w:name="_Toc106980669"/>
      <w:r>
        <w:rPr>
          <w:rStyle w:val="CharSectno"/>
        </w:rPr>
        <w:t>31</w:t>
      </w:r>
      <w:r>
        <w:rPr>
          <w:snapToGrid w:val="0"/>
        </w:rPr>
        <w:t>.</w:t>
      </w:r>
      <w:r>
        <w:rPr>
          <w:snapToGrid w:val="0"/>
        </w:rPr>
        <w:tab/>
        <w:t>Different time and place for appearance, substituting</w:t>
      </w:r>
      <w:bookmarkEnd w:id="59"/>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w:t>
      </w:r>
      <w:r>
        <w:rPr>
          <w:snapToGrid w:val="0"/>
        </w:rPr>
        <w:lastRenderedPageBreak/>
        <w:t xml:space="preserve">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lastRenderedPageBreak/>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No. 15 of 1988 s. 13; No. 49 of 1988 s. 87; No. 27 of 2002 s. 21; No. 59 of 2004 s. 141; No. 84 of 2004 s. 82; No. 6 of 2008 s. 21(1) and (2).] </w:t>
      </w:r>
    </w:p>
    <w:p>
      <w:pPr>
        <w:pStyle w:val="Heading5"/>
      </w:pPr>
      <w:bookmarkStart w:id="60" w:name="_Toc106980670"/>
      <w:r>
        <w:rPr>
          <w:rStyle w:val="CharSectno"/>
        </w:rPr>
        <w:t>31A</w:t>
      </w:r>
      <w:r>
        <w:rPr>
          <w:snapToGrid w:val="0"/>
        </w:rPr>
        <w:t>.</w:t>
      </w:r>
      <w:r>
        <w:rPr>
          <w:snapToGrid w:val="0"/>
        </w:rPr>
        <w:tab/>
        <w:t>C</w:t>
      </w:r>
      <w:r>
        <w:t>onditions on bail, amending during trial</w:t>
      </w:r>
      <w:bookmarkEnd w:id="60"/>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lastRenderedPageBreak/>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lastRenderedPageBreak/>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No. 6 of 2008 s. 22(1).]</w:t>
      </w:r>
    </w:p>
    <w:p>
      <w:pPr>
        <w:pStyle w:val="Heading5"/>
        <w:rPr>
          <w:snapToGrid w:val="0"/>
        </w:rPr>
      </w:pPr>
      <w:bookmarkStart w:id="61" w:name="_Toc106980671"/>
      <w:r>
        <w:rPr>
          <w:rStyle w:val="CharSectno"/>
        </w:rPr>
        <w:t>32</w:t>
      </w:r>
      <w:r>
        <w:rPr>
          <w:snapToGrid w:val="0"/>
        </w:rPr>
        <w:t>.</w:t>
      </w:r>
      <w:r>
        <w:rPr>
          <w:snapToGrid w:val="0"/>
        </w:rPr>
        <w:tab/>
        <w:t>Notices under s. 31, service and proof of</w:t>
      </w:r>
      <w:bookmarkEnd w:id="61"/>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pPr>
      <w:r>
        <w:tab/>
        <w:t>(c)</w:t>
      </w:r>
      <w:r>
        <w:tab/>
        <w:t>shall be provided to the accused by electronic means in accordance with the regulations.</w:t>
      </w:r>
    </w:p>
    <w:p>
      <w:pPr>
        <w:pStyle w:val="Subsection"/>
        <w:rPr>
          <w:snapToGrid w:val="0"/>
        </w:rPr>
      </w:pPr>
      <w:r>
        <w:rPr>
          <w:snapToGrid w:val="0"/>
        </w:rPr>
        <w:tab/>
        <w:t>(2)</w:t>
      </w:r>
      <w:r>
        <w:rPr>
          <w:snapToGrid w:val="0"/>
        </w:rPr>
        <w:tab/>
        <w:t xml:space="preserve">A person who gives, </w:t>
      </w:r>
      <w:r>
        <w:t>sends or provides</w:t>
      </w:r>
      <w:r>
        <w:rPr>
          <w:snapToGrid w:val="0"/>
        </w:rPr>
        <w:t xml:space="preserve">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 xml:space="preserve">The judicial officer who under section 31(2)(a) notifies an accused of the time and place for resumed proceedings shall </w:t>
      </w:r>
      <w:r>
        <w:rPr>
          <w:snapToGrid w:val="0"/>
        </w:rPr>
        <w:lastRenderedPageBreak/>
        <w:t>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No. 74 of 1984 s. 12; No. 84 of 2004 s. 82; No. 6 of 2008 s. 23(1)</w:t>
      </w:r>
      <w:r>
        <w:noBreakHyphen/>
        <w:t xml:space="preserve">(3); No. 20 of 2013 s. 27; No. 34 of 2020 s. 82.] </w:t>
      </w:r>
    </w:p>
    <w:p>
      <w:pPr>
        <w:pStyle w:val="Heading5"/>
        <w:rPr>
          <w:snapToGrid w:val="0"/>
        </w:rPr>
      </w:pPr>
      <w:bookmarkStart w:id="62" w:name="_Toc106980672"/>
      <w:r>
        <w:rPr>
          <w:rStyle w:val="CharSectno"/>
        </w:rPr>
        <w:t>33</w:t>
      </w:r>
      <w:r>
        <w:rPr>
          <w:snapToGrid w:val="0"/>
        </w:rPr>
        <w:t>.</w:t>
      </w:r>
      <w:r>
        <w:rPr>
          <w:snapToGrid w:val="0"/>
        </w:rPr>
        <w:tab/>
        <w:t>Judicial officer may order accused to enter into bail undertaking</w:t>
      </w:r>
      <w:bookmarkEnd w:id="62"/>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w:t>
      </w:r>
      <w:r>
        <w:rPr>
          <w:snapToGrid w:val="0"/>
        </w:rPr>
        <w:lastRenderedPageBreak/>
        <w:t>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No. 84 of 2004 s. 82.] </w:t>
      </w:r>
    </w:p>
    <w:p>
      <w:pPr>
        <w:pStyle w:val="Heading5"/>
        <w:rPr>
          <w:snapToGrid w:val="0"/>
        </w:rPr>
      </w:pPr>
      <w:bookmarkStart w:id="63" w:name="_Toc106980673"/>
      <w:r>
        <w:rPr>
          <w:rStyle w:val="CharSectno"/>
        </w:rPr>
        <w:t>34</w:t>
      </w:r>
      <w:r>
        <w:rPr>
          <w:snapToGrid w:val="0"/>
        </w:rPr>
        <w:t>.</w:t>
      </w:r>
      <w:r>
        <w:rPr>
          <w:snapToGrid w:val="0"/>
        </w:rPr>
        <w:tab/>
        <w:t>When bail undertaking ceases to have effect</w:t>
      </w:r>
      <w:bookmarkEnd w:id="63"/>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34 amended: No. 84 of 2004 s. 82.] </w:t>
      </w:r>
    </w:p>
    <w:p>
      <w:pPr>
        <w:pStyle w:val="Heading2"/>
      </w:pPr>
      <w:bookmarkStart w:id="64" w:name="_Toc106978705"/>
      <w:bookmarkStart w:id="65" w:name="_Toc106980674"/>
      <w:r>
        <w:rPr>
          <w:rStyle w:val="CharPartNo"/>
        </w:rPr>
        <w:lastRenderedPageBreak/>
        <w:t>Part VI</w:t>
      </w:r>
      <w:r>
        <w:rPr>
          <w:rStyle w:val="CharDivNo"/>
        </w:rPr>
        <w:t> </w:t>
      </w:r>
      <w:r>
        <w:t>—</w:t>
      </w:r>
      <w:r>
        <w:rPr>
          <w:rStyle w:val="CharDivText"/>
        </w:rPr>
        <w:t> </w:t>
      </w:r>
      <w:r>
        <w:rPr>
          <w:rStyle w:val="CharPartText"/>
        </w:rPr>
        <w:t>Sureties and surety undertakings</w:t>
      </w:r>
      <w:bookmarkEnd w:id="64"/>
      <w:bookmarkEnd w:id="65"/>
      <w:r>
        <w:rPr>
          <w:rStyle w:val="CharPartText"/>
        </w:rPr>
        <w:t xml:space="preserve"> </w:t>
      </w:r>
    </w:p>
    <w:p>
      <w:pPr>
        <w:pStyle w:val="Heading5"/>
        <w:rPr>
          <w:snapToGrid w:val="0"/>
        </w:rPr>
      </w:pPr>
      <w:bookmarkStart w:id="66" w:name="_Toc106980675"/>
      <w:r>
        <w:rPr>
          <w:rStyle w:val="CharSectno"/>
        </w:rPr>
        <w:t>35</w:t>
      </w:r>
      <w:r>
        <w:rPr>
          <w:snapToGrid w:val="0"/>
        </w:rPr>
        <w:t>.</w:t>
      </w:r>
      <w:r>
        <w:rPr>
          <w:snapToGrid w:val="0"/>
        </w:rPr>
        <w:tab/>
        <w:t>Surety and surety undertaking</w:t>
      </w:r>
      <w:bookmarkEnd w:id="66"/>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No. 84 of 2004 s. 82; No. 6 of 2008 s. 18(3).] </w:t>
      </w:r>
    </w:p>
    <w:p>
      <w:pPr>
        <w:pStyle w:val="Heading5"/>
      </w:pPr>
      <w:bookmarkStart w:id="67" w:name="_Toc106980676"/>
      <w:r>
        <w:rPr>
          <w:rStyle w:val="CharSectno"/>
        </w:rPr>
        <w:t>36</w:t>
      </w:r>
      <w:r>
        <w:rPr>
          <w:snapToGrid w:val="0"/>
        </w:rPr>
        <w:t>.</w:t>
      </w:r>
      <w:r>
        <w:rPr>
          <w:snapToGrid w:val="0"/>
        </w:rPr>
        <w:tab/>
        <w:t>Sureties, who may approve</w:t>
      </w:r>
      <w:bookmarkEnd w:id="67"/>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No. 6 of 2008 s. 24(1).]</w:t>
      </w:r>
    </w:p>
    <w:p>
      <w:pPr>
        <w:pStyle w:val="Heading5"/>
        <w:rPr>
          <w:snapToGrid w:val="0"/>
        </w:rPr>
      </w:pPr>
      <w:bookmarkStart w:id="68" w:name="_Toc106980677"/>
      <w:r>
        <w:rPr>
          <w:rStyle w:val="CharSectno"/>
        </w:rPr>
        <w:lastRenderedPageBreak/>
        <w:t>37</w:t>
      </w:r>
      <w:r>
        <w:rPr>
          <w:snapToGrid w:val="0"/>
        </w:rPr>
        <w:t>.</w:t>
      </w:r>
      <w:r>
        <w:rPr>
          <w:snapToGrid w:val="0"/>
        </w:rPr>
        <w:tab/>
        <w:t>Proposed surety to receive certain information and form</w:t>
      </w:r>
      <w:bookmarkEnd w:id="68"/>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Footnotesection"/>
      </w:pPr>
      <w:r>
        <w:tab/>
        <w:t xml:space="preserve">[Section 37 amended: No. 84 of 2004 s. 82; No. 6 of 2008 s. 24(4), (5) and 25; No. 20 of 2013 s. 28.] </w:t>
      </w:r>
    </w:p>
    <w:p>
      <w:pPr>
        <w:pStyle w:val="Heading5"/>
        <w:rPr>
          <w:snapToGrid w:val="0"/>
        </w:rPr>
      </w:pPr>
      <w:bookmarkStart w:id="69" w:name="_Toc106980678"/>
      <w:r>
        <w:rPr>
          <w:rStyle w:val="CharSectno"/>
        </w:rPr>
        <w:t>38</w:t>
      </w:r>
      <w:r>
        <w:rPr>
          <w:snapToGrid w:val="0"/>
        </w:rPr>
        <w:t>.</w:t>
      </w:r>
      <w:r>
        <w:rPr>
          <w:snapToGrid w:val="0"/>
        </w:rPr>
        <w:tab/>
        <w:t>Persons disqualified from being sureties</w:t>
      </w:r>
      <w:bookmarkEnd w:id="69"/>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r>
      <w:r>
        <w:t>the person</w:t>
      </w:r>
      <w:r>
        <w:rPr>
          <w:snapToGrid w:val="0"/>
        </w:rPr>
        <w:t xml:space="preserve"> is under 18 years of age; or</w:t>
      </w:r>
    </w:p>
    <w:p>
      <w:pPr>
        <w:pStyle w:val="Indenta"/>
        <w:rPr>
          <w:snapToGrid w:val="0"/>
        </w:rPr>
      </w:pPr>
      <w:r>
        <w:rPr>
          <w:snapToGrid w:val="0"/>
        </w:rPr>
        <w:tab/>
        <w:t>(b)</w:t>
      </w:r>
      <w:r>
        <w:rPr>
          <w:snapToGrid w:val="0"/>
        </w:rPr>
        <w:tab/>
        <w:t xml:space="preserve">subject to subsection (2), the value of </w:t>
      </w:r>
      <w:r>
        <w:t>the person’s assets, after provision is made for the person’s debts and liabilities, is less than the amount which the person might become liable to forfeit under the person’s</w:t>
      </w:r>
      <w:r>
        <w:rPr>
          <w:snapToGrid w:val="0"/>
        </w:rPr>
        <w:t xml:space="preserve"> proposed surety undertaking; or</w:t>
      </w:r>
    </w:p>
    <w:p>
      <w:pPr>
        <w:pStyle w:val="Indenta"/>
        <w:rPr>
          <w:snapToGrid w:val="0"/>
        </w:rPr>
      </w:pPr>
      <w:r>
        <w:rPr>
          <w:snapToGrid w:val="0"/>
        </w:rPr>
        <w:tab/>
        <w:t>(c)</w:t>
      </w:r>
      <w:r>
        <w:rPr>
          <w:snapToGrid w:val="0"/>
        </w:rPr>
        <w:tab/>
        <w:t xml:space="preserve">there are reasonable grounds for believing that </w:t>
      </w:r>
      <w:r>
        <w:t>the person has been, or will be, indemnified by any person against any forfeiture referred to in paragraph (b); or</w:t>
      </w:r>
    </w:p>
    <w:p>
      <w:pPr>
        <w:pStyle w:val="Indenta"/>
      </w:pPr>
      <w:r>
        <w:lastRenderedPageBreak/>
        <w:tab/>
        <w:t>(d)</w:t>
      </w:r>
      <w:r>
        <w:tab/>
        <w:t>the surety approval officer knows, or has reasonable grounds to believe, that — </w:t>
      </w:r>
    </w:p>
    <w:p>
      <w:pPr>
        <w:pStyle w:val="Indenti"/>
      </w:pPr>
      <w:r>
        <w:tab/>
        <w:t>(i)</w:t>
      </w:r>
      <w:r>
        <w:tab/>
        <w:t xml:space="preserve">there is a current restraining order between the person and the accused under the </w:t>
      </w:r>
      <w:r>
        <w:rPr>
          <w:i/>
        </w:rPr>
        <w:t>Restraining Orders Act 1997</w:t>
      </w:r>
      <w:r>
        <w:rPr>
          <w:b/>
        </w:rPr>
        <w:t>;</w:t>
      </w:r>
      <w:r>
        <w:t xml:space="preserve"> or</w:t>
      </w:r>
    </w:p>
    <w:p>
      <w:pPr>
        <w:pStyle w:val="Indenti"/>
      </w:pPr>
      <w:r>
        <w:tab/>
        <w:t>(ii)</w:t>
      </w:r>
      <w:r>
        <w:rPr>
          <w:b/>
        </w:rPr>
        <w:tab/>
      </w:r>
      <w:r>
        <w:t>the person is in a family relationship with the accused and was a victim of an offence for which the accused has been convicted within the last 10 years; or</w:t>
      </w:r>
    </w:p>
    <w:p>
      <w:pPr>
        <w:pStyle w:val="Indenti"/>
      </w:pPr>
      <w:r>
        <w:tab/>
        <w:t>(iii)</w:t>
      </w:r>
      <w:r>
        <w:tab/>
        <w:t>the person is the alleged victim of the offence of which the accused has been charged and is in a family relationship with the accused.</w:t>
      </w:r>
    </w:p>
    <w:p>
      <w:pPr>
        <w:pStyle w:val="Subsection"/>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Subsection"/>
      </w:pPr>
      <w:r>
        <w:tab/>
        <w:t>(3)</w:t>
      </w:r>
      <w:r>
        <w:tab/>
        <w:t>A surety approval officer must not ask an applicant questions that relate to a matter under subsection (1)(d) but rather should rely on any information that is reasonably available from the details of the offence, records or similar sources of information.</w:t>
      </w:r>
    </w:p>
    <w:p>
      <w:pPr>
        <w:pStyle w:val="Subsection"/>
      </w:pPr>
      <w:r>
        <w:tab/>
        <w:t>(4)</w:t>
      </w:r>
      <w:r>
        <w:tab/>
        <w:t>Subsection (1)(d) does not apply where the accused is a child.</w:t>
      </w:r>
    </w:p>
    <w:p>
      <w:pPr>
        <w:pStyle w:val="Footnotesection"/>
      </w:pPr>
      <w:r>
        <w:tab/>
        <w:t>[Section 38 amended: No. 30 of 2020 s. 44.]</w:t>
      </w:r>
    </w:p>
    <w:p>
      <w:pPr>
        <w:pStyle w:val="Heading5"/>
        <w:spacing w:before="240"/>
        <w:rPr>
          <w:snapToGrid w:val="0"/>
        </w:rPr>
      </w:pPr>
      <w:bookmarkStart w:id="70" w:name="_Toc106980679"/>
      <w:r>
        <w:rPr>
          <w:rStyle w:val="CharSectno"/>
        </w:rPr>
        <w:t>39</w:t>
      </w:r>
      <w:r>
        <w:rPr>
          <w:snapToGrid w:val="0"/>
        </w:rPr>
        <w:t>.</w:t>
      </w:r>
      <w:r>
        <w:rPr>
          <w:snapToGrid w:val="0"/>
        </w:rPr>
        <w:tab/>
        <w:t>Matters to be regarded when approving sureties</w:t>
      </w:r>
      <w:bookmarkEnd w:id="70"/>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 xml:space="preserve">his ability to pay, or give security for, the amount which he might become liable to forfeit under his proposed </w:t>
      </w:r>
      <w:r>
        <w:rPr>
          <w:snapToGrid w:val="0"/>
        </w:rPr>
        <w:lastRenderedPageBreak/>
        <w:t>surety undertaking, without excessive hardship to himself or his dependants.</w:t>
      </w:r>
    </w:p>
    <w:p>
      <w:pPr>
        <w:pStyle w:val="Footnotesection"/>
        <w:ind w:left="890" w:hanging="890"/>
      </w:pPr>
      <w:r>
        <w:tab/>
        <w:t xml:space="preserve">[Section 39 amended: No. 84 of 2004 s. 82; No. 6 of 2008 s. 24(4).] </w:t>
      </w:r>
    </w:p>
    <w:p>
      <w:pPr>
        <w:pStyle w:val="Heading5"/>
        <w:spacing w:before="240"/>
        <w:rPr>
          <w:snapToGrid w:val="0"/>
        </w:rPr>
      </w:pPr>
      <w:bookmarkStart w:id="71" w:name="_Toc106980680"/>
      <w:r>
        <w:rPr>
          <w:rStyle w:val="CharSectno"/>
        </w:rPr>
        <w:t>40</w:t>
      </w:r>
      <w:r>
        <w:rPr>
          <w:snapToGrid w:val="0"/>
        </w:rPr>
        <w:t>.</w:t>
      </w:r>
      <w:r>
        <w:rPr>
          <w:snapToGrid w:val="0"/>
        </w:rPr>
        <w:tab/>
        <w:t>Decision on application by proposed surety</w:t>
      </w:r>
      <w:bookmarkEnd w:id="71"/>
      <w:r>
        <w:rPr>
          <w:snapToGrid w:val="0"/>
        </w:rPr>
        <w:t xml:space="preserve"> </w:t>
      </w:r>
    </w:p>
    <w:p>
      <w:pPr>
        <w:pStyle w:val="Subsection"/>
        <w:spacing w:before="180"/>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spacing w:before="180"/>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Subsection"/>
      </w:pPr>
      <w:r>
        <w:tab/>
        <w:t>(3)</w:t>
      </w:r>
      <w:r>
        <w:tab/>
        <w:t>The surety approval officer must not include reasons under subsection (2) to the extent that to do so would disclose that the surety approval officer has acted under section 38(1)(d) (but must still make a record of these reasons).</w:t>
      </w:r>
    </w:p>
    <w:p>
      <w:pPr>
        <w:pStyle w:val="Footnotesection"/>
        <w:ind w:left="890" w:hanging="890"/>
      </w:pPr>
      <w:r>
        <w:tab/>
        <w:t xml:space="preserve">[Section 40 amended: No. 15 of 1988 s. 15; No. 84 of 2004 s. 82; No. 6 of 2008 s. 24(5); No. 30 of 2020 s. 45.] </w:t>
      </w:r>
    </w:p>
    <w:p>
      <w:pPr>
        <w:pStyle w:val="Heading5"/>
        <w:keepLines w:val="0"/>
        <w:spacing w:before="240"/>
        <w:rPr>
          <w:snapToGrid w:val="0"/>
        </w:rPr>
      </w:pPr>
      <w:bookmarkStart w:id="72" w:name="_Toc106980681"/>
      <w:r>
        <w:rPr>
          <w:rStyle w:val="CharSectno"/>
        </w:rPr>
        <w:t>41</w:t>
      </w:r>
      <w:r>
        <w:rPr>
          <w:snapToGrid w:val="0"/>
        </w:rPr>
        <w:t>.</w:t>
      </w:r>
      <w:r>
        <w:rPr>
          <w:snapToGrid w:val="0"/>
        </w:rPr>
        <w:tab/>
        <w:t>Finality of decision to refuse approval of surety</w:t>
      </w:r>
      <w:bookmarkEnd w:id="72"/>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lastRenderedPageBreak/>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No. 6 of 2008 s. 24(3) and (4).]</w:t>
      </w:r>
    </w:p>
    <w:p>
      <w:pPr>
        <w:pStyle w:val="Heading5"/>
        <w:rPr>
          <w:snapToGrid w:val="0"/>
        </w:rPr>
      </w:pPr>
      <w:bookmarkStart w:id="73" w:name="_Toc106980682"/>
      <w:r>
        <w:rPr>
          <w:rStyle w:val="CharSectno"/>
        </w:rPr>
        <w:t>42</w:t>
      </w:r>
      <w:r>
        <w:rPr>
          <w:snapToGrid w:val="0"/>
        </w:rPr>
        <w:t>.</w:t>
      </w:r>
      <w:r>
        <w:rPr>
          <w:snapToGrid w:val="0"/>
        </w:rPr>
        <w:tab/>
        <w:t>Before whom surety undertaking may be entered into</w:t>
      </w:r>
      <w:bookmarkEnd w:id="73"/>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No. 84 of 2004 s. 82; No. 6 of 2008 s. 24(5).] </w:t>
      </w:r>
    </w:p>
    <w:p>
      <w:pPr>
        <w:pStyle w:val="Heading5"/>
        <w:rPr>
          <w:snapToGrid w:val="0"/>
        </w:rPr>
      </w:pPr>
      <w:bookmarkStart w:id="74" w:name="_Toc106980683"/>
      <w:r>
        <w:rPr>
          <w:rStyle w:val="CharSectno"/>
        </w:rPr>
        <w:t>43</w:t>
      </w:r>
      <w:r>
        <w:rPr>
          <w:snapToGrid w:val="0"/>
        </w:rPr>
        <w:t>.</w:t>
      </w:r>
      <w:r>
        <w:rPr>
          <w:snapToGrid w:val="0"/>
        </w:rPr>
        <w:tab/>
        <w:t>Duties of person before whom surety undertaking is entered into</w:t>
      </w:r>
      <w:bookmarkEnd w:id="74"/>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rPr>
          <w:snapToGrid w:val="0"/>
        </w:rPr>
      </w:pPr>
      <w:r>
        <w:rPr>
          <w:snapToGrid w:val="0"/>
        </w:rPr>
        <w:tab/>
        <w:t>(iii)</w:t>
      </w:r>
      <w:r>
        <w:rPr>
          <w:snapToGrid w:val="0"/>
        </w:rPr>
        <w:tab/>
        <w:t>if necessary, have translated to the surety,</w:t>
      </w:r>
    </w:p>
    <w:p>
      <w:pPr>
        <w:pStyle w:val="Indenta"/>
        <w:rPr>
          <w:snapToGrid w:val="0"/>
        </w:rPr>
      </w:pPr>
      <w:r>
        <w:rPr>
          <w:snapToGrid w:val="0"/>
        </w:rPr>
        <w:tab/>
      </w:r>
      <w:r>
        <w:rPr>
          <w:snapToGrid w:val="0"/>
        </w:rPr>
        <w:tab/>
        <w:t>the documents described in section 37(1)(a) and (b), and the surety undertaking, before the surety enters into the undertaking; and</w:t>
      </w:r>
    </w:p>
    <w:p>
      <w:pPr>
        <w:pStyle w:val="Indenta"/>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No. 74 of 1984 s. 13.] </w:t>
      </w:r>
    </w:p>
    <w:p>
      <w:pPr>
        <w:pStyle w:val="Heading5"/>
      </w:pPr>
      <w:bookmarkStart w:id="75" w:name="_Toc106980684"/>
      <w:r>
        <w:rPr>
          <w:rStyle w:val="CharSectno"/>
        </w:rPr>
        <w:lastRenderedPageBreak/>
        <w:t>43A</w:t>
      </w:r>
      <w:r>
        <w:t>. </w:t>
      </w:r>
      <w:r>
        <w:rPr>
          <w:vertAlign w:val="superscript"/>
        </w:rPr>
        <w:t>2M</w:t>
      </w:r>
      <w:r>
        <w:tab/>
        <w:t>Entering into surety undertaking where proposed surety interstate</w:t>
      </w:r>
      <w:bookmarkEnd w:id="75"/>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provide the surety undertaking to the proposed surety for completion by providing it by electronic means in accordance with the regulations.</w:t>
      </w:r>
    </w:p>
    <w:p>
      <w:pPr>
        <w:pStyle w:val="Subsection"/>
      </w:pPr>
      <w:r>
        <w:tab/>
        <w:t>(5)</w:t>
      </w:r>
      <w:r>
        <w:tab/>
        <w:t>The proposed surety may enter into the surety undertaking by providing the completed surety undertaking to the relevant official by electronic means in accordance with the regulations.</w:t>
      </w:r>
    </w:p>
    <w:p>
      <w:pPr>
        <w:pStyle w:val="Subsection"/>
        <w:spacing w:before="120"/>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spacing w:before="120"/>
      </w:pPr>
      <w:r>
        <w:tab/>
        <w:t>(7)</w:t>
      </w:r>
      <w:r>
        <w:tab/>
        <w:t xml:space="preserve">The relevant official may comply with section 43(c) by providing a copy of the surety undertaking (as duly completed) </w:t>
      </w:r>
      <w:r>
        <w:lastRenderedPageBreak/>
        <w:t>to the surety by electronic means in accordance with the regulations.</w:t>
      </w:r>
    </w:p>
    <w:p>
      <w:pPr>
        <w:pStyle w:val="Subsection"/>
        <w:spacing w:before="120"/>
      </w:pPr>
      <w:r>
        <w:tab/>
        <w:t>(8)</w:t>
      </w:r>
      <w:r>
        <w:tab/>
        <w:t>A surety undertaking that is entered into in accordance with this section is to be taken to have been entered into before the relevant official.</w:t>
      </w:r>
    </w:p>
    <w:p>
      <w:pPr>
        <w:pStyle w:val="Subsection"/>
        <w:spacing w:before="120"/>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Footnotesection"/>
        <w:spacing w:before="100"/>
        <w:ind w:left="890" w:hanging="890"/>
      </w:pPr>
      <w:r>
        <w:tab/>
        <w:t>[Section 43A inserted: No. 6 of 2008 s. 26; amended: No. 20 of 2013 s. 29.]</w:t>
      </w:r>
    </w:p>
    <w:p>
      <w:pPr>
        <w:pStyle w:val="Footnotesection"/>
        <w:spacing w:before="100"/>
        <w:ind w:left="890" w:hanging="890"/>
        <w:rPr>
          <w:i w:val="0"/>
        </w:rPr>
      </w:pPr>
      <w:r>
        <w:tab/>
        <w:t>[Section 43A: modified by the COVID</w:t>
      </w:r>
      <w:r>
        <w:noBreakHyphen/>
        <w:t>19 Response and Economic Recovery Omnibus Act 2020 (No. 34 of 2020) Part 4 Division 1. See endnote 2M.]</w:t>
      </w:r>
    </w:p>
    <w:p>
      <w:pPr>
        <w:pStyle w:val="Heading5"/>
        <w:spacing w:before="180"/>
      </w:pPr>
      <w:bookmarkStart w:id="76" w:name="_Toc106980685"/>
      <w:r>
        <w:rPr>
          <w:rStyle w:val="CharSectno"/>
        </w:rPr>
        <w:t>44</w:t>
      </w:r>
      <w:r>
        <w:rPr>
          <w:snapToGrid w:val="0"/>
        </w:rPr>
        <w:t>.</w:t>
      </w:r>
      <w:r>
        <w:rPr>
          <w:snapToGrid w:val="0"/>
        </w:rPr>
        <w:tab/>
        <w:t>When surety undertaking extends to different time or different time and place substituted under s. 31</w:t>
      </w:r>
      <w:bookmarkEnd w:id="76"/>
    </w:p>
    <w:p>
      <w:pPr>
        <w:pStyle w:val="Subsection"/>
        <w:spacing w:before="120"/>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spacing w:before="140"/>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keepNext/>
        <w:rPr>
          <w:snapToGrid w:val="0"/>
        </w:rPr>
      </w:pPr>
      <w:r>
        <w:rPr>
          <w:snapToGrid w:val="0"/>
        </w:rPr>
        <w:lastRenderedPageBreak/>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spacing w:before="140"/>
      </w:pPr>
      <w:r>
        <w:tab/>
        <w:t>(4)</w:t>
      </w:r>
      <w:r>
        <w:tab/>
        <w:t>Subsection (2) applies despite any amendment as defined in section 31A(1) if the endorsement or notice under section 31A(3)(a) in respect of the amendment includes a statement referred to in section 31A(4).</w:t>
      </w:r>
    </w:p>
    <w:p>
      <w:pPr>
        <w:pStyle w:val="Subsection"/>
        <w:spacing w:before="140"/>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spacing w:before="140"/>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spacing w:before="140"/>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spacing w:before="80"/>
        <w:ind w:left="890" w:hanging="890"/>
      </w:pPr>
      <w:r>
        <w:tab/>
        <w:t>[Section 44 inserted: No. 6 of 2008 s. 27(1).]</w:t>
      </w:r>
    </w:p>
    <w:p>
      <w:pPr>
        <w:pStyle w:val="Heading5"/>
        <w:keepNext w:val="0"/>
        <w:keepLines w:val="0"/>
        <w:spacing w:before="260"/>
        <w:rPr>
          <w:snapToGrid w:val="0"/>
        </w:rPr>
      </w:pPr>
      <w:bookmarkStart w:id="77" w:name="_Toc106980686"/>
      <w:r>
        <w:rPr>
          <w:rStyle w:val="CharSectno"/>
        </w:rPr>
        <w:t>45</w:t>
      </w:r>
      <w:r>
        <w:rPr>
          <w:snapToGrid w:val="0"/>
        </w:rPr>
        <w:t>.</w:t>
      </w:r>
      <w:r>
        <w:rPr>
          <w:snapToGrid w:val="0"/>
        </w:rPr>
        <w:tab/>
        <w:t>Notices under s. 44, service and proof of</w:t>
      </w:r>
      <w:bookmarkEnd w:id="77"/>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lastRenderedPageBreak/>
        <w:tab/>
        <w:t>(b)</w:t>
      </w:r>
      <w:r>
        <w:rPr>
          <w:snapToGrid w:val="0"/>
        </w:rPr>
        <w:tab/>
        <w:t xml:space="preserve">in the </w:t>
      </w:r>
      <w:r>
        <w:t>approved</w:t>
      </w:r>
      <w:r>
        <w:rPr>
          <w:snapToGrid w:val="0"/>
        </w:rPr>
        <w:t xml:space="preserve"> form to the surety personally; or</w:t>
      </w:r>
    </w:p>
    <w:p>
      <w:pPr>
        <w:pStyle w:val="Indenta"/>
      </w:pPr>
      <w:r>
        <w:tab/>
        <w:t>(c)</w:t>
      </w:r>
      <w:r>
        <w:tab/>
        <w:t xml:space="preserve">by a person authorised under subsection (5) — </w:t>
      </w:r>
    </w:p>
    <w:p>
      <w:pPr>
        <w:pStyle w:val="Indenti"/>
      </w:pPr>
      <w:r>
        <w:tab/>
        <w:t>(i)</w:t>
      </w:r>
      <w:r>
        <w:tab/>
        <w:t>sending or causing to be sent the approved form to the surety by post to the surety’s address appearing in the records of the court; or</w:t>
      </w:r>
    </w:p>
    <w:p>
      <w:pPr>
        <w:pStyle w:val="Indenti"/>
      </w:pPr>
      <w:r>
        <w:tab/>
        <w:t>(ii)</w:t>
      </w:r>
      <w:r>
        <w:tab/>
        <w:t>providing or causing to be provided the approved form to the surety by electronic means in accordance with the regulations.</w:t>
      </w:r>
    </w:p>
    <w:p>
      <w:pPr>
        <w:pStyle w:val="Subsection"/>
        <w:spacing w:before="120"/>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spacing w:before="120"/>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spacing w:before="120"/>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spacing w:before="120"/>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lastRenderedPageBreak/>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No. 74 of 1984 s. 15; No. 59 of 2004 s. 141; No. 6 of 2008 s. 28(1)</w:t>
      </w:r>
      <w:r>
        <w:noBreakHyphen/>
        <w:t xml:space="preserve">(5); No. 20 of 2013 s. 30; No. 34 of 2020 s. 82.] </w:t>
      </w:r>
    </w:p>
    <w:p>
      <w:pPr>
        <w:pStyle w:val="Heading5"/>
        <w:rPr>
          <w:snapToGrid w:val="0"/>
        </w:rPr>
      </w:pPr>
      <w:bookmarkStart w:id="78" w:name="_Toc106980687"/>
      <w:r>
        <w:rPr>
          <w:rStyle w:val="CharSectno"/>
        </w:rPr>
        <w:t>46</w:t>
      </w:r>
      <w:r>
        <w:rPr>
          <w:snapToGrid w:val="0"/>
        </w:rPr>
        <w:t>.</w:t>
      </w:r>
      <w:r>
        <w:rPr>
          <w:snapToGrid w:val="0"/>
        </w:rPr>
        <w:tab/>
        <w:t>Surety’s power to arrest accused</w:t>
      </w:r>
      <w:bookmarkEnd w:id="78"/>
    </w:p>
    <w:p>
      <w:pPr>
        <w:pStyle w:val="Subsection"/>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it is not expedient to invoke the assistance of the relevant officer under section 54(1) because the delay </w:t>
      </w:r>
      <w:r>
        <w:rPr>
          <w:snapToGrid w:val="0"/>
        </w:rPr>
        <w:lastRenderedPageBreak/>
        <w:t>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ind w:left="890" w:hanging="890"/>
      </w:pPr>
      <w:r>
        <w:tab/>
        <w:t xml:space="preserve">[Section 46 amended: No. 74 of 1984 s. 16; No. 61 of 1990 s. 10; No. 84 of 2004 s. 82; No. 6 of 2008 s. 33(5).] </w:t>
      </w:r>
    </w:p>
    <w:p>
      <w:pPr>
        <w:pStyle w:val="Heading5"/>
        <w:rPr>
          <w:snapToGrid w:val="0"/>
        </w:rPr>
      </w:pPr>
      <w:bookmarkStart w:id="79" w:name="_Toc106980688"/>
      <w:r>
        <w:rPr>
          <w:rStyle w:val="CharSectno"/>
        </w:rPr>
        <w:t>47</w:t>
      </w:r>
      <w:r>
        <w:rPr>
          <w:snapToGrid w:val="0"/>
        </w:rPr>
        <w:t>.</w:t>
      </w:r>
      <w:r>
        <w:rPr>
          <w:snapToGrid w:val="0"/>
        </w:rPr>
        <w:tab/>
        <w:t>When surety undertaking ceases to have effect</w:t>
      </w:r>
      <w:bookmarkEnd w:id="79"/>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ind w:left="890" w:hanging="890"/>
      </w:pPr>
      <w:r>
        <w:tab/>
        <w:t xml:space="preserve">[Section 47 amended: No. 84 of 2004 s. 82.] </w:t>
      </w:r>
    </w:p>
    <w:p>
      <w:pPr>
        <w:pStyle w:val="Heading5"/>
        <w:rPr>
          <w:snapToGrid w:val="0"/>
        </w:rPr>
      </w:pPr>
      <w:bookmarkStart w:id="80" w:name="_Toc106980689"/>
      <w:r>
        <w:rPr>
          <w:rStyle w:val="CharSectno"/>
        </w:rPr>
        <w:lastRenderedPageBreak/>
        <w:t>48</w:t>
      </w:r>
      <w:r>
        <w:rPr>
          <w:snapToGrid w:val="0"/>
        </w:rPr>
        <w:t>.</w:t>
      </w:r>
      <w:r>
        <w:rPr>
          <w:snapToGrid w:val="0"/>
        </w:rPr>
        <w:tab/>
        <w:t>Surety may apply for cancellation of his undertaking</w:t>
      </w:r>
      <w:bookmarkEnd w:id="80"/>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spacing w:before="120"/>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spacing w:before="120"/>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No. 59 of 2004 s. 141; No. 84 of 2004 s. 7 and 82; No. 6 of 2008 s. 29.] </w:t>
      </w:r>
    </w:p>
    <w:p>
      <w:pPr>
        <w:pStyle w:val="Heading5"/>
        <w:keepNext w:val="0"/>
        <w:keepLines w:val="0"/>
        <w:spacing w:before="180"/>
        <w:rPr>
          <w:snapToGrid w:val="0"/>
        </w:rPr>
      </w:pPr>
      <w:bookmarkStart w:id="81" w:name="_Toc106980690"/>
      <w:r>
        <w:rPr>
          <w:rStyle w:val="CharSectno"/>
        </w:rPr>
        <w:t>49</w:t>
      </w:r>
      <w:r>
        <w:rPr>
          <w:snapToGrid w:val="0"/>
        </w:rPr>
        <w:t>.</w:t>
      </w:r>
      <w:r>
        <w:rPr>
          <w:snapToGrid w:val="0"/>
        </w:rPr>
        <w:tab/>
        <w:t>Surety’s undertaking to pay money, enforcing</w:t>
      </w:r>
      <w:bookmarkEnd w:id="81"/>
      <w:r>
        <w:rPr>
          <w:snapToGrid w:val="0"/>
        </w:rPr>
        <w:t xml:space="preserve"> </w:t>
      </w:r>
    </w:p>
    <w:p>
      <w:pPr>
        <w:pStyle w:val="Subsection"/>
        <w:spacing w:before="120"/>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spacing w:before="60"/>
        <w:rPr>
          <w:snapToGrid w:val="0"/>
        </w:rPr>
      </w:pPr>
      <w:r>
        <w:rPr>
          <w:snapToGrid w:val="0"/>
        </w:rPr>
        <w:tab/>
        <w:t>(a)</w:t>
      </w:r>
      <w:r>
        <w:rPr>
          <w:snapToGrid w:val="0"/>
        </w:rPr>
        <w:tab/>
        <w:t>an application for an order that the sum be paid may be made to an appropriate judicial officer — </w:t>
      </w:r>
    </w:p>
    <w:p>
      <w:pPr>
        <w:pStyle w:val="Indenti"/>
        <w:spacing w:before="60"/>
        <w:rPr>
          <w:snapToGrid w:val="0"/>
        </w:rPr>
      </w:pPr>
      <w:r>
        <w:rPr>
          <w:snapToGrid w:val="0"/>
        </w:rPr>
        <w:lastRenderedPageBreak/>
        <w:tab/>
        <w:t>(i)</w:t>
      </w:r>
      <w:r>
        <w:rPr>
          <w:snapToGrid w:val="0"/>
        </w:rPr>
        <w:tab/>
        <w:t>by the Director of Public Prosecutions where the court before which the accused failed to appear was — </w:t>
      </w:r>
    </w:p>
    <w:p>
      <w:pPr>
        <w:pStyle w:val="IndentI0"/>
        <w:spacing w:before="60"/>
        <w:rPr>
          <w:snapToGrid w:val="0"/>
        </w:rPr>
      </w:pPr>
      <w:r>
        <w:rPr>
          <w:snapToGrid w:val="0"/>
        </w:rPr>
        <w:tab/>
        <w:t>(I)</w:t>
      </w:r>
      <w:r>
        <w:rPr>
          <w:snapToGrid w:val="0"/>
        </w:rPr>
        <w:tab/>
        <w:t>the District Court, the Supreme Court or the Court of Appeal; or</w:t>
      </w:r>
    </w:p>
    <w:p>
      <w:pPr>
        <w:pStyle w:val="IndentI0"/>
        <w:spacing w:before="60"/>
        <w:rPr>
          <w:snapToGrid w:val="0"/>
        </w:rPr>
      </w:pPr>
      <w:r>
        <w:rPr>
          <w:snapToGrid w:val="0"/>
        </w:rPr>
        <w:tab/>
        <w:t>(II)</w:t>
      </w:r>
      <w:r>
        <w:rPr>
          <w:snapToGrid w:val="0"/>
        </w:rPr>
        <w:tab/>
        <w:t>another court, if the Director of Public Prosecutions is the prosecutor in that court of the case against the accused;</w:t>
      </w:r>
    </w:p>
    <w:p>
      <w:pPr>
        <w:pStyle w:val="Indenti"/>
        <w:spacing w:before="60"/>
        <w:rPr>
          <w:snapToGrid w:val="0"/>
        </w:rPr>
      </w:pPr>
      <w:r>
        <w:rPr>
          <w:snapToGrid w:val="0"/>
        </w:rPr>
        <w:tab/>
      </w:r>
      <w:r>
        <w:rPr>
          <w:snapToGrid w:val="0"/>
        </w:rPr>
        <w:tab/>
        <w:t>or</w:t>
      </w:r>
    </w:p>
    <w:p>
      <w:pPr>
        <w:pStyle w:val="Indenti"/>
        <w:spacing w:before="60"/>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6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spacing w:before="60"/>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spacing w:before="60"/>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w:t>
      </w:r>
      <w:r>
        <w:rPr>
          <w:snapToGrid w:val="0"/>
        </w:rPr>
        <w:lastRenderedPageBreak/>
        <w:t>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spacing w:before="120"/>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spacing w:before="120"/>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spacing w:before="120"/>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keepLines w:val="0"/>
        <w:spacing w:before="80"/>
        <w:ind w:left="890" w:hanging="890"/>
      </w:pPr>
      <w:r>
        <w:tab/>
        <w:t xml:space="preserve">[Section 49 amended: No. 74 of 1984 s. 17; No. 92 of 1994 s. 5; No. 78 of 1995 s. 8; No. 65 of 2003 s. 121(3); No. 74 of 2003 s. 29; No. 59 of 2004 s. 141; No. 84 of 2004 s. 8, 11 and 82; No. 6 of 2008 s. 18(2) and 30(1) and (2).] </w:t>
      </w:r>
    </w:p>
    <w:p>
      <w:pPr>
        <w:pStyle w:val="Heading5"/>
        <w:rPr>
          <w:snapToGrid w:val="0"/>
        </w:rPr>
      </w:pPr>
      <w:bookmarkStart w:id="82" w:name="_Toc106980691"/>
      <w:r>
        <w:rPr>
          <w:rStyle w:val="CharSectno"/>
        </w:rPr>
        <w:t>50</w:t>
      </w:r>
      <w:r>
        <w:rPr>
          <w:snapToGrid w:val="0"/>
        </w:rPr>
        <w:t>.</w:t>
      </w:r>
      <w:r>
        <w:rPr>
          <w:snapToGrid w:val="0"/>
        </w:rPr>
        <w:tab/>
        <w:t>Indemnifying surety, offence</w:t>
      </w:r>
      <w:bookmarkEnd w:id="82"/>
      <w:r>
        <w:rPr>
          <w:snapToGrid w:val="0"/>
        </w:rPr>
        <w:t xml:space="preserve"> </w:t>
      </w:r>
    </w:p>
    <w:p>
      <w:pPr>
        <w:pStyle w:val="Subsection"/>
        <w:rPr>
          <w:snapToGrid w:val="0"/>
        </w:rPr>
      </w:pPr>
      <w:r>
        <w:rPr>
          <w:snapToGrid w:val="0"/>
        </w:rPr>
        <w:tab/>
        <w:t>(1)</w:t>
      </w:r>
      <w:r>
        <w:rPr>
          <w:snapToGrid w:val="0"/>
        </w:rPr>
        <w:tab/>
        <w:t xml:space="preserve">If a person indemnifies, or agrees to indemnify, a surety or proposed surety against any liability which the surety or proposed surety may incur under this Act (including this </w:t>
      </w:r>
      <w:r>
        <w:rPr>
          <w:snapToGrid w:val="0"/>
        </w:rPr>
        <w:lastRenderedPageBreak/>
        <w:t>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No. 74 of 1984 s. 18.] </w:t>
      </w:r>
    </w:p>
    <w:p>
      <w:pPr>
        <w:pStyle w:val="Heading2"/>
      </w:pPr>
      <w:bookmarkStart w:id="83" w:name="_Toc106978723"/>
      <w:bookmarkStart w:id="84" w:name="_Toc106980692"/>
      <w:r>
        <w:rPr>
          <w:rStyle w:val="CharPartNo"/>
        </w:rPr>
        <w:lastRenderedPageBreak/>
        <w:t>Part VIA</w:t>
      </w:r>
      <w:r>
        <w:rPr>
          <w:rStyle w:val="CharDivNo"/>
        </w:rPr>
        <w:t> </w:t>
      </w:r>
      <w:r>
        <w:t>—</w:t>
      </w:r>
      <w:r>
        <w:rPr>
          <w:rStyle w:val="CharDivText"/>
        </w:rPr>
        <w:t> </w:t>
      </w:r>
      <w:r>
        <w:rPr>
          <w:rStyle w:val="CharPartText"/>
        </w:rPr>
        <w:t>Administration of home detention conditions</w:t>
      </w:r>
      <w:bookmarkEnd w:id="83"/>
      <w:bookmarkEnd w:id="84"/>
      <w:r>
        <w:rPr>
          <w:rStyle w:val="CharPartText"/>
        </w:rPr>
        <w:t xml:space="preserve"> </w:t>
      </w:r>
    </w:p>
    <w:p>
      <w:pPr>
        <w:pStyle w:val="Footnoteheading"/>
        <w:ind w:left="890"/>
        <w:rPr>
          <w:snapToGrid w:val="0"/>
        </w:rPr>
      </w:pPr>
      <w:r>
        <w:rPr>
          <w:snapToGrid w:val="0"/>
        </w:rPr>
        <w:tab/>
        <w:t xml:space="preserve">[Heading inserted: No. 61 of 1990 s. 11.] </w:t>
      </w:r>
    </w:p>
    <w:p>
      <w:pPr>
        <w:pStyle w:val="Heading5"/>
        <w:rPr>
          <w:snapToGrid w:val="0"/>
        </w:rPr>
      </w:pPr>
      <w:bookmarkStart w:id="85" w:name="_Toc106980693"/>
      <w:r>
        <w:rPr>
          <w:rStyle w:val="CharSectno"/>
        </w:rPr>
        <w:t>50A</w:t>
      </w:r>
      <w:r>
        <w:rPr>
          <w:snapToGrid w:val="0"/>
        </w:rPr>
        <w:t>.</w:t>
      </w:r>
      <w:r>
        <w:rPr>
          <w:snapToGrid w:val="0"/>
        </w:rPr>
        <w:tab/>
        <w:t xml:space="preserve">Powers of CEO </w:t>
      </w:r>
      <w:r>
        <w:t>(corrections)</w:t>
      </w:r>
      <w:bookmarkEnd w:id="85"/>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No. 61 of 1990 s. 11; amended: No. 31 of 1993 s. 9; No. 65 of 2006 s. 53.] </w:t>
      </w:r>
    </w:p>
    <w:p>
      <w:pPr>
        <w:pStyle w:val="Ednotesection"/>
      </w:pPr>
      <w:r>
        <w:t>[</w:t>
      </w:r>
      <w:r>
        <w:rPr>
          <w:b/>
        </w:rPr>
        <w:t>50B.</w:t>
      </w:r>
      <w:r>
        <w:tab/>
        <w:t xml:space="preserve">Deleted: No. 78 of 1995 s. 8.] </w:t>
      </w:r>
    </w:p>
    <w:p>
      <w:pPr>
        <w:pStyle w:val="Heading5"/>
        <w:rPr>
          <w:snapToGrid w:val="0"/>
        </w:rPr>
      </w:pPr>
      <w:bookmarkStart w:id="86" w:name="_Toc106980694"/>
      <w:r>
        <w:rPr>
          <w:rStyle w:val="CharSectno"/>
        </w:rPr>
        <w:t>50C</w:t>
      </w:r>
      <w:r>
        <w:rPr>
          <w:snapToGrid w:val="0"/>
        </w:rPr>
        <w:t>.</w:t>
      </w:r>
      <w:r>
        <w:rPr>
          <w:snapToGrid w:val="0"/>
        </w:rPr>
        <w:tab/>
        <w:t>Powers and duties of community corrections officers</w:t>
      </w:r>
      <w:bookmarkEnd w:id="86"/>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lastRenderedPageBreak/>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No. 61 of 1990 s. 11; amended: No. 31 of 1993 s. 9; No. 50 of 2003 s. 37(3); No. 84 of 2004 s. 82 and 83(3); No. 65 of 2006 s. 53; No. 2 of 2008 s. 56(2).] </w:t>
      </w:r>
    </w:p>
    <w:p>
      <w:pPr>
        <w:pStyle w:val="Heading5"/>
        <w:rPr>
          <w:snapToGrid w:val="0"/>
        </w:rPr>
      </w:pPr>
      <w:bookmarkStart w:id="87" w:name="_Toc106980695"/>
      <w:r>
        <w:rPr>
          <w:rStyle w:val="CharSectno"/>
        </w:rPr>
        <w:lastRenderedPageBreak/>
        <w:t>50D</w:t>
      </w:r>
      <w:r>
        <w:rPr>
          <w:snapToGrid w:val="0"/>
        </w:rPr>
        <w:t>.</w:t>
      </w:r>
      <w:r>
        <w:rPr>
          <w:snapToGrid w:val="0"/>
        </w:rPr>
        <w:tab/>
        <w:t>Powers of members of Police Force</w:t>
      </w:r>
      <w:bookmarkEnd w:id="87"/>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No. 61 of 1990 s. 11; amended: No. 31 of 1993 s. 9; No. 50 of 2003 s. 37(4); No. 84 of 2004 s. 82; No. 65 of 2006 s. 53.] </w:t>
      </w:r>
    </w:p>
    <w:p>
      <w:pPr>
        <w:pStyle w:val="Heading5"/>
        <w:rPr>
          <w:snapToGrid w:val="0"/>
        </w:rPr>
      </w:pPr>
      <w:bookmarkStart w:id="88" w:name="_Toc106980696"/>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88"/>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No. 61 of 1990 s. 11; amended: No. 31 of 1993 s. 9; No. 84 of 2004 s. 82; No. 65 of 2006 s. 53.] </w:t>
      </w:r>
    </w:p>
    <w:p>
      <w:pPr>
        <w:pStyle w:val="Heading5"/>
        <w:spacing w:before="260"/>
        <w:rPr>
          <w:snapToGrid w:val="0"/>
        </w:rPr>
      </w:pPr>
      <w:bookmarkStart w:id="89" w:name="_Toc106980697"/>
      <w:r>
        <w:rPr>
          <w:rStyle w:val="CharSectno"/>
        </w:rPr>
        <w:lastRenderedPageBreak/>
        <w:t>50F</w:t>
      </w:r>
      <w:r>
        <w:rPr>
          <w:snapToGrid w:val="0"/>
        </w:rPr>
        <w:t>.</w:t>
      </w:r>
      <w:r>
        <w:rPr>
          <w:snapToGrid w:val="0"/>
        </w:rPr>
        <w:tab/>
        <w:t>CEO</w:t>
      </w:r>
      <w:r>
        <w:t xml:space="preserve"> (corrections)</w:t>
      </w:r>
      <w:r>
        <w:rPr>
          <w:snapToGrid w:val="0"/>
        </w:rPr>
        <w:t xml:space="preserve"> may revoke bail</w:t>
      </w:r>
      <w:bookmarkEnd w:id="89"/>
      <w:r>
        <w:rPr>
          <w:snapToGrid w:val="0"/>
        </w:rPr>
        <w:t xml:space="preserve"> </w:t>
      </w:r>
    </w:p>
    <w:p>
      <w:pPr>
        <w:pStyle w:val="Subsection"/>
        <w:spacing w:before="14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4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2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2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2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No. 61 of 1990 s. 11; amended: No. 31 of 1993 s. 9; No. 84 of 2004 s. 82; No. 65 of 2006 s. 53.] </w:t>
      </w:r>
    </w:p>
    <w:p>
      <w:pPr>
        <w:pStyle w:val="Heading5"/>
        <w:spacing w:before="180"/>
        <w:rPr>
          <w:snapToGrid w:val="0"/>
        </w:rPr>
      </w:pPr>
      <w:bookmarkStart w:id="90" w:name="_Toc106980698"/>
      <w:r>
        <w:rPr>
          <w:rStyle w:val="CharSectno"/>
        </w:rPr>
        <w:t>50G</w:t>
      </w:r>
      <w:r>
        <w:rPr>
          <w:snapToGrid w:val="0"/>
        </w:rPr>
        <w:t>.</w:t>
      </w:r>
      <w:r>
        <w:rPr>
          <w:snapToGrid w:val="0"/>
        </w:rPr>
        <w:tab/>
        <w:t>Procedure on arrest after revocation under s. 50F</w:t>
      </w:r>
      <w:bookmarkEnd w:id="90"/>
      <w:r>
        <w:rPr>
          <w:snapToGrid w:val="0"/>
        </w:rPr>
        <w:t xml:space="preserve"> </w:t>
      </w:r>
    </w:p>
    <w:p>
      <w:pPr>
        <w:pStyle w:val="Subsection"/>
        <w:spacing w:before="120"/>
        <w:rPr>
          <w:snapToGrid w:val="0"/>
        </w:rPr>
      </w:pPr>
      <w:r>
        <w:rPr>
          <w:snapToGrid w:val="0"/>
        </w:rPr>
        <w:tab/>
        <w:t>(1)</w:t>
      </w:r>
      <w:r>
        <w:rPr>
          <w:snapToGrid w:val="0"/>
        </w:rPr>
        <w:tab/>
        <w:t xml:space="preserve">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w:t>
      </w:r>
      <w:r>
        <w:rPr>
          <w:snapToGrid w:val="0"/>
        </w:rPr>
        <w:lastRenderedPageBreak/>
        <w:t>held in custody and brought before an appropriate judicial officer at that time.</w:t>
      </w:r>
    </w:p>
    <w:p>
      <w:pPr>
        <w:pStyle w:val="Subsection"/>
        <w:keepNext/>
        <w:spacing w:before="120"/>
        <w:rPr>
          <w:snapToGrid w:val="0"/>
        </w:rPr>
      </w:pPr>
      <w:r>
        <w:rPr>
          <w:snapToGrid w:val="0"/>
        </w:rPr>
        <w:tab/>
        <w:t>(2)</w:t>
      </w:r>
      <w:r>
        <w:rPr>
          <w:snapToGrid w:val="0"/>
        </w:rPr>
        <w:tab/>
        <w:t>The judicial officer before whom an accused appears under this section may — </w:t>
      </w:r>
    </w:p>
    <w:p>
      <w:pPr>
        <w:pStyle w:val="Indenta"/>
        <w:spacing w:before="60"/>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spacing w:before="60"/>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spacing w:before="80"/>
        <w:ind w:left="890" w:hanging="890"/>
      </w:pPr>
      <w:r>
        <w:tab/>
        <w:t xml:space="preserve">[Section 50G inserted: No. 61 of 1990 s. 11; amended: No. 45 of 1993 s. 12; No. 84 of 2004 s. 82.] </w:t>
      </w:r>
    </w:p>
    <w:p>
      <w:pPr>
        <w:pStyle w:val="Heading5"/>
        <w:spacing w:before="180"/>
        <w:rPr>
          <w:snapToGrid w:val="0"/>
        </w:rPr>
      </w:pPr>
      <w:bookmarkStart w:id="91" w:name="_Toc106980699"/>
      <w:r>
        <w:rPr>
          <w:rStyle w:val="CharSectno"/>
        </w:rPr>
        <w:t>50H</w:t>
      </w:r>
      <w:r>
        <w:rPr>
          <w:snapToGrid w:val="0"/>
        </w:rPr>
        <w:t>.</w:t>
      </w:r>
      <w:r>
        <w:rPr>
          <w:snapToGrid w:val="0"/>
        </w:rPr>
        <w:tab/>
        <w:t>Rules of natural justice excluded</w:t>
      </w:r>
      <w:bookmarkEnd w:id="91"/>
      <w:r>
        <w:rPr>
          <w:snapToGrid w:val="0"/>
        </w:rPr>
        <w:t xml:space="preserve"> </w:t>
      </w:r>
    </w:p>
    <w:p>
      <w:pPr>
        <w:pStyle w:val="Subsection"/>
        <w:spacing w:before="12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spacing w:before="80"/>
        <w:ind w:left="890" w:hanging="890"/>
      </w:pPr>
      <w:r>
        <w:tab/>
        <w:t xml:space="preserve">[Section 50H inserted: No. 61 of 1990 s. 11; amended: No. 31 of 1993 s. 9; No. 65 of 2006 s. 53.] </w:t>
      </w:r>
    </w:p>
    <w:p>
      <w:pPr>
        <w:pStyle w:val="Heading5"/>
        <w:rPr>
          <w:snapToGrid w:val="0"/>
        </w:rPr>
      </w:pPr>
      <w:bookmarkStart w:id="92" w:name="_Toc106980700"/>
      <w:r>
        <w:rPr>
          <w:rStyle w:val="CharSectno"/>
        </w:rPr>
        <w:t>50J</w:t>
      </w:r>
      <w:r>
        <w:rPr>
          <w:snapToGrid w:val="0"/>
        </w:rPr>
        <w:t>.</w:t>
      </w:r>
      <w:r>
        <w:rPr>
          <w:snapToGrid w:val="0"/>
        </w:rPr>
        <w:tab/>
        <w:t>Delegation by CEO</w:t>
      </w:r>
      <w:r>
        <w:t xml:space="preserve"> (corrections)</w:t>
      </w:r>
      <w:bookmarkEnd w:id="92"/>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spacing w:before="80"/>
        <w:ind w:left="890" w:hanging="890"/>
      </w:pPr>
      <w:r>
        <w:tab/>
        <w:t xml:space="preserve">[Section 50J inserted: No. 61 of 1990 s. 11; amended: No. 31 of 1993 s. 9; No. 65 of 2006 s. 53.] </w:t>
      </w:r>
    </w:p>
    <w:p>
      <w:pPr>
        <w:pStyle w:val="Ednotesection"/>
      </w:pPr>
      <w:r>
        <w:t>[</w:t>
      </w:r>
      <w:r>
        <w:rPr>
          <w:b/>
        </w:rPr>
        <w:t>50K.</w:t>
      </w:r>
      <w:r>
        <w:tab/>
        <w:t>Deleted: No. 13 of 2020 s. 25.]</w:t>
      </w:r>
    </w:p>
    <w:p>
      <w:pPr>
        <w:pStyle w:val="Heading5"/>
        <w:rPr>
          <w:snapToGrid w:val="0"/>
        </w:rPr>
      </w:pPr>
      <w:bookmarkStart w:id="93" w:name="_Toc106980701"/>
      <w:r>
        <w:rPr>
          <w:rStyle w:val="CharSectno"/>
        </w:rPr>
        <w:t>50L</w:t>
      </w:r>
      <w:r>
        <w:rPr>
          <w:snapToGrid w:val="0"/>
        </w:rPr>
        <w:t>.</w:t>
      </w:r>
      <w:r>
        <w:rPr>
          <w:snapToGrid w:val="0"/>
        </w:rPr>
        <w:tab/>
        <w:t>Rules for this Part</w:t>
      </w:r>
      <w:bookmarkEnd w:id="93"/>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w:t>
      </w:r>
      <w:r>
        <w:rPr>
          <w:snapToGrid w:val="0"/>
        </w:rPr>
        <w:lastRenderedPageBreak/>
        <w:t>accused persons granted bail subject to home detention conditions including conditions — </w:t>
      </w:r>
    </w:p>
    <w:p>
      <w:pPr>
        <w:pStyle w:val="Indenta"/>
        <w:rPr>
          <w:snapToGrid w:val="0"/>
        </w:rPr>
      </w:pPr>
      <w:r>
        <w:rPr>
          <w:snapToGrid w:val="0"/>
        </w:rPr>
        <w:tab/>
        <w:t>(a)</w:t>
      </w:r>
      <w:r>
        <w:rPr>
          <w:snapToGrid w:val="0"/>
        </w:rPr>
        <w:tab/>
        <w:t xml:space="preserve">requiring an accused to wear </w:t>
      </w:r>
      <w:r>
        <w:t>an approved electronic monitoring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w:t>
      </w:r>
      <w:r>
        <w:t xml:space="preserve">an approved electronic monitoring device </w:t>
      </w:r>
      <w:r>
        <w:rPr>
          <w:snapToGrid w:val="0"/>
        </w:rPr>
        <w:t>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No. 61 of 1990 s. 11; amended: No. 31 of 1993 s. 9; No. 84 of 2004 s. 82 and 83(3); No. 65 of 2006 s. 53; No. 2 of 2008 s. 56(3) and (4); No. 13 of 2020 s. 26.] </w:t>
      </w:r>
    </w:p>
    <w:p>
      <w:pPr>
        <w:pStyle w:val="Heading2"/>
      </w:pPr>
      <w:bookmarkStart w:id="94" w:name="_Toc106978733"/>
      <w:bookmarkStart w:id="95" w:name="_Toc106980702"/>
      <w:r>
        <w:rPr>
          <w:rStyle w:val="CharPartNo"/>
        </w:rPr>
        <w:lastRenderedPageBreak/>
        <w:t>Part VII</w:t>
      </w:r>
      <w:r>
        <w:rPr>
          <w:rStyle w:val="CharDivNo"/>
        </w:rPr>
        <w:t> </w:t>
      </w:r>
      <w:r>
        <w:t>—</w:t>
      </w:r>
      <w:r>
        <w:rPr>
          <w:rStyle w:val="CharDivText"/>
        </w:rPr>
        <w:t> </w:t>
      </w:r>
      <w:r>
        <w:rPr>
          <w:rStyle w:val="CharPartText"/>
        </w:rPr>
        <w:t>Enforcement of bail undertakings</w:t>
      </w:r>
      <w:bookmarkEnd w:id="94"/>
      <w:bookmarkEnd w:id="95"/>
      <w:r>
        <w:rPr>
          <w:rStyle w:val="CharPartText"/>
        </w:rPr>
        <w:t xml:space="preserve"> </w:t>
      </w:r>
    </w:p>
    <w:p>
      <w:pPr>
        <w:pStyle w:val="Heading5"/>
        <w:rPr>
          <w:snapToGrid w:val="0"/>
        </w:rPr>
      </w:pPr>
      <w:bookmarkStart w:id="96" w:name="_Toc106980703"/>
      <w:r>
        <w:rPr>
          <w:rStyle w:val="CharSectno"/>
        </w:rPr>
        <w:t>51</w:t>
      </w:r>
      <w:r>
        <w:rPr>
          <w:snapToGrid w:val="0"/>
        </w:rPr>
        <w:t>.</w:t>
      </w:r>
      <w:r>
        <w:rPr>
          <w:snapToGrid w:val="0"/>
        </w:rPr>
        <w:tab/>
        <w:t>Failing to comply with bail undertaking, offence</w:t>
      </w:r>
      <w:bookmarkEnd w:id="96"/>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lastRenderedPageBreak/>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No. 54 of 1998 s. 9; No. 59 of 2004 s. 141; No. 84 of 2004 s. 11 and 82; No. 6 of 2008 s. 18(3).]</w:t>
      </w:r>
    </w:p>
    <w:p>
      <w:pPr>
        <w:pStyle w:val="Heading5"/>
      </w:pPr>
      <w:bookmarkStart w:id="97" w:name="_Toc106980704"/>
      <w:r>
        <w:rPr>
          <w:rStyle w:val="CharSectno"/>
        </w:rPr>
        <w:t>51A</w:t>
      </w:r>
      <w:r>
        <w:t>.</w:t>
      </w:r>
      <w:r>
        <w:tab/>
      </w:r>
      <w:r>
        <w:rPr>
          <w:snapToGrid w:val="0"/>
        </w:rPr>
        <w:t>Prosecuting s. 51 offence for non-appearance in court of summary jurisdiction</w:t>
      </w:r>
      <w:bookmarkEnd w:id="97"/>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No. 6 of 2008 s. 31(1).]</w:t>
      </w:r>
    </w:p>
    <w:p>
      <w:pPr>
        <w:pStyle w:val="Heading5"/>
        <w:rPr>
          <w:snapToGrid w:val="0"/>
        </w:rPr>
      </w:pPr>
      <w:bookmarkStart w:id="98" w:name="_Toc106980705"/>
      <w:r>
        <w:rPr>
          <w:rStyle w:val="CharSectno"/>
        </w:rPr>
        <w:t>52</w:t>
      </w:r>
      <w:r>
        <w:rPr>
          <w:snapToGrid w:val="0"/>
        </w:rPr>
        <w:t>.</w:t>
      </w:r>
      <w:r>
        <w:rPr>
          <w:snapToGrid w:val="0"/>
        </w:rPr>
        <w:tab/>
        <w:t>Prosecuting s. 51 offence for non-appearance in superior court</w:t>
      </w:r>
      <w:bookmarkEnd w:id="98"/>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lastRenderedPageBreak/>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w:t>
      </w:r>
      <w:r>
        <w:lastRenderedPageBreak/>
        <w:t xml:space="preserve">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No. 92 of 1994 s. 6; No. 78 of 1995 s. 8; No. 54 of 1998 s. 10; No. 45 of 2004 s. 28(2) and (4); No. 59 of 2004 s. 141; No. 84 of 2004 s. 11 and 82; No. 2 of 2008 s. 56(5); No. 6 of 2008 s. 32(1) and (2).] </w:t>
      </w:r>
    </w:p>
    <w:p>
      <w:pPr>
        <w:pStyle w:val="Heading5"/>
      </w:pPr>
      <w:bookmarkStart w:id="99" w:name="_Toc106980706"/>
      <w:r>
        <w:rPr>
          <w:rStyle w:val="CharSectno"/>
        </w:rPr>
        <w:t>53</w:t>
      </w:r>
      <w:r>
        <w:t>.</w:t>
      </w:r>
      <w:r>
        <w:tab/>
        <w:t>Appeal against decision made under s. 52</w:t>
      </w:r>
      <w:bookmarkEnd w:id="99"/>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lastRenderedPageBreak/>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No. 45 of 2004 s. 28(3); amended: No. 84 of 2004 s. 11 and 82.]</w:t>
      </w:r>
    </w:p>
    <w:p>
      <w:pPr>
        <w:pStyle w:val="Heading5"/>
        <w:rPr>
          <w:snapToGrid w:val="0"/>
        </w:rPr>
      </w:pPr>
      <w:bookmarkStart w:id="100" w:name="_Toc106980707"/>
      <w:r>
        <w:rPr>
          <w:rStyle w:val="CharSectno"/>
        </w:rPr>
        <w:t>54</w:t>
      </w:r>
      <w:r>
        <w:rPr>
          <w:snapToGrid w:val="0"/>
        </w:rPr>
        <w:t>.</w:t>
      </w:r>
      <w:r>
        <w:rPr>
          <w:snapToGrid w:val="0"/>
        </w:rPr>
        <w:tab/>
        <w:t>Bailed accused may be taken before judicial officer to show cause against variation or revocation of bail</w:t>
      </w:r>
      <w:bookmarkEnd w:id="100"/>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lastRenderedPageBreak/>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w:t>
      </w:r>
      <w:r>
        <w:t>diligence; or</w:t>
      </w:r>
    </w:p>
    <w:p>
      <w:pPr>
        <w:pStyle w:val="Indenti"/>
      </w:pPr>
      <w:r>
        <w:tab/>
        <w:t>(iv)</w:t>
      </w:r>
      <w:r>
        <w:tab/>
        <w:t>new facts have been discovered, new circumstances have arisen or the circumstances have changed since bail was granted (including that the accused is, or has become, a person linked to terrorism).</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 xml:space="preserve">An accused arrested under this section shall be taken as soon as is practicable before an appropriate judicial officer unless he is arrested less than 24 hours before the time at which he is due to </w:t>
      </w:r>
      <w:r>
        <w:rPr>
          <w:snapToGrid w:val="0"/>
        </w:rPr>
        <w:lastRenderedPageBreak/>
        <w:t>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No. 33 of 1989 s. 18; No. 61 of 1990 s. 12; No. 45 of 1993 s. 12; No. 59 of 2004 s. 141; No. 84 of 2004 s. 9, 11 and 82; No. 6 of 2008 s. 33(1)</w:t>
      </w:r>
      <w:r>
        <w:noBreakHyphen/>
        <w:t xml:space="preserve">(4); No. 15 of 2019 s. 10.] </w:t>
      </w:r>
    </w:p>
    <w:p>
      <w:pPr>
        <w:pStyle w:val="Heading5"/>
      </w:pPr>
      <w:bookmarkStart w:id="101" w:name="_Toc106980708"/>
      <w:r>
        <w:rPr>
          <w:rStyle w:val="CharSectno"/>
        </w:rPr>
        <w:t>54A</w:t>
      </w:r>
      <w:r>
        <w:rPr>
          <w:snapToGrid w:val="0"/>
        </w:rPr>
        <w:t>.</w:t>
      </w:r>
      <w:r>
        <w:rPr>
          <w:snapToGrid w:val="0"/>
        </w:rPr>
        <w:tab/>
        <w:t>Accused on committal may be taken for purposes of s. 54 before judicial officer by which committed</w:t>
      </w:r>
      <w:bookmarkEnd w:id="101"/>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 xml:space="preserve">The relevant officer may, under section 54, cause an accused to whom this section applies to appear before a judicial officer </w:t>
      </w:r>
      <w:r>
        <w:rPr>
          <w:snapToGrid w:val="0"/>
        </w:rPr>
        <w:lastRenderedPageBreak/>
        <w:t>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No. 6 of 2008 s. 34; amended: No. 29 of 2008 s. 24(6).]</w:t>
      </w:r>
    </w:p>
    <w:p>
      <w:pPr>
        <w:pStyle w:val="Heading5"/>
        <w:rPr>
          <w:snapToGrid w:val="0"/>
        </w:rPr>
      </w:pPr>
      <w:bookmarkStart w:id="102" w:name="_Toc106980709"/>
      <w:r>
        <w:rPr>
          <w:rStyle w:val="CharSectno"/>
        </w:rPr>
        <w:t>55</w:t>
      </w:r>
      <w:r>
        <w:rPr>
          <w:snapToGrid w:val="0"/>
        </w:rPr>
        <w:t>.</w:t>
      </w:r>
      <w:r>
        <w:rPr>
          <w:snapToGrid w:val="0"/>
        </w:rPr>
        <w:tab/>
        <w:t>Accused before court under s. 54, judicial officer may revoke bail of etc.</w:t>
      </w:r>
      <w:bookmarkEnd w:id="102"/>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lastRenderedPageBreak/>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No. 61 of 1990 s. 13; No. 45 of 1993 s. 12; No. 84 of 2004 s. 82.] </w:t>
      </w:r>
    </w:p>
    <w:p>
      <w:pPr>
        <w:pStyle w:val="Ednotesection"/>
      </w:pPr>
      <w:r>
        <w:t>[</w:t>
      </w:r>
      <w:r>
        <w:rPr>
          <w:b/>
          <w:bCs/>
        </w:rPr>
        <w:t>56.</w:t>
      </w:r>
      <w:r>
        <w:tab/>
        <w:t>Deleted: No. 6 of 2008 s. 35.]</w:t>
      </w:r>
    </w:p>
    <w:p>
      <w:pPr>
        <w:pStyle w:val="Heading5"/>
        <w:rPr>
          <w:snapToGrid w:val="0"/>
        </w:rPr>
      </w:pPr>
      <w:bookmarkStart w:id="103" w:name="_Toc106980710"/>
      <w:r>
        <w:rPr>
          <w:rStyle w:val="CharSectno"/>
        </w:rPr>
        <w:t>57</w:t>
      </w:r>
      <w:r>
        <w:rPr>
          <w:snapToGrid w:val="0"/>
        </w:rPr>
        <w:t>.</w:t>
      </w:r>
      <w:r>
        <w:rPr>
          <w:snapToGrid w:val="0"/>
        </w:rPr>
        <w:tab/>
        <w:t>Offence under s. 51, court to order forfeiture of money under bail undertaking</w:t>
      </w:r>
      <w:bookmarkEnd w:id="103"/>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 xml:space="preserve">Fines, Penalties and Infringement </w:t>
      </w:r>
      <w:r>
        <w:rPr>
          <w:i/>
          <w:snapToGrid w:val="0"/>
        </w:rPr>
        <w:lastRenderedPageBreak/>
        <w:t>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No. 74 of 1984 s. 19; No. 92 of 1994 s. 7; No. 78 of 1995 s. 8; No. 54 of 1998 s. 11; No. 65 of 2003 s. 121(3); No. 84 of 2004 s. 82.] </w:t>
      </w:r>
    </w:p>
    <w:p>
      <w:pPr>
        <w:pStyle w:val="Heading5"/>
        <w:rPr>
          <w:snapToGrid w:val="0"/>
        </w:rPr>
      </w:pPr>
      <w:bookmarkStart w:id="104" w:name="_Toc106980711"/>
      <w:r>
        <w:rPr>
          <w:rStyle w:val="CharSectno"/>
        </w:rPr>
        <w:t>58</w:t>
      </w:r>
      <w:r>
        <w:rPr>
          <w:snapToGrid w:val="0"/>
        </w:rPr>
        <w:t>.</w:t>
      </w:r>
      <w:r>
        <w:rPr>
          <w:snapToGrid w:val="0"/>
        </w:rPr>
        <w:tab/>
        <w:t>Automatic forfeiture of money on expiration of one year after absconding</w:t>
      </w:r>
      <w:bookmarkEnd w:id="104"/>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No. 65 of 2003 s. 121(3); No. 84 of 2004 s. 82; No. 6 of 2008 s. 18(3) and 36(2).]</w:t>
      </w:r>
    </w:p>
    <w:p>
      <w:pPr>
        <w:pStyle w:val="Heading2"/>
      </w:pPr>
      <w:bookmarkStart w:id="105" w:name="_Toc106978743"/>
      <w:bookmarkStart w:id="106" w:name="_Toc106980712"/>
      <w:r>
        <w:rPr>
          <w:rStyle w:val="CharPartNo"/>
        </w:rPr>
        <w:lastRenderedPageBreak/>
        <w:t>Part VIII</w:t>
      </w:r>
      <w:r>
        <w:rPr>
          <w:rStyle w:val="CharDivNo"/>
        </w:rPr>
        <w:t> </w:t>
      </w:r>
      <w:r>
        <w:t>—</w:t>
      </w:r>
      <w:r>
        <w:rPr>
          <w:rStyle w:val="CharDivText"/>
        </w:rPr>
        <w:t> </w:t>
      </w:r>
      <w:r>
        <w:rPr>
          <w:rStyle w:val="CharPartText"/>
        </w:rPr>
        <w:t>Miscellaneous</w:t>
      </w:r>
      <w:bookmarkEnd w:id="105"/>
      <w:bookmarkEnd w:id="106"/>
      <w:r>
        <w:rPr>
          <w:rStyle w:val="CharPartText"/>
        </w:rPr>
        <w:t xml:space="preserve"> </w:t>
      </w:r>
    </w:p>
    <w:p>
      <w:pPr>
        <w:pStyle w:val="Heading5"/>
        <w:rPr>
          <w:snapToGrid w:val="0"/>
        </w:rPr>
      </w:pPr>
      <w:bookmarkStart w:id="107" w:name="_Toc106980713"/>
      <w:r>
        <w:rPr>
          <w:rStyle w:val="CharSectno"/>
        </w:rPr>
        <w:t>59</w:t>
      </w:r>
      <w:r>
        <w:rPr>
          <w:snapToGrid w:val="0"/>
        </w:rPr>
        <w:t>.</w:t>
      </w:r>
      <w:r>
        <w:rPr>
          <w:snapToGrid w:val="0"/>
        </w:rPr>
        <w:tab/>
        <w:t>Order for forfeiture, court’s additional powers as to</w:t>
      </w:r>
      <w:bookmarkEnd w:id="107"/>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No. 65 of 2003 s. 121(3); No. 84 of 2004 s. 82.]</w:t>
      </w:r>
    </w:p>
    <w:p>
      <w:pPr>
        <w:pStyle w:val="Heading5"/>
        <w:spacing w:before="180"/>
      </w:pPr>
      <w:bookmarkStart w:id="108" w:name="_Toc106980714"/>
      <w:r>
        <w:rPr>
          <w:rStyle w:val="CharSectno"/>
        </w:rPr>
        <w:t>59A</w:t>
      </w:r>
      <w:r>
        <w:rPr>
          <w:snapToGrid w:val="0"/>
        </w:rPr>
        <w:t>.</w:t>
      </w:r>
      <w:r>
        <w:rPr>
          <w:snapToGrid w:val="0"/>
        </w:rPr>
        <w:tab/>
        <w:t>If bail dispensed with, accused may be taken before judicial officer for reconsideration of matter</w:t>
      </w:r>
      <w:bookmarkEnd w:id="108"/>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lastRenderedPageBreak/>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r>
        <w:tab/>
        <w:t>[Section 59A inserted: No. 6 of 2008 s. 36(1).]</w:t>
      </w:r>
    </w:p>
    <w:p>
      <w:pPr>
        <w:pStyle w:val="Heading5"/>
      </w:pPr>
      <w:bookmarkStart w:id="109" w:name="_Toc106980715"/>
      <w:r>
        <w:rPr>
          <w:rStyle w:val="CharSectno"/>
        </w:rPr>
        <w:t>59B</w:t>
      </w:r>
      <w:r>
        <w:rPr>
          <w:snapToGrid w:val="0"/>
        </w:rPr>
        <w:t>.</w:t>
      </w:r>
      <w:r>
        <w:rPr>
          <w:snapToGrid w:val="0"/>
        </w:rPr>
        <w:tab/>
        <w:t>Absconding accused, warrant for arrest of</w:t>
      </w:r>
      <w:bookmarkEnd w:id="109"/>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lastRenderedPageBreak/>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No. 6 of 2008 s. 36(1).]</w:t>
      </w:r>
    </w:p>
    <w:p>
      <w:pPr>
        <w:pStyle w:val="Heading5"/>
        <w:rPr>
          <w:snapToGrid w:val="0"/>
        </w:rPr>
      </w:pPr>
      <w:bookmarkStart w:id="110" w:name="_Toc106980716"/>
      <w:r>
        <w:rPr>
          <w:rStyle w:val="CharSectno"/>
        </w:rPr>
        <w:t>60</w:t>
      </w:r>
      <w:r>
        <w:rPr>
          <w:snapToGrid w:val="0"/>
        </w:rPr>
        <w:t>.</w:t>
      </w:r>
      <w:r>
        <w:rPr>
          <w:snapToGrid w:val="0"/>
        </w:rPr>
        <w:tab/>
        <w:t>Change of address, accused and surety to notify</w:t>
      </w:r>
      <w:bookmarkEnd w:id="110"/>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No. 50 of 2003 s. 37(5); No. 59 of 2004 s. 141; No. 84 of 2004 s. 82; No. 6 of 2008 s. 37.]</w:t>
      </w:r>
    </w:p>
    <w:p>
      <w:pPr>
        <w:pStyle w:val="Heading5"/>
        <w:rPr>
          <w:snapToGrid w:val="0"/>
        </w:rPr>
      </w:pPr>
      <w:bookmarkStart w:id="111" w:name="_Toc106980717"/>
      <w:r>
        <w:rPr>
          <w:rStyle w:val="CharSectno"/>
        </w:rPr>
        <w:t>61</w:t>
      </w:r>
      <w:r>
        <w:rPr>
          <w:snapToGrid w:val="0"/>
        </w:rPr>
        <w:t>.</w:t>
      </w:r>
      <w:r>
        <w:rPr>
          <w:snapToGrid w:val="0"/>
        </w:rPr>
        <w:tab/>
        <w:t>Failing to bring arrested person before court or person able to grant bail, offence</w:t>
      </w:r>
      <w:bookmarkEnd w:id="111"/>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lastRenderedPageBreak/>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No. 15 of 1988 s. 17; No. 59 of 2006 s. 4(4); No. 6 of 2008 s. 38.] </w:t>
      </w:r>
    </w:p>
    <w:p>
      <w:pPr>
        <w:pStyle w:val="Heading5"/>
        <w:rPr>
          <w:snapToGrid w:val="0"/>
        </w:rPr>
      </w:pPr>
      <w:bookmarkStart w:id="112" w:name="_Toc106980718"/>
      <w:r>
        <w:rPr>
          <w:rStyle w:val="CharSectno"/>
        </w:rPr>
        <w:t>62</w:t>
      </w:r>
      <w:r>
        <w:rPr>
          <w:snapToGrid w:val="0"/>
        </w:rPr>
        <w:t>.</w:t>
      </w:r>
      <w:r>
        <w:rPr>
          <w:snapToGrid w:val="0"/>
        </w:rPr>
        <w:tab/>
        <w:t>Giving false information for bail purposes, offence</w:t>
      </w:r>
      <w:bookmarkEnd w:id="112"/>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13" w:name="_Toc106980719"/>
      <w:r>
        <w:rPr>
          <w:rStyle w:val="CharSectno"/>
        </w:rPr>
        <w:t>63</w:t>
      </w:r>
      <w:r>
        <w:rPr>
          <w:snapToGrid w:val="0"/>
        </w:rPr>
        <w:t>.</w:t>
      </w:r>
      <w:r>
        <w:rPr>
          <w:snapToGrid w:val="0"/>
        </w:rPr>
        <w:tab/>
        <w:t>Protection from personal liability</w:t>
      </w:r>
      <w:bookmarkEnd w:id="113"/>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No. 65 of 2003 s. 121(4).]</w:t>
      </w:r>
    </w:p>
    <w:p>
      <w:pPr>
        <w:pStyle w:val="Heading5"/>
        <w:rPr>
          <w:snapToGrid w:val="0"/>
        </w:rPr>
      </w:pPr>
      <w:bookmarkStart w:id="114" w:name="_Toc106980720"/>
      <w:r>
        <w:rPr>
          <w:rStyle w:val="CharSectno"/>
        </w:rPr>
        <w:t>64</w:t>
      </w:r>
      <w:r>
        <w:rPr>
          <w:snapToGrid w:val="0"/>
        </w:rPr>
        <w:t>.</w:t>
      </w:r>
      <w:r>
        <w:rPr>
          <w:snapToGrid w:val="0"/>
        </w:rPr>
        <w:tab/>
        <w:t>Proving appearance or non</w:t>
      </w:r>
      <w:r>
        <w:rPr>
          <w:snapToGrid w:val="0"/>
        </w:rPr>
        <w:noBreakHyphen/>
        <w:t>appearance by accused</w:t>
      </w:r>
      <w:bookmarkEnd w:id="114"/>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lastRenderedPageBreak/>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No. 59 of 2004 s. 141; No. 84 of 2004 s. 82.] </w:t>
      </w:r>
    </w:p>
    <w:p>
      <w:pPr>
        <w:pStyle w:val="Heading5"/>
        <w:rPr>
          <w:snapToGrid w:val="0"/>
        </w:rPr>
      </w:pPr>
      <w:bookmarkStart w:id="115" w:name="_Toc106980721"/>
      <w:r>
        <w:rPr>
          <w:rStyle w:val="CharSectno"/>
        </w:rPr>
        <w:t>65</w:t>
      </w:r>
      <w:r>
        <w:rPr>
          <w:snapToGrid w:val="0"/>
        </w:rPr>
        <w:t>.</w:t>
      </w:r>
      <w:r>
        <w:rPr>
          <w:snapToGrid w:val="0"/>
        </w:rPr>
        <w:tab/>
        <w:t>Bail undertakings by child, effect of</w:t>
      </w:r>
      <w:bookmarkEnd w:id="115"/>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16" w:name="_Toc106980722"/>
      <w:r>
        <w:rPr>
          <w:rStyle w:val="CharSectno"/>
        </w:rPr>
        <w:t>66</w:t>
      </w:r>
      <w:r>
        <w:rPr>
          <w:snapToGrid w:val="0"/>
        </w:rPr>
        <w:t>.</w:t>
      </w:r>
      <w:r>
        <w:rPr>
          <w:snapToGrid w:val="0"/>
        </w:rPr>
        <w:tab/>
        <w:t>Other powers or duties to grant bail abolished</w:t>
      </w:r>
      <w:bookmarkEnd w:id="116"/>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No. 84 of 2004 s. 82.]</w:t>
      </w:r>
    </w:p>
    <w:p>
      <w:pPr>
        <w:pStyle w:val="Heading5"/>
        <w:rPr>
          <w:snapToGrid w:val="0"/>
        </w:rPr>
      </w:pPr>
      <w:bookmarkStart w:id="117" w:name="_Toc106980723"/>
      <w:r>
        <w:rPr>
          <w:rStyle w:val="CharSectno"/>
        </w:rPr>
        <w:t>66A</w:t>
      </w:r>
      <w:r>
        <w:rPr>
          <w:snapToGrid w:val="0"/>
        </w:rPr>
        <w:t>.</w:t>
      </w:r>
      <w:r>
        <w:rPr>
          <w:snapToGrid w:val="0"/>
        </w:rPr>
        <w:tab/>
        <w:t>Delegation by registrar of court</w:t>
      </w:r>
      <w:bookmarkEnd w:id="117"/>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lastRenderedPageBreak/>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No. 15 of 1988 s. 18; amended: No. 49 of 1988 s. 89; No. 31 of 1993 s. 8; No. 59 of 2004 s. 141; No. 65 of 2006 s. 52; No. 6 of 2008 s. 39.] </w:t>
      </w:r>
    </w:p>
    <w:p>
      <w:pPr>
        <w:pStyle w:val="Heading5"/>
      </w:pPr>
      <w:bookmarkStart w:id="118" w:name="_Toc106980724"/>
      <w:r>
        <w:rPr>
          <w:rStyle w:val="CharSectno"/>
        </w:rPr>
        <w:t>66B</w:t>
      </w:r>
      <w:r>
        <w:t>.</w:t>
      </w:r>
      <w:r>
        <w:tab/>
        <w:t>Video link or audio link, use of in bail proceedings</w:t>
      </w:r>
      <w:bookmarkEnd w:id="118"/>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 xml:space="preserve">Without limiting subsection (2), if a provision of this Act requires or authorises an accused to be brought before, or appear before, a court, judicial officer or authorised officer, the accused </w:t>
      </w:r>
      <w:r>
        <w:lastRenderedPageBreak/>
        <w:t>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No. 6 of 2008 s. 40(1).]</w:t>
      </w:r>
    </w:p>
    <w:p>
      <w:pPr>
        <w:pStyle w:val="Heading5"/>
      </w:pPr>
      <w:bookmarkStart w:id="119" w:name="_Toc106980725"/>
      <w:r>
        <w:rPr>
          <w:rStyle w:val="CharSectno"/>
        </w:rPr>
        <w:t>66C</w:t>
      </w:r>
      <w:r>
        <w:t>.</w:t>
      </w:r>
      <w:r>
        <w:tab/>
        <w:t>Protection of terrorist intelligence information in bail proceedings</w:t>
      </w:r>
      <w:bookmarkEnd w:id="119"/>
    </w:p>
    <w:p>
      <w:pPr>
        <w:pStyle w:val="Subsection"/>
      </w:pPr>
      <w:r>
        <w:tab/>
        <w:t>(1)</w:t>
      </w:r>
      <w:r>
        <w:tab/>
        <w:t xml:space="preserve">In proceedings on a case for bail, the judicial officer must take all reasonable steps to maintain the confidentiality of information that the judicial officer considers is terrorist intelligence information, including steps — </w:t>
      </w:r>
    </w:p>
    <w:p>
      <w:pPr>
        <w:pStyle w:val="Indenta"/>
      </w:pPr>
      <w:r>
        <w:tab/>
        <w:t>(a)</w:t>
      </w:r>
      <w:r>
        <w:tab/>
        <w:t>to receive evidence and hear argument about the information in private and in the absence of any person other than the prosecutor and any other person to whose presence the prosecutor consents; and</w:t>
      </w:r>
    </w:p>
    <w:p>
      <w:pPr>
        <w:pStyle w:val="Indenta"/>
      </w:pPr>
      <w:r>
        <w:tab/>
        <w:t>(b)</w:t>
      </w:r>
      <w:r>
        <w:tab/>
        <w:t>to prohibit the publication of, or a reference to, terrorist intelligence information; and</w:t>
      </w:r>
    </w:p>
    <w:p>
      <w:pPr>
        <w:pStyle w:val="Indenta"/>
      </w:pPr>
      <w:r>
        <w:tab/>
        <w:t>(c)</w:t>
      </w:r>
      <w:r>
        <w:tab/>
        <w:t xml:space="preserve">to order that the following documents must be provided in a redacted form — </w:t>
      </w:r>
    </w:p>
    <w:p>
      <w:pPr>
        <w:pStyle w:val="Indenti"/>
      </w:pPr>
      <w:r>
        <w:tab/>
        <w:t>(i)</w:t>
      </w:r>
      <w:r>
        <w:tab/>
        <w:t>an approved form given under section 8;</w:t>
      </w:r>
    </w:p>
    <w:p>
      <w:pPr>
        <w:pStyle w:val="Indenti"/>
      </w:pPr>
      <w:r>
        <w:tab/>
        <w:t>(ii)</w:t>
      </w:r>
      <w:r>
        <w:tab/>
        <w:t>a report made in accordance with section 24 or 24A.</w:t>
      </w:r>
    </w:p>
    <w:p>
      <w:pPr>
        <w:pStyle w:val="Subsection"/>
      </w:pPr>
      <w:r>
        <w:tab/>
        <w:t>(2)</w:t>
      </w:r>
      <w:r>
        <w:tab/>
        <w:t xml:space="preserve">If the judicial officer considers that the information is not terrorist intelligence information, the judicial officer must — </w:t>
      </w:r>
    </w:p>
    <w:p>
      <w:pPr>
        <w:pStyle w:val="Indenta"/>
      </w:pPr>
      <w:r>
        <w:tab/>
        <w:t>(a)</w:t>
      </w:r>
      <w:r>
        <w:tab/>
        <w:t>give the prosecutor the opportunity to withdraw the information from consideration; and</w:t>
      </w:r>
    </w:p>
    <w:p>
      <w:pPr>
        <w:pStyle w:val="Indenta"/>
      </w:pPr>
      <w:r>
        <w:tab/>
        <w:t>(b)</w:t>
      </w:r>
      <w:r>
        <w:tab/>
        <w:t>if the information is withdrawn, prohibit the publication of, or a reference to, the information.</w:t>
      </w:r>
    </w:p>
    <w:p>
      <w:pPr>
        <w:pStyle w:val="Subsection"/>
      </w:pPr>
      <w:r>
        <w:lastRenderedPageBreak/>
        <w:tab/>
        <w:t>(3)</w:t>
      </w:r>
      <w:r>
        <w:tab/>
        <w:t xml:space="preserve">Despite subsections (1) and (2), the judicial officer may disclose terrorist intelligence information or information withdrawn under subsection (2) to any of the following — </w:t>
      </w:r>
    </w:p>
    <w:p>
      <w:pPr>
        <w:pStyle w:val="Indenta"/>
      </w:pPr>
      <w:r>
        <w:tab/>
        <w:t>(a)</w:t>
      </w:r>
      <w:r>
        <w:tab/>
        <w:t>the Attorney General;</w:t>
      </w:r>
    </w:p>
    <w:p>
      <w:pPr>
        <w:pStyle w:val="Indenta"/>
      </w:pPr>
      <w:r>
        <w:tab/>
        <w:t>(b)</w:t>
      </w:r>
      <w:r>
        <w:tab/>
        <w:t>a court;</w:t>
      </w:r>
    </w:p>
    <w:p>
      <w:pPr>
        <w:pStyle w:val="Indenta"/>
      </w:pPr>
      <w:r>
        <w:tab/>
        <w:t>(c)</w:t>
      </w:r>
      <w:r>
        <w:tab/>
        <w:t>a person to whom the prosecutor authorises disclosure.</w:t>
      </w:r>
    </w:p>
    <w:p>
      <w:pPr>
        <w:pStyle w:val="Footnotesection"/>
      </w:pPr>
      <w:r>
        <w:tab/>
        <w:t>[Section 66C inserted: No. 15 of 2019 s. 11.]</w:t>
      </w:r>
    </w:p>
    <w:p>
      <w:pPr>
        <w:pStyle w:val="Heading5"/>
      </w:pPr>
      <w:bookmarkStart w:id="120" w:name="_Toc106980726"/>
      <w:r>
        <w:rPr>
          <w:rStyle w:val="CharSectno"/>
        </w:rPr>
        <w:t>66D</w:t>
      </w:r>
      <w:r>
        <w:t>.</w:t>
      </w:r>
      <w:r>
        <w:tab/>
        <w:t>Annual report to include information about application of s. 66C</w:t>
      </w:r>
      <w:bookmarkEnd w:id="120"/>
    </w:p>
    <w:p>
      <w:pPr>
        <w:pStyle w:val="Subsection"/>
      </w:pPr>
      <w:r>
        <w:tab/>
        <w:t>(1)</w:t>
      </w:r>
      <w:r>
        <w:tab/>
        <w:t xml:space="preserve">In this section — </w:t>
      </w:r>
    </w:p>
    <w:p>
      <w:pPr>
        <w:pStyle w:val="Defstart"/>
      </w:pPr>
      <w:r>
        <w:tab/>
      </w:r>
      <w:r>
        <w:rPr>
          <w:rStyle w:val="CharDefText"/>
        </w:rPr>
        <w:t>accountable authority</w:t>
      </w:r>
      <w:r>
        <w:t xml:space="preserve"> means the accountable authority, as defined in the </w:t>
      </w:r>
      <w:r>
        <w:rPr>
          <w:i/>
        </w:rPr>
        <w:t>Financial Management Act 2006</w:t>
      </w:r>
      <w:r>
        <w:t xml:space="preserve"> section 3, of the department of the Public Service principally assisting in the administration of this Act;</w:t>
      </w:r>
    </w:p>
    <w:p>
      <w:pPr>
        <w:pStyle w:val="Defstart"/>
      </w:pPr>
      <w:r>
        <w:tab/>
      </w:r>
      <w:r>
        <w:rPr>
          <w:rStyle w:val="CharDefText"/>
        </w:rPr>
        <w:t>protected information</w:t>
      </w:r>
      <w:r>
        <w:t xml:space="preserve"> means information the disclosure of which would contravene a written law or an order of a court;</w:t>
      </w:r>
    </w:p>
    <w:p>
      <w:pPr>
        <w:pStyle w:val="Defstart"/>
      </w:pPr>
      <w:r>
        <w:tab/>
      </w:r>
      <w:r>
        <w:rPr>
          <w:rStyle w:val="CharDefText"/>
        </w:rPr>
        <w:t>sensitive information</w:t>
      </w:r>
      <w:r>
        <w:t xml:space="preserve"> means information the disclosure of which could reasonably be expected — </w:t>
      </w:r>
    </w:p>
    <w:p>
      <w:pPr>
        <w:pStyle w:val="Defpara"/>
      </w:pPr>
      <w:r>
        <w:tab/>
        <w:t>(a)</w:t>
      </w:r>
      <w:r>
        <w:tab/>
        <w:t>to prejudice national security; or</w:t>
      </w:r>
    </w:p>
    <w:p>
      <w:pPr>
        <w:pStyle w:val="Defpara"/>
      </w:pPr>
      <w:r>
        <w:tab/>
        <w:t>(b)</w:t>
      </w:r>
      <w:r>
        <w:tab/>
        <w:t>to endanger a person’s life or physical safety; or</w:t>
      </w:r>
    </w:p>
    <w:p>
      <w:pPr>
        <w:pStyle w:val="Defpara"/>
      </w:pPr>
      <w:r>
        <w:tab/>
        <w:t>(c)</w:t>
      </w:r>
      <w:r>
        <w:tab/>
        <w:t>to threaten significant damage to infrastructure or property; or</w:t>
      </w:r>
    </w:p>
    <w:p>
      <w:pPr>
        <w:pStyle w:val="Defpara"/>
      </w:pPr>
      <w:r>
        <w:tab/>
        <w:t>(d)</w:t>
      </w:r>
      <w:r>
        <w:tab/>
        <w:t>to prejudice a criminal investigation; or</w:t>
      </w:r>
    </w:p>
    <w:p>
      <w:pPr>
        <w:pStyle w:val="Defpara"/>
      </w:pPr>
      <w:r>
        <w:tab/>
        <w:t>(e)</w:t>
      </w:r>
      <w:r>
        <w:tab/>
        <w:t>to reveal intelligence gathering methodologies, investigative techniques or technologies or covert practices; or</w:t>
      </w:r>
    </w:p>
    <w:p>
      <w:pPr>
        <w:pStyle w:val="Defpara"/>
      </w:pPr>
      <w:r>
        <w:tab/>
        <w:t>(f)</w:t>
      </w:r>
      <w:r>
        <w:tab/>
        <w:t>to enable the discovery of the existence or identity of a confidential source of information relevant to law enforcement.</w:t>
      </w:r>
    </w:p>
    <w:p>
      <w:pPr>
        <w:pStyle w:val="Subsection"/>
      </w:pPr>
      <w:r>
        <w:tab/>
        <w:t>(2)</w:t>
      </w:r>
      <w:r>
        <w:tab/>
        <w:t xml:space="preserve">Subject to subsections (7) and (8), the accountable authority must, in each annual report submitted under the </w:t>
      </w:r>
      <w:r>
        <w:rPr>
          <w:i/>
        </w:rPr>
        <w:t xml:space="preserve">Financial </w:t>
      </w:r>
      <w:r>
        <w:rPr>
          <w:i/>
        </w:rPr>
        <w:lastRenderedPageBreak/>
        <w:t>Management Act 2006</w:t>
      </w:r>
      <w:r>
        <w:t xml:space="preserve"> Part 5 Division 2, include information relating to action taken under section 66C(1) in proceedings on a case for bail in the financial year to which the annual report relates (</w:t>
      </w:r>
      <w:r>
        <w:rPr>
          <w:rStyle w:val="CharDefText"/>
        </w:rPr>
        <w:t>reportable information</w:t>
      </w:r>
      <w:r>
        <w:t>).</w:t>
      </w:r>
    </w:p>
    <w:p>
      <w:pPr>
        <w:pStyle w:val="Subsection"/>
      </w:pPr>
      <w:r>
        <w:tab/>
        <w:t>(3)</w:t>
      </w:r>
      <w:r>
        <w:tab/>
        <w:t xml:space="preserve">Reportable information must, without disclosing terrorist intelligence information, specify — </w:t>
      </w:r>
    </w:p>
    <w:p>
      <w:pPr>
        <w:pStyle w:val="Indenta"/>
      </w:pPr>
      <w:r>
        <w:tab/>
        <w:t>(a)</w:t>
      </w:r>
      <w:r>
        <w:tab/>
        <w:t>the number of proceedings in which action was taken under section 66C(1); and</w:t>
      </w:r>
    </w:p>
    <w:p>
      <w:pPr>
        <w:pStyle w:val="Indenta"/>
      </w:pPr>
      <w:r>
        <w:tab/>
        <w:t>(b)</w:t>
      </w:r>
      <w:r>
        <w:tab/>
        <w:t xml:space="preserve">in each of those proceedings whether the accused had access to the terrorist intelligence information received by the judicial officer and whether — </w:t>
      </w:r>
    </w:p>
    <w:p>
      <w:pPr>
        <w:pStyle w:val="Indenti"/>
      </w:pPr>
      <w:r>
        <w:tab/>
        <w:t>(i)</w:t>
      </w:r>
      <w:r>
        <w:tab/>
        <w:t>evidence by or on behalf of the accused was received; and</w:t>
      </w:r>
    </w:p>
    <w:p>
      <w:pPr>
        <w:pStyle w:val="Indenti"/>
      </w:pPr>
      <w:r>
        <w:tab/>
        <w:t>(ii)</w:t>
      </w:r>
      <w:r>
        <w:tab/>
        <w:t>argument by or on behalf of the accused was heard.</w:t>
      </w:r>
    </w:p>
    <w:p>
      <w:pPr>
        <w:pStyle w:val="Subsection"/>
      </w:pPr>
      <w:r>
        <w:tab/>
        <w:t>(4)</w:t>
      </w:r>
      <w:r>
        <w:tab/>
        <w:t>Prior to submitting an annual report, the accountable authority must give a copy of the reportable information they propose to include in the annual report to the Attorney General and the Commissioner of Police.</w:t>
      </w:r>
    </w:p>
    <w:p>
      <w:pPr>
        <w:pStyle w:val="Subsection"/>
      </w:pPr>
      <w:r>
        <w:tab/>
        <w:t>(5)</w:t>
      </w:r>
      <w:r>
        <w:tab/>
        <w:t>The Commissioner of Police must advise the Attorney General whether any of the reportable information, in the Commissioner’s opinion, is or is likely to be sensitive information.</w:t>
      </w:r>
    </w:p>
    <w:p>
      <w:pPr>
        <w:pStyle w:val="Subsection"/>
      </w:pPr>
      <w:r>
        <w:tab/>
        <w:t>(6)</w:t>
      </w:r>
      <w:r>
        <w:tab/>
        <w:t>A judicial officer may advise the Attorney General of any reportable information that, in the judicial officer’s opinion, is or is likely to be protected information.</w:t>
      </w:r>
    </w:p>
    <w:p>
      <w:pPr>
        <w:pStyle w:val="Subsection"/>
      </w:pPr>
      <w:r>
        <w:tab/>
        <w:t>(7)</w:t>
      </w:r>
      <w:r>
        <w:tab/>
        <w:t xml:space="preserve">If the Attorney General is, on advice provided under subsection (5) or (6), satisfied that some or all of the reportable information is sensitive information or protected information, the Attorney General must direct the accountable authority to — </w:t>
      </w:r>
    </w:p>
    <w:p>
      <w:pPr>
        <w:pStyle w:val="Indenta"/>
        <w:keepNext/>
      </w:pPr>
      <w:r>
        <w:lastRenderedPageBreak/>
        <w:tab/>
        <w:t>(a)</w:t>
      </w:r>
      <w:r>
        <w:tab/>
        <w:t>exclude the information from the annual report; and</w:t>
      </w:r>
    </w:p>
    <w:p>
      <w:pPr>
        <w:pStyle w:val="Indenta"/>
      </w:pPr>
      <w:r>
        <w:tab/>
        <w:t>(b)</w:t>
      </w:r>
      <w:r>
        <w:tab/>
        <w:t>insert a statement in the annual report to the effect that information has been excluded from the report under this section.</w:t>
      </w:r>
    </w:p>
    <w:p>
      <w:pPr>
        <w:pStyle w:val="Subsection"/>
      </w:pPr>
      <w:r>
        <w:tab/>
        <w:t>(8)</w:t>
      </w:r>
      <w:r>
        <w:tab/>
        <w:t>The accountable authority must comply with a direction under subsection (7).</w:t>
      </w:r>
    </w:p>
    <w:p>
      <w:pPr>
        <w:pStyle w:val="Footnotesection"/>
      </w:pPr>
      <w:r>
        <w:tab/>
        <w:t>[Section 66D inserted: No. 15 of 2019 s. 11.]</w:t>
      </w:r>
    </w:p>
    <w:p>
      <w:pPr>
        <w:pStyle w:val="Heading5"/>
      </w:pPr>
      <w:bookmarkStart w:id="121" w:name="_Toc106980727"/>
      <w:r>
        <w:rPr>
          <w:rStyle w:val="CharSectno"/>
        </w:rPr>
        <w:t>66E</w:t>
      </w:r>
      <w:r>
        <w:t>.</w:t>
      </w:r>
      <w:r>
        <w:tab/>
        <w:t>Retrieving monitoring equipment</w:t>
      </w:r>
      <w:bookmarkEnd w:id="121"/>
    </w:p>
    <w:p>
      <w:pPr>
        <w:pStyle w:val="Subsection"/>
      </w:pPr>
      <w:r>
        <w:tab/>
      </w:r>
      <w:r>
        <w:tab/>
        <w:t xml:space="preserve">The </w:t>
      </w:r>
      <w:r>
        <w:rPr>
          <w:i/>
        </w:rPr>
        <w:t>Sentence Administration Act 2003</w:t>
      </w:r>
      <w:r>
        <w:t xml:space="preserve"> section 118 applies if, under this Act, any approved electronic monitoring device has been required to be worn by a person, or has been installed at a place, in connection with keeping an accused under surveillance or to monitor an accused.</w:t>
      </w:r>
    </w:p>
    <w:p>
      <w:pPr>
        <w:pStyle w:val="Footnotesection"/>
      </w:pPr>
      <w:r>
        <w:tab/>
        <w:t>[Section 66E inserted: No. 13 of 2020 s. 27.]</w:t>
      </w:r>
    </w:p>
    <w:p>
      <w:pPr>
        <w:pStyle w:val="Heading5"/>
        <w:rPr>
          <w:snapToGrid w:val="0"/>
        </w:rPr>
      </w:pPr>
      <w:bookmarkStart w:id="122" w:name="_Toc106980728"/>
      <w:r>
        <w:rPr>
          <w:rStyle w:val="CharSectno"/>
        </w:rPr>
        <w:t>67</w:t>
      </w:r>
      <w:r>
        <w:rPr>
          <w:snapToGrid w:val="0"/>
        </w:rPr>
        <w:t>.</w:t>
      </w:r>
      <w:r>
        <w:rPr>
          <w:snapToGrid w:val="0"/>
        </w:rPr>
        <w:tab/>
        <w:t>Regulations</w:t>
      </w:r>
      <w:bookmarkEnd w:id="122"/>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lastRenderedPageBreak/>
        <w:tab/>
      </w:r>
      <w:r>
        <w:rPr>
          <w:snapToGrid w:val="0"/>
        </w:rPr>
        <w:tab/>
        <w:t>and for the manner in which such applications are to be made and the procedure to be followed on such applications;</w:t>
      </w:r>
    </w:p>
    <w:p>
      <w:pPr>
        <w:pStyle w:val="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No. 45 of 1993 s. 12; No. 84 of 2004 s. 83(3); No. 2 of 2008 s. 56(6); No. 6 of 2008 s. 30(3); No. 20 of 2013 s. 31.] </w:t>
      </w:r>
    </w:p>
    <w:p>
      <w:pPr>
        <w:pStyle w:val="Heading5"/>
        <w:keepNext w:val="0"/>
      </w:pPr>
      <w:bookmarkStart w:id="123" w:name="_Toc106980729"/>
      <w:r>
        <w:rPr>
          <w:rStyle w:val="CharSectno"/>
        </w:rPr>
        <w:t>67A</w:t>
      </w:r>
      <w:r>
        <w:t>.</w:t>
      </w:r>
      <w:r>
        <w:tab/>
        <w:t xml:space="preserve">Review of amendments made by </w:t>
      </w:r>
      <w:r>
        <w:rPr>
          <w:i/>
        </w:rPr>
        <w:t>Bail Amendment (Persons Linked to Terrorism) Act 2019</w:t>
      </w:r>
      <w:bookmarkEnd w:id="123"/>
    </w:p>
    <w:p>
      <w:pPr>
        <w:pStyle w:val="Subsection"/>
      </w:pPr>
      <w:r>
        <w:tab/>
        <w:t>(1)</w:t>
      </w:r>
      <w:r>
        <w:tab/>
        <w:t xml:space="preserve">The Minister must review the operation and effectiveness of the amendments made to this Act by the </w:t>
      </w:r>
      <w:r>
        <w:rPr>
          <w:i/>
        </w:rPr>
        <w:t>Bail Amendment (Persons Linked to Terrorism) Act 2019</w:t>
      </w:r>
      <w:r>
        <w:t xml:space="preserve"> and prepare a report based on the review — </w:t>
      </w:r>
    </w:p>
    <w:p>
      <w:pPr>
        <w:pStyle w:val="Indenta"/>
      </w:pPr>
      <w:r>
        <w:tab/>
        <w:t>(a)</w:t>
      </w:r>
      <w:r>
        <w:tab/>
        <w:t xml:space="preserve">as soon as practicable after the 3rd anniversary of the day on which the </w:t>
      </w:r>
      <w:r>
        <w:rPr>
          <w:i/>
        </w:rPr>
        <w:t xml:space="preserve">Bail Amendment (Persons Linked to </w:t>
      </w:r>
      <w:r>
        <w:rPr>
          <w:i/>
        </w:rPr>
        <w:lastRenderedPageBreak/>
        <w:t>Terrorism) Act 2019</w:t>
      </w:r>
      <w:r>
        <w:t xml:space="preserve"> section 12 comes into operation; and</w:t>
      </w:r>
    </w:p>
    <w:p>
      <w:pPr>
        <w:pStyle w:val="Indenta"/>
      </w:pPr>
      <w:r>
        <w:tab/>
        <w:t>(b)</w:t>
      </w:r>
      <w:r>
        <w:tab/>
        <w:t>after that, at intervals of not more than 3 years.</w:t>
      </w:r>
    </w:p>
    <w:p>
      <w:pPr>
        <w:pStyle w:val="Subsection"/>
      </w:pPr>
      <w:r>
        <w:tab/>
        <w:t>(2)</w:t>
      </w:r>
      <w:r>
        <w:tab/>
        <w:t>The Minister must cause the report to be laid before each House of Parliament as soon as practicable after it is prepared, but not later than 90 days after the 3rd anniversary or the expiry of the period of 3 years, as the case may be.</w:t>
      </w:r>
    </w:p>
    <w:p>
      <w:pPr>
        <w:pStyle w:val="Footnotesection"/>
      </w:pPr>
      <w:r>
        <w:t xml:space="preserve"> </w:t>
      </w:r>
      <w:r>
        <w:tab/>
        <w:t>[Section 67A inserted: No. 15 of 2019 s. 12.]</w:t>
      </w:r>
    </w:p>
    <w:p>
      <w:pPr>
        <w:pStyle w:val="Ednotesection"/>
      </w:pPr>
      <w:r>
        <w:t>[</w:t>
      </w:r>
      <w:r>
        <w:rPr>
          <w:b/>
        </w:rPr>
        <w:t>68.</w:t>
      </w:r>
      <w:r>
        <w:tab/>
        <w:t>Omitted under the Reprints Act 1984 s. 7(4)(g).]</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24" w:name="_Toc106978761"/>
      <w:bookmarkStart w:id="125" w:name="_Toc106980730"/>
      <w:r>
        <w:rPr>
          <w:rStyle w:val="CharSchNo"/>
        </w:rPr>
        <w:lastRenderedPageBreak/>
        <w:t>Schedule 1</w:t>
      </w:r>
      <w:r>
        <w:t> — </w:t>
      </w:r>
      <w:r>
        <w:rPr>
          <w:rStyle w:val="CharSchText"/>
        </w:rPr>
        <w:t>Jurisdiction as to bail and related matters</w:t>
      </w:r>
      <w:bookmarkEnd w:id="124"/>
      <w:bookmarkEnd w:id="125"/>
    </w:p>
    <w:p>
      <w:pPr>
        <w:pStyle w:val="yShoulderClause"/>
      </w:pPr>
      <w:r>
        <w:t>[s. 13, 17]</w:t>
      </w:r>
    </w:p>
    <w:p>
      <w:pPr>
        <w:pStyle w:val="yFootnoteheading"/>
      </w:pPr>
      <w:r>
        <w:tab/>
        <w:t>[Heading inserted: No. 6 of 2008 s. 41(1).]</w:t>
      </w:r>
    </w:p>
    <w:p>
      <w:pPr>
        <w:pStyle w:val="yHeading3"/>
        <w:outlineLvl w:val="0"/>
      </w:pPr>
      <w:bookmarkStart w:id="126" w:name="_Toc106978762"/>
      <w:bookmarkStart w:id="127" w:name="_Toc106980731"/>
      <w:r>
        <w:rPr>
          <w:rStyle w:val="CharSDivNo"/>
        </w:rPr>
        <w:t>Part A</w:t>
      </w:r>
      <w:r>
        <w:rPr>
          <w:b w:val="0"/>
        </w:rPr>
        <w:t> — </w:t>
      </w:r>
      <w:r>
        <w:rPr>
          <w:rStyle w:val="CharSDivText"/>
        </w:rPr>
        <w:t>Jurisdiction relating to bail</w:t>
      </w:r>
      <w:bookmarkEnd w:id="126"/>
      <w:bookmarkEnd w:id="127"/>
    </w:p>
    <w:p>
      <w:pPr>
        <w:pStyle w:val="yFootnoteheading"/>
        <w:spacing w:after="120"/>
      </w:pPr>
      <w:r>
        <w:tab/>
        <w:t>[Heading inserted: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No. 6 of 2008 s. 41(2)(b) and (c).]</w:t>
            </w:r>
          </w:p>
        </w:tc>
      </w:tr>
      <w:tr>
        <w:tc>
          <w:tcPr>
            <w:tcW w:w="7044" w:type="dxa"/>
            <w:gridSpan w:val="4"/>
          </w:tcPr>
          <w:p>
            <w:pPr>
              <w:pStyle w:val="yHeading5"/>
              <w:keepNext w:val="0"/>
              <w:keepLines w:val="0"/>
              <w:tabs>
                <w:tab w:val="clear" w:pos="879"/>
                <w:tab w:val="left" w:pos="737"/>
              </w:tabs>
              <w:spacing w:before="160"/>
              <w:outlineLvl w:val="0"/>
            </w:pPr>
            <w:bookmarkStart w:id="128" w:name="_Toc106980732"/>
            <w:r>
              <w:rPr>
                <w:rStyle w:val="CharSClsNo"/>
                <w:bCs/>
              </w:rPr>
              <w:t>1</w:t>
            </w:r>
            <w:r>
              <w:t xml:space="preserve">. </w:t>
            </w:r>
            <w:r>
              <w:rPr>
                <w:b w:val="0"/>
              </w:rPr>
              <w:tab/>
            </w:r>
            <w:r>
              <w:t>Initial appearance</w:t>
            </w:r>
            <w:bookmarkEnd w:id="128"/>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r>
              <w:t>A judge of the District Court or a judge of the Supreme Court, as the case requires.</w:t>
            </w:r>
          </w:p>
        </w:tc>
      </w:tr>
      <w:tr>
        <w:tc>
          <w:tcPr>
            <w:tcW w:w="798" w:type="dxa"/>
          </w:tcPr>
          <w:p>
            <w:pPr>
              <w:pStyle w:val="yTableNAm"/>
              <w:spacing w:before="100"/>
              <w:rPr>
                <w:i/>
              </w:rPr>
            </w:pPr>
          </w:p>
        </w:tc>
        <w:tc>
          <w:tcPr>
            <w:tcW w:w="6246" w:type="dxa"/>
            <w:gridSpan w:val="3"/>
          </w:tcPr>
          <w:p>
            <w:pPr>
              <w:pStyle w:val="yTableNAm"/>
              <w:rPr>
                <w:i/>
              </w:rPr>
            </w:pPr>
            <w:r>
              <w:rPr>
                <w:i/>
              </w:rPr>
              <w:t>[Clause 1 amended: No. 15 of 1988 s. 19; No. 49 of 1988 s. 90(a)(i); No. 59 of 2004 s. 141; No. 84 of 2004 s. 10(1) and 82.]</w:t>
            </w:r>
          </w:p>
        </w:tc>
      </w:tr>
      <w:tr>
        <w:tc>
          <w:tcPr>
            <w:tcW w:w="7044" w:type="dxa"/>
            <w:gridSpan w:val="4"/>
          </w:tcPr>
          <w:p>
            <w:pPr>
              <w:pStyle w:val="yHeading5"/>
              <w:keepLines w:val="0"/>
              <w:tabs>
                <w:tab w:val="clear" w:pos="879"/>
                <w:tab w:val="left" w:pos="737"/>
              </w:tabs>
              <w:spacing w:before="160"/>
              <w:outlineLvl w:val="0"/>
            </w:pPr>
            <w:bookmarkStart w:id="129" w:name="_Toc106980733"/>
            <w:r>
              <w:rPr>
                <w:rStyle w:val="CharSClsNo"/>
                <w:bCs/>
              </w:rPr>
              <w:lastRenderedPageBreak/>
              <w:t>2</w:t>
            </w:r>
            <w:r>
              <w:t xml:space="preserve">. </w:t>
            </w:r>
            <w:r>
              <w:rPr>
                <w:b w:val="0"/>
              </w:rPr>
              <w:tab/>
            </w:r>
            <w:r>
              <w:rPr>
                <w:rStyle w:val="CharSClsNo"/>
                <w:bCs/>
              </w:rPr>
              <w:t>Appearance after adjournment</w:t>
            </w:r>
            <w:bookmarkEnd w:id="129"/>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30" w:name="_Toc106980734"/>
            <w:r>
              <w:rPr>
                <w:rStyle w:val="CharSClsNo"/>
                <w:bCs/>
              </w:rPr>
              <w:t>3.</w:t>
            </w:r>
            <w:r>
              <w:t xml:space="preserve"> </w:t>
            </w:r>
            <w:r>
              <w:rPr>
                <w:b w:val="0"/>
              </w:rPr>
              <w:tab/>
            </w:r>
            <w:r>
              <w:rPr>
                <w:rStyle w:val="CharSClsNo"/>
                <w:bCs/>
              </w:rPr>
              <w:t>Appearance on committal to Supreme Court or District Court</w:t>
            </w:r>
            <w:bookmarkEnd w:id="130"/>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No. 84 of 2004 s. 82.]</w:t>
            </w:r>
          </w:p>
        </w:tc>
      </w:tr>
      <w:tr>
        <w:tc>
          <w:tcPr>
            <w:tcW w:w="7044" w:type="dxa"/>
            <w:gridSpan w:val="4"/>
          </w:tcPr>
          <w:p>
            <w:pPr>
              <w:pStyle w:val="yHeading5"/>
              <w:keepNext w:val="0"/>
              <w:keepLines w:val="0"/>
              <w:tabs>
                <w:tab w:val="clear" w:pos="879"/>
                <w:tab w:val="left" w:pos="737"/>
              </w:tabs>
              <w:spacing w:before="160"/>
              <w:outlineLvl w:val="0"/>
            </w:pPr>
            <w:bookmarkStart w:id="131" w:name="_Toc106980735"/>
            <w:r>
              <w:rPr>
                <w:rStyle w:val="CharSClsNo"/>
                <w:bCs/>
              </w:rPr>
              <w:t>4</w:t>
            </w:r>
            <w:r>
              <w:t xml:space="preserve">. </w:t>
            </w:r>
            <w:r>
              <w:tab/>
            </w:r>
            <w:r>
              <w:rPr>
                <w:rStyle w:val="CharSClsNo"/>
                <w:bCs/>
              </w:rPr>
              <w:t>Appearance in connection with appeal, rehearing etc.</w:t>
            </w:r>
            <w:bookmarkEnd w:id="131"/>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Children’s Court of Western Australia Act 1988</w:t>
            </w:r>
            <w:r>
              <w:t>.</w:t>
            </w:r>
          </w:p>
        </w:tc>
        <w:tc>
          <w:tcPr>
            <w:tcW w:w="3124" w:type="dxa"/>
          </w:tcPr>
          <w:p>
            <w:pPr>
              <w:pStyle w:val="yTableNAm"/>
            </w:pPr>
            <w:r>
              <w:t>The Children’s Court.</w:t>
            </w:r>
          </w:p>
        </w:tc>
      </w:tr>
      <w:tr>
        <w:trPr>
          <w:cantSplit/>
        </w:trPr>
        <w:tc>
          <w:tcPr>
            <w:tcW w:w="798" w:type="dxa"/>
          </w:tcPr>
          <w:p>
            <w:pPr>
              <w:pStyle w:val="yTableNAm"/>
              <w:tabs>
                <w:tab w:val="clear" w:pos="567"/>
                <w:tab w:val="left" w:pos="456"/>
                <w:tab w:val="left" w:pos="1156"/>
              </w:tabs>
              <w:ind w:left="1162" w:hanging="1162"/>
              <w:jc w:val="right"/>
            </w:pPr>
            <w:r>
              <w:lastRenderedPageBreak/>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Children’s Court of Western Australia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No. 84 of 2004 s. 10(2).]</w:t>
            </w:r>
          </w:p>
        </w:tc>
      </w:tr>
      <w:tr>
        <w:tc>
          <w:tcPr>
            <w:tcW w:w="7044" w:type="dxa"/>
            <w:gridSpan w:val="4"/>
          </w:tcPr>
          <w:p>
            <w:pPr>
              <w:pStyle w:val="yHeading5"/>
              <w:keepNext w:val="0"/>
              <w:keepLines w:val="0"/>
              <w:tabs>
                <w:tab w:val="clear" w:pos="879"/>
                <w:tab w:val="left" w:pos="737"/>
              </w:tabs>
              <w:spacing w:before="160"/>
              <w:outlineLvl w:val="0"/>
            </w:pPr>
            <w:bookmarkStart w:id="132" w:name="_Toc106980736"/>
            <w:r>
              <w:rPr>
                <w:rStyle w:val="CharSClsNo"/>
                <w:bCs/>
              </w:rPr>
              <w:t>5</w:t>
            </w:r>
            <w:r>
              <w:t xml:space="preserve">. </w:t>
            </w:r>
            <w:r>
              <w:tab/>
            </w:r>
            <w:r>
              <w:rPr>
                <w:rStyle w:val="CharSClsNo"/>
                <w:bCs/>
              </w:rPr>
              <w:t>Appearance prescribed by regulation</w:t>
            </w:r>
            <w:bookmarkEnd w:id="132"/>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044" w:type="dxa"/>
            <w:gridSpan w:val="4"/>
          </w:tcPr>
          <w:p>
            <w:pPr>
              <w:pStyle w:val="yHeading5"/>
              <w:keepNext w:val="0"/>
              <w:keepLines w:val="0"/>
              <w:tabs>
                <w:tab w:val="clear" w:pos="879"/>
                <w:tab w:val="left" w:pos="737"/>
              </w:tabs>
              <w:spacing w:before="160"/>
              <w:outlineLvl w:val="0"/>
              <w:rPr>
                <w:b w:val="0"/>
              </w:rPr>
            </w:pPr>
            <w:bookmarkStart w:id="133" w:name="_Toc106980737"/>
            <w:r>
              <w:rPr>
                <w:rStyle w:val="CharSClsNo"/>
                <w:bCs/>
              </w:rPr>
              <w:t>6</w:t>
            </w:r>
            <w:r>
              <w:t xml:space="preserve">. </w:t>
            </w:r>
            <w:r>
              <w:rPr>
                <w:b w:val="0"/>
              </w:rPr>
              <w:tab/>
            </w:r>
            <w:r>
              <w:rPr>
                <w:rStyle w:val="CharSClsNo"/>
                <w:bCs/>
              </w:rPr>
              <w:t xml:space="preserve">Appearances not otherwise </w:t>
            </w:r>
            <w:r>
              <w:rPr>
                <w:snapToGrid w:val="0"/>
              </w:rPr>
              <w:t>provided</w:t>
            </w:r>
            <w:r>
              <w:rPr>
                <w:rStyle w:val="CharSClsNo"/>
                <w:bCs/>
              </w:rPr>
              <w:t xml:space="preserve"> for</w:t>
            </w:r>
            <w:bookmarkEnd w:id="133"/>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34" w:name="_Toc106980738"/>
      <w:r>
        <w:rPr>
          <w:rStyle w:val="CharSClsNo"/>
        </w:rPr>
        <w:t>7</w:t>
      </w:r>
      <w:r>
        <w:t>.</w:t>
      </w:r>
      <w:r>
        <w:rPr>
          <w:b w:val="0"/>
        </w:rPr>
        <w:tab/>
      </w:r>
      <w:r>
        <w:t>Term used: proceedings for an offence</w:t>
      </w:r>
      <w:bookmarkEnd w:id="134"/>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No. 84 of 2004 s. 10(3).]</w:t>
      </w:r>
    </w:p>
    <w:p>
      <w:pPr>
        <w:pStyle w:val="yHeading3"/>
        <w:keepLines/>
        <w:outlineLvl w:val="0"/>
      </w:pPr>
      <w:bookmarkStart w:id="135" w:name="_Toc106978770"/>
      <w:bookmarkStart w:id="136" w:name="_Toc106980739"/>
      <w:r>
        <w:rPr>
          <w:rStyle w:val="CharSDivNo"/>
        </w:rPr>
        <w:lastRenderedPageBreak/>
        <w:t>Part B</w:t>
      </w:r>
      <w:r>
        <w:rPr>
          <w:b w:val="0"/>
        </w:rPr>
        <w:t> — </w:t>
      </w:r>
      <w:r>
        <w:rPr>
          <w:rStyle w:val="CharSDivText"/>
        </w:rPr>
        <w:t>Cessation of powers relating to bail</w:t>
      </w:r>
      <w:bookmarkEnd w:id="135"/>
      <w:bookmarkEnd w:id="136"/>
    </w:p>
    <w:p>
      <w:pPr>
        <w:pStyle w:val="yFootnoteheading"/>
        <w:keepNext/>
        <w:keepLines/>
      </w:pPr>
      <w:r>
        <w:tab/>
        <w:t>[Heading inserted: No. 6 of 2008 s. 41(3)(a).]</w:t>
      </w:r>
    </w:p>
    <w:p>
      <w:pPr>
        <w:pStyle w:val="yHeading5"/>
        <w:outlineLvl w:val="0"/>
        <w:rPr>
          <w:snapToGrid w:val="0"/>
        </w:rPr>
      </w:pPr>
      <w:bookmarkStart w:id="137" w:name="_Toc106980740"/>
      <w:r>
        <w:rPr>
          <w:rStyle w:val="CharSClsNo"/>
        </w:rPr>
        <w:t>1</w:t>
      </w:r>
      <w:r>
        <w:rPr>
          <w:snapToGrid w:val="0"/>
        </w:rPr>
        <w:t>.</w:t>
      </w:r>
      <w:r>
        <w:rPr>
          <w:snapToGrid w:val="0"/>
        </w:rPr>
        <w:tab/>
        <w:t>Upon decision by judge, power of other officers ceases</w:t>
      </w:r>
      <w:bookmarkEnd w:id="137"/>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No. 6 of 2008 s. 41(3)(b).]</w:t>
      </w:r>
    </w:p>
    <w:p>
      <w:pPr>
        <w:pStyle w:val="yHeading5"/>
      </w:pPr>
      <w:bookmarkStart w:id="138" w:name="_Toc106980741"/>
      <w:r>
        <w:rPr>
          <w:rStyle w:val="CharSClsNo"/>
        </w:rPr>
        <w:t>1A</w:t>
      </w:r>
      <w:r>
        <w:rPr>
          <w:snapToGrid w:val="0"/>
        </w:rPr>
        <w:t>.</w:t>
      </w:r>
      <w:r>
        <w:rPr>
          <w:b w:val="0"/>
          <w:snapToGrid w:val="0"/>
        </w:rPr>
        <w:tab/>
      </w:r>
      <w:r>
        <w:rPr>
          <w:snapToGrid w:val="0"/>
        </w:rPr>
        <w:t>Upon decision by Court of Appeal, other powers cease</w:t>
      </w:r>
      <w:bookmarkEnd w:id="138"/>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No. 6 of 2008 s. 41(3)(b).]</w:t>
      </w:r>
    </w:p>
    <w:p>
      <w:pPr>
        <w:pStyle w:val="yHeading5"/>
        <w:outlineLvl w:val="0"/>
        <w:rPr>
          <w:snapToGrid w:val="0"/>
        </w:rPr>
      </w:pPr>
      <w:bookmarkStart w:id="139" w:name="_Toc106980742"/>
      <w:r>
        <w:rPr>
          <w:rStyle w:val="CharSClsNo"/>
        </w:rPr>
        <w:t>2</w:t>
      </w:r>
      <w:r>
        <w:rPr>
          <w:snapToGrid w:val="0"/>
        </w:rPr>
        <w:t>.</w:t>
      </w:r>
      <w:r>
        <w:rPr>
          <w:snapToGrid w:val="0"/>
        </w:rPr>
        <w:tab/>
        <w:t>Upon decision by judicial officer, his power and that of his peers ceases</w:t>
      </w:r>
      <w:bookmarkEnd w:id="139"/>
      <w:r>
        <w:rPr>
          <w:snapToGrid w:val="0"/>
        </w:rPr>
        <w:t xml:space="preserve"> </w:t>
      </w:r>
    </w:p>
    <w:p>
      <w:pPr>
        <w:pStyle w:val="ySubsection"/>
        <w:rPr>
          <w:snapToGrid w:val="0"/>
        </w:rPr>
      </w:pPr>
      <w:r>
        <w:rPr>
          <w:snapToGrid w:val="0"/>
        </w:rPr>
        <w:tab/>
      </w:r>
      <w:r>
        <w:rPr>
          <w:snapToGrid w:val="0"/>
        </w:rPr>
        <w:tab/>
        <w:t xml:space="preserve">Except where clause 4 applies, the power to grant, refuse or dispense with bail for an appearance by an accused ceases to be vested in any judicial officer (including a judge of the Supreme Court) after he, or </w:t>
      </w:r>
      <w:r>
        <w:rPr>
          <w:snapToGrid w:val="0"/>
        </w:rPr>
        <w:lastRenderedPageBreak/>
        <w:t>another judicial officer whose jurisdiction is co</w:t>
      </w:r>
      <w:r>
        <w:rPr>
          <w:snapToGrid w:val="0"/>
        </w:rPr>
        <w:noBreakHyphen/>
        <w:t>extensive with his, has granted, refused or dispensed with bail for that appearance.</w:t>
      </w:r>
    </w:p>
    <w:p>
      <w:pPr>
        <w:pStyle w:val="yFootnotesection"/>
      </w:pPr>
      <w:r>
        <w:tab/>
        <w:t>[Clause 2 amended: No. 84 of 2004 s. 82; No. 6 of 2008 s. 41(3)(c) and (d).]</w:t>
      </w:r>
    </w:p>
    <w:p>
      <w:pPr>
        <w:pStyle w:val="yHeading5"/>
        <w:outlineLvl w:val="0"/>
      </w:pPr>
      <w:bookmarkStart w:id="140" w:name="_Toc106980743"/>
      <w:r>
        <w:rPr>
          <w:rStyle w:val="CharSClsNo"/>
        </w:rPr>
        <w:t>3</w:t>
      </w:r>
      <w:r>
        <w:rPr>
          <w:snapToGrid w:val="0"/>
        </w:rPr>
        <w:t>.</w:t>
      </w:r>
      <w:r>
        <w:rPr>
          <w:snapToGrid w:val="0"/>
        </w:rPr>
        <w:tab/>
        <w:t>Upon refusal of bail for initial appearance, certain powers cease</w:t>
      </w:r>
      <w:bookmarkEnd w:id="140"/>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No. 6 of 2008 s. 41(3)(e).]</w:t>
      </w:r>
    </w:p>
    <w:p>
      <w:pPr>
        <w:pStyle w:val="yHeading5"/>
        <w:spacing w:before="180"/>
        <w:outlineLvl w:val="0"/>
        <w:rPr>
          <w:snapToGrid w:val="0"/>
        </w:rPr>
      </w:pPr>
      <w:bookmarkStart w:id="141" w:name="_Toc106980744"/>
      <w:r>
        <w:rPr>
          <w:rStyle w:val="CharSClsNo"/>
        </w:rPr>
        <w:t>4</w:t>
      </w:r>
      <w:r>
        <w:rPr>
          <w:snapToGrid w:val="0"/>
        </w:rPr>
        <w:t>.</w:t>
      </w:r>
      <w:r>
        <w:rPr>
          <w:snapToGrid w:val="0"/>
        </w:rPr>
        <w:tab/>
        <w:t>Judicial officer’s powers if accused proves new facts or changed circumstances</w:t>
      </w:r>
      <w:bookmarkEnd w:id="141"/>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No. 61 of 1990 s. 14; No. 84 of 2004 s. 82.]</w:t>
      </w:r>
    </w:p>
    <w:p>
      <w:pPr>
        <w:pStyle w:val="yHeading3"/>
        <w:keepNext w:val="0"/>
        <w:pageBreakBefore/>
        <w:spacing w:before="0"/>
        <w:outlineLvl w:val="0"/>
      </w:pPr>
      <w:bookmarkStart w:id="142" w:name="_Toc106978776"/>
      <w:bookmarkStart w:id="143" w:name="_Toc106980745"/>
      <w:r>
        <w:rPr>
          <w:rStyle w:val="CharSDivNo"/>
        </w:rPr>
        <w:lastRenderedPageBreak/>
        <w:t>Part C</w:t>
      </w:r>
      <w:r>
        <w:t> — </w:t>
      </w:r>
      <w:r>
        <w:rPr>
          <w:rStyle w:val="CharSDivText"/>
        </w:rPr>
        <w:t>Manner in which jurisdiction to be exercised</w:t>
      </w:r>
      <w:bookmarkEnd w:id="142"/>
      <w:bookmarkEnd w:id="143"/>
    </w:p>
    <w:p>
      <w:pPr>
        <w:pStyle w:val="yFootnoteheading"/>
      </w:pPr>
      <w:r>
        <w:tab/>
        <w:t>[Heading deleted: No. 6 of 2008 s. 41(4)(a).]</w:t>
      </w:r>
    </w:p>
    <w:p>
      <w:pPr>
        <w:pStyle w:val="yHeading5"/>
        <w:spacing w:before="160"/>
        <w:rPr>
          <w:snapToGrid w:val="0"/>
        </w:rPr>
      </w:pPr>
      <w:bookmarkStart w:id="144" w:name="_Toc106980746"/>
      <w:r>
        <w:rPr>
          <w:rStyle w:val="CharSClsNo"/>
        </w:rPr>
        <w:t>1</w:t>
      </w:r>
      <w:r>
        <w:rPr>
          <w:snapToGrid w:val="0"/>
        </w:rPr>
        <w:t>.</w:t>
      </w:r>
      <w:r>
        <w:rPr>
          <w:snapToGrid w:val="0"/>
        </w:rPr>
        <w:tab/>
        <w:t>Bail before conviction at discretion of court or judicial officer except for child</w:t>
      </w:r>
      <w:bookmarkEnd w:id="144"/>
      <w:r>
        <w:rPr>
          <w:snapToGrid w:val="0"/>
        </w:rPr>
        <w:t xml:space="preserve"> </w:t>
      </w:r>
    </w:p>
    <w:p>
      <w:pPr>
        <w:pStyle w:val="ySubsection"/>
        <w:spacing w:before="100"/>
        <w:rPr>
          <w:snapToGrid w:val="0"/>
        </w:rPr>
      </w:pPr>
      <w:r>
        <w:rPr>
          <w:snapToGrid w:val="0"/>
        </w:rPr>
        <w:tab/>
      </w:r>
      <w:r>
        <w:rPr>
          <w:snapToGrid w:val="0"/>
        </w:rPr>
        <w:tab/>
        <w:t xml:space="preserve">Subject to </w:t>
      </w:r>
      <w:r>
        <w:rPr>
          <w:szCs w:val="22"/>
        </w:rPr>
        <w:t xml:space="preserve">clauses 3A, 3C, </w:t>
      </w:r>
      <w:r>
        <w:t xml:space="preserve">3D, 3E and 3F, </w:t>
      </w:r>
      <w:r>
        <w:rPr>
          <w:snapToGrid w:val="0"/>
        </w:rPr>
        <w:t>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lastRenderedPageBreak/>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pPr>
      <w:r>
        <w:tab/>
        <w:t>[Clause 1 amended: No. 14 of 1992 s. 11; No. 45 of 1993 s. 10(2)(a); No. 54 of 1998 s. 8(a) and (b); No. 84 of 2004 s. 82; No. 6 of 2008 s. 41(4)(b); No. 21 of 2017 s. 7; No. 15 of 2019 s. 13(1); No. 30 of 2020 s. 46.]</w:t>
      </w:r>
    </w:p>
    <w:p>
      <w:pPr>
        <w:pStyle w:val="yHeading5"/>
        <w:spacing w:before="240"/>
        <w:rPr>
          <w:snapToGrid w:val="0"/>
        </w:rPr>
      </w:pPr>
      <w:bookmarkStart w:id="145" w:name="_Toc106980747"/>
      <w:r>
        <w:rPr>
          <w:rStyle w:val="CharSClsNo"/>
        </w:rPr>
        <w:t>2</w:t>
      </w:r>
      <w:r>
        <w:rPr>
          <w:snapToGrid w:val="0"/>
        </w:rPr>
        <w:t>.</w:t>
      </w:r>
      <w:r>
        <w:rPr>
          <w:snapToGrid w:val="0"/>
        </w:rPr>
        <w:tab/>
        <w:t>Child to have qualified right to bail</w:t>
      </w:r>
      <w:bookmarkEnd w:id="145"/>
      <w:r>
        <w:rPr>
          <w:snapToGrid w:val="0"/>
        </w:rPr>
        <w:t xml:space="preserve"> </w:t>
      </w:r>
    </w:p>
    <w:p>
      <w:pPr>
        <w:pStyle w:val="ySubsection"/>
        <w:keepNext/>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lastRenderedPageBreak/>
        <w:tab/>
        <w:t>(3)</w:t>
      </w:r>
      <w:r>
        <w:rPr>
          <w:snapToGrid w:val="0"/>
        </w:rPr>
        <w:tab/>
        <w:t>The right of a child accused under subclause (2) is subject to — </w:t>
      </w:r>
    </w:p>
    <w:p>
      <w:pPr>
        <w:pStyle w:val="yIndenta"/>
      </w:pPr>
      <w:r>
        <w:tab/>
        <w:t>(a)</w:t>
      </w:r>
      <w:r>
        <w:tab/>
        <w:t>clauses 3A, 3C, 3D and 3E;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rPr>
          <w:snapToGrid w:val="0"/>
        </w:rPr>
      </w:pPr>
      <w:r>
        <w:rPr>
          <w:snapToGrid w:val="0"/>
        </w:rPr>
        <w:tab/>
        <w:t>(a)</w:t>
      </w:r>
      <w:r>
        <w:rPr>
          <w:snapToGrid w:val="0"/>
        </w:rPr>
        <w:tab/>
        <w:t>is over the age of 17 years; and</w:t>
      </w:r>
    </w:p>
    <w:p>
      <w:pPr>
        <w:pStyle w:val="yIndenta"/>
        <w:rPr>
          <w:snapToGrid w:val="0"/>
        </w:rPr>
      </w:pPr>
      <w:r>
        <w:rPr>
          <w:snapToGrid w:val="0"/>
        </w:rPr>
        <w:tab/>
        <w:t>(b)</w:t>
      </w:r>
      <w:r>
        <w:rPr>
          <w:snapToGrid w:val="0"/>
        </w:rPr>
        <w:tab/>
        <w:t>has sufficient maturity to live independently without the guidance or control of a parent or guardian.</w:t>
      </w:r>
    </w:p>
    <w:p>
      <w:pPr>
        <w:pStyle w:val="ySubsection"/>
        <w:keepNext/>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rPr>
          <w:snapToGrid w:val="0"/>
        </w:rPr>
      </w:pPr>
      <w:r>
        <w:rPr>
          <w:snapToGrid w:val="0"/>
        </w:rPr>
        <w:tab/>
        <w:t>(b)</w:t>
      </w:r>
      <w:r>
        <w:rPr>
          <w:snapToGrid w:val="0"/>
        </w:rPr>
        <w:tab/>
        <w:t>section 54(1)(b)(i) read as follows — </w:t>
      </w:r>
    </w:p>
    <w:p>
      <w:pPr>
        <w:pStyle w:val="BlankOpen"/>
        <w:spacing w:before="160"/>
        <w:rPr>
          <w:snapToGrid w:val="0"/>
          <w:sz w:val="16"/>
          <w:szCs w:val="16"/>
        </w:rPr>
      </w:pPr>
    </w:p>
    <w:p>
      <w:pPr>
        <w:pStyle w:val="yIndenti0"/>
        <w:ind w:right="573"/>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spacing w:before="160"/>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pPr>
      <w:r>
        <w:tab/>
        <w:t xml:space="preserve">[Clause 2 inserted: No. 45 of 1993 s. 10(2)(b); amended: No. 57 of 1997 s. 21(3)(a); No. 54 of 1998 s. 8(c); </w:t>
      </w:r>
      <w:r>
        <w:rPr>
          <w:spacing w:val="-6"/>
        </w:rPr>
        <w:t xml:space="preserve">No. 34 of 2004 </w:t>
      </w:r>
      <w:r>
        <w:t>Sch. 2 cl. 3(3); No. 84 of 2004 s. 82; No. 6 of 2008 s. 41(4)(c) and 43(4); No. 21 of 2017 s. 8; No. 15 of 2019 s. 13(2).]</w:t>
      </w:r>
    </w:p>
    <w:p>
      <w:pPr>
        <w:pStyle w:val="yHeading5"/>
        <w:keepNext w:val="0"/>
        <w:keepLines w:val="0"/>
        <w:pageBreakBefore/>
        <w:spacing w:before="0"/>
        <w:rPr>
          <w:snapToGrid w:val="0"/>
        </w:rPr>
      </w:pPr>
      <w:bookmarkStart w:id="146" w:name="_Toc106980748"/>
      <w:r>
        <w:rPr>
          <w:rStyle w:val="CharSClsNo"/>
        </w:rPr>
        <w:lastRenderedPageBreak/>
        <w:t>3</w:t>
      </w:r>
      <w:r>
        <w:rPr>
          <w:snapToGrid w:val="0"/>
        </w:rPr>
        <w:t>.</w:t>
      </w:r>
      <w:r>
        <w:rPr>
          <w:snapToGrid w:val="0"/>
        </w:rPr>
        <w:tab/>
        <w:t>Matters relevant to cl. 1(a)</w:t>
      </w:r>
      <w:bookmarkEnd w:id="146"/>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No. 84 of 2004 s. 82.]</w:t>
      </w:r>
    </w:p>
    <w:p>
      <w:pPr>
        <w:pStyle w:val="yHeading5"/>
        <w:spacing w:before="240"/>
        <w:rPr>
          <w:snapToGrid w:val="0"/>
        </w:rPr>
      </w:pPr>
      <w:bookmarkStart w:id="147" w:name="_Toc106980749"/>
      <w:r>
        <w:rPr>
          <w:rStyle w:val="CharSClsNo"/>
        </w:rPr>
        <w:t>3A</w:t>
      </w:r>
      <w:r>
        <w:rPr>
          <w:snapToGrid w:val="0"/>
        </w:rPr>
        <w:t>.</w:t>
      </w:r>
      <w:r>
        <w:rPr>
          <w:snapToGrid w:val="0"/>
        </w:rPr>
        <w:tab/>
        <w:t>Bail for accused charged with serious offence committed while on bail or early release for another serious offence</w:t>
      </w:r>
      <w:bookmarkEnd w:id="147"/>
    </w:p>
    <w:p>
      <w:pPr>
        <w:pStyle w:val="ySubsection"/>
        <w:keepNext/>
        <w:spacing w:before="120"/>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pPr>
      <w:r>
        <w:tab/>
      </w:r>
      <w:r>
        <w:tab/>
        <w:t xml:space="preserve">the judicial officer or (if section 16A does not apply) the authorised officer in whom jurisdiction is vested shall refuse to grant bail for the </w:t>
      </w:r>
      <w:r>
        <w:lastRenderedPageBreak/>
        <w:t xml:space="preserve">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No. 45 of 1993 s. 10(2)(c); amended: No. 57 of 1997 s. 21(3)(b); No. 54 of 1998 s. 7 and 13(1); No. 84 of 2004 s. 82; No. 6 of 2008 s. 41(4)(d).]</w:t>
      </w:r>
    </w:p>
    <w:p>
      <w:pPr>
        <w:pStyle w:val="yHeading5"/>
        <w:spacing w:before="180"/>
      </w:pPr>
      <w:bookmarkStart w:id="148" w:name="_Toc106980750"/>
      <w:r>
        <w:rPr>
          <w:rStyle w:val="CharSClsNo"/>
        </w:rPr>
        <w:t>3B</w:t>
      </w:r>
      <w:r>
        <w:t>.</w:t>
      </w:r>
      <w:r>
        <w:tab/>
        <w:t>Exceptional reasons under cl. 3A(1), determining</w:t>
      </w:r>
      <w:bookmarkEnd w:id="148"/>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lastRenderedPageBreak/>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lastRenderedPageBreak/>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family violence restraining order or 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2</w:t>
      </w:r>
      <w:r>
        <w:t> —</w:t>
      </w:r>
    </w:p>
    <w:p>
      <w:pPr>
        <w:pStyle w:val="yDefsubpara"/>
        <w:keepLines w:val="0"/>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that shows on the face of the order that the causing or threatening of personal injury by the accused was a ground for the making of the order.</w:t>
      </w:r>
    </w:p>
    <w:p>
      <w:pPr>
        <w:pStyle w:val="yFootnotesection"/>
      </w:pPr>
      <w:r>
        <w:tab/>
        <w:t>[Clause 3B inserted: No. 54 of 1998 s. 13(2); amended: No. 38 of 2004 s. 60; No. 59 of 2004 s. 141; No. 84 of 2004 s. 11 and 82; No. 49 of 2016 s. 89.]</w:t>
      </w:r>
    </w:p>
    <w:p>
      <w:pPr>
        <w:pStyle w:val="yHeading5"/>
      </w:pPr>
      <w:bookmarkStart w:id="149" w:name="_Toc106980751"/>
      <w:r>
        <w:rPr>
          <w:rStyle w:val="CharSClsNo"/>
        </w:rPr>
        <w:t>3C</w:t>
      </w:r>
      <w:r>
        <w:rPr>
          <w:snapToGrid w:val="0"/>
        </w:rPr>
        <w:t>.</w:t>
      </w:r>
      <w:r>
        <w:rPr>
          <w:snapToGrid w:val="0"/>
        </w:rPr>
        <w:tab/>
        <w:t>Bail in murder cases</w:t>
      </w:r>
      <w:bookmarkEnd w:id="149"/>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No. 6 of 2008 s. 41(4)(e); amended: No. 29 of 2008 s. 24(7).]</w:t>
      </w:r>
    </w:p>
    <w:p>
      <w:pPr>
        <w:pStyle w:val="yHeading5"/>
      </w:pPr>
      <w:bookmarkStart w:id="150" w:name="_Toc106980752"/>
      <w:r>
        <w:rPr>
          <w:rStyle w:val="CharSClsNo"/>
        </w:rPr>
        <w:lastRenderedPageBreak/>
        <w:t>3D</w:t>
      </w:r>
      <w:r>
        <w:t>.</w:t>
      </w:r>
      <w:r>
        <w:tab/>
        <w:t xml:space="preserve">Bail in cases under </w:t>
      </w:r>
      <w:r>
        <w:rPr>
          <w:i/>
        </w:rPr>
        <w:t>High Risk Serious Offenders Act 2020</w:t>
      </w:r>
      <w:r>
        <w:t xml:space="preserve"> section 80(1)</w:t>
      </w:r>
      <w:bookmarkEnd w:id="150"/>
    </w:p>
    <w:p>
      <w:pPr>
        <w:pStyle w:val="ySubsection"/>
      </w:pPr>
      <w:r>
        <w:tab/>
        <w:t>(1)</w:t>
      </w:r>
      <w:r>
        <w:tab/>
        <w:t xml:space="preserve">In this clause — </w:t>
      </w:r>
    </w:p>
    <w:p>
      <w:pPr>
        <w:pStyle w:val="yDefstart"/>
      </w:pPr>
      <w:r>
        <w:tab/>
      </w:r>
      <w:r>
        <w:rPr>
          <w:rStyle w:val="CharDefText"/>
        </w:rPr>
        <w:t>section 80 offence</w:t>
      </w:r>
      <w:r>
        <w:t xml:space="preserve"> means the offence under the </w:t>
      </w:r>
      <w:r>
        <w:rPr>
          <w:i/>
        </w:rPr>
        <w:t xml:space="preserve">High Risk Serious Offenders Act 2020 </w:t>
      </w:r>
      <w:r>
        <w:t>section 80(1) of contravening a requirement of a supervision order;</w:t>
      </w:r>
    </w:p>
    <w:p>
      <w:pPr>
        <w:pStyle w:val="yDefstart"/>
      </w:pPr>
      <w:r>
        <w:tab/>
      </w:r>
      <w:r>
        <w:rPr>
          <w:rStyle w:val="CharDefText"/>
        </w:rPr>
        <w:t>victim</w:t>
      </w:r>
      <w:r>
        <w:t xml:space="preserve"> has the meaning given in the </w:t>
      </w:r>
      <w:r>
        <w:rPr>
          <w:i/>
          <w:szCs w:val="22"/>
        </w:rPr>
        <w:t>High Risk Serious Offenders Act 2020</w:t>
      </w:r>
      <w:r>
        <w:rPr>
          <w:szCs w:val="22"/>
        </w:rPr>
        <w:t xml:space="preserve"> section 3.</w:t>
      </w:r>
    </w:p>
    <w:p>
      <w:pPr>
        <w:pStyle w:val="ySubsection"/>
      </w:pPr>
      <w:r>
        <w:tab/>
        <w:t>(2)</w:t>
      </w:r>
      <w:r>
        <w:tab/>
        <w:t xml:space="preserve">This clause applies where an accused is in custody — </w:t>
      </w:r>
    </w:p>
    <w:p>
      <w:pPr>
        <w:pStyle w:val="yIndenta"/>
      </w:pPr>
      <w:r>
        <w:tab/>
        <w:t>(a)</w:t>
      </w:r>
      <w:r>
        <w:tab/>
        <w:t xml:space="preserve">awaiting an appearance in court before conviction for a </w:t>
      </w:r>
      <w:r>
        <w:rPr>
          <w:szCs w:val="22"/>
        </w:rPr>
        <w:t>section </w:t>
      </w:r>
      <w:r>
        <w:t xml:space="preserve">80 </w:t>
      </w:r>
      <w:r>
        <w:rPr>
          <w:szCs w:val="22"/>
        </w:rPr>
        <w:t>offence; or</w:t>
      </w:r>
    </w:p>
    <w:p>
      <w:pPr>
        <w:pStyle w:val="yIndenta"/>
      </w:pPr>
      <w:r>
        <w:tab/>
        <w:t>(b)</w:t>
      </w:r>
      <w:r>
        <w:tab/>
        <w:t xml:space="preserve">waiting to be sentenced or otherwise dealt with for a </w:t>
      </w:r>
      <w:r>
        <w:rPr>
          <w:szCs w:val="22"/>
        </w:rPr>
        <w:t>section </w:t>
      </w:r>
      <w:r>
        <w:t>80</w:t>
      </w:r>
      <w:r>
        <w:rPr>
          <w:szCs w:val="22"/>
        </w:rPr>
        <w:t xml:space="preserve"> offence </w:t>
      </w:r>
      <w:r>
        <w:t>of which the accused has been convicted.</w:t>
      </w:r>
    </w:p>
    <w:p>
      <w:pPr>
        <w:pStyle w:val="ySubsection"/>
      </w:pPr>
      <w:r>
        <w:tab/>
        <w:t>(3)</w:t>
      </w:r>
      <w:r>
        <w:tab/>
        <w:t xml:space="preserve">Despite clause 1, 2 or 4 or any other provision of this Act, where this clause applies the judicial officer or (if section 16A does not apply) the authorised officer in whom jurisdiction is vested must refuse to grant bail for the </w:t>
      </w:r>
      <w:r>
        <w:rPr>
          <w:szCs w:val="22"/>
        </w:rPr>
        <w:t>section </w:t>
      </w:r>
      <w:r>
        <w:t>80</w:t>
      </w:r>
      <w:r>
        <w:rPr>
          <w:szCs w:val="22"/>
        </w:rPr>
        <w:t xml:space="preserve"> offence</w:t>
      </w:r>
      <w:r>
        <w:t xml:space="preserve"> unless the judicial officer or authorised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 or, in the case of a child, clauses 2 and 3.</w:t>
      </w:r>
    </w:p>
    <w:p>
      <w:pPr>
        <w:pStyle w:val="ySubsection"/>
      </w:pPr>
      <w:r>
        <w:tab/>
        <w:t>(4)</w:t>
      </w:r>
      <w:r>
        <w:tab/>
        <w:t xml:space="preserve">The judicial officer or authorised officer must in making any decision for the purposes of subclause (3) — </w:t>
      </w:r>
    </w:p>
    <w:p>
      <w:pPr>
        <w:pStyle w:val="yIndenta"/>
      </w:pPr>
      <w:r>
        <w:tab/>
        <w:t>(a)</w:t>
      </w:r>
      <w:r>
        <w:tab/>
        <w:t xml:space="preserve">have regard to — </w:t>
      </w:r>
    </w:p>
    <w:p>
      <w:pPr>
        <w:pStyle w:val="yIndenti0"/>
      </w:pPr>
      <w:r>
        <w:tab/>
        <w:t>(i)</w:t>
      </w:r>
      <w:r>
        <w:tab/>
        <w:t>any history of proven or alleged contraventions of supervision orders by the accused; and</w:t>
      </w:r>
    </w:p>
    <w:p>
      <w:pPr>
        <w:pStyle w:val="yIndenti0"/>
      </w:pPr>
      <w:r>
        <w:tab/>
        <w:t>(ii)</w:t>
      </w:r>
      <w:r>
        <w:tab/>
        <w:t>any adverse effect that a grant of bail to the accused would have on a victim of the accused;</w:t>
      </w:r>
    </w:p>
    <w:p>
      <w:pPr>
        <w:pStyle w:val="yIndenta"/>
      </w:pPr>
      <w:r>
        <w:tab/>
      </w:r>
      <w:r>
        <w:tab/>
        <w:t>and</w:t>
      </w:r>
    </w:p>
    <w:p>
      <w:pPr>
        <w:pStyle w:val="yIndenta"/>
      </w:pPr>
      <w:r>
        <w:tab/>
        <w:t>(b)</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lastRenderedPageBreak/>
        <w:tab/>
        <w:t>(c)</w:t>
      </w:r>
      <w:r>
        <w:tab/>
        <w:t>consider whether the conduct alleged to amount to the contravention in itself appears to be minor or trivial.</w:t>
      </w:r>
    </w:p>
    <w:p>
      <w:pPr>
        <w:pStyle w:val="ySubsection"/>
      </w:pPr>
      <w:r>
        <w:tab/>
        <w:t>(5)</w:t>
      </w:r>
      <w:r>
        <w:tab/>
        <w:t>Subclause (4) does not limit the matters that the judicial officer or authorised officer may take into account for the purposes of subclause (3).</w:t>
      </w:r>
    </w:p>
    <w:p>
      <w:pPr>
        <w:pStyle w:val="ySubsection"/>
      </w:pPr>
      <w:r>
        <w:tab/>
        <w:t>(6)</w:t>
      </w:r>
      <w:r>
        <w:tab/>
        <w:t xml:space="preserve">Despite section 7(1), where an accused is refused bail under subclause (3) for an appearance for a </w:t>
      </w:r>
      <w:r>
        <w:rPr>
          <w:szCs w:val="22"/>
        </w:rPr>
        <w:t>section </w:t>
      </w:r>
      <w:r>
        <w:t>80</w:t>
      </w:r>
      <w:r>
        <w:rPr>
          <w:szCs w:val="22"/>
        </w:rPr>
        <w:t xml:space="preserve"> offence</w:t>
      </w:r>
      <w:r>
        <w:t xml:space="preserv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(7)</w:t>
      </w:r>
      <w:r>
        <w:tab/>
        <w:t xml:space="preserve">A child accused who is refused bail under subclause (3) must be dealt with in accordance with the </w:t>
      </w:r>
      <w:r>
        <w:rPr>
          <w:i/>
        </w:rPr>
        <w:t>Young Offenders Act 1994</w:t>
      </w:r>
      <w:r>
        <w:t xml:space="preserve"> section 19(2).</w:t>
      </w:r>
    </w:p>
    <w:p>
      <w:pPr>
        <w:pStyle w:val="yFootnotesection"/>
      </w:pPr>
      <w:r>
        <w:tab/>
        <w:t>[Clause 3D inserted: No. 21 of 2017 s. 9; amended: No. 29 of 2020 s. 117.]</w:t>
      </w:r>
    </w:p>
    <w:p>
      <w:pPr>
        <w:pStyle w:val="yHeading5"/>
      </w:pPr>
      <w:bookmarkStart w:id="151" w:name="_Toc106980753"/>
      <w:r>
        <w:rPr>
          <w:rStyle w:val="CharSClsNo"/>
        </w:rPr>
        <w:t>3E</w:t>
      </w:r>
      <w:r>
        <w:t>.</w:t>
      </w:r>
      <w:r>
        <w:tab/>
        <w:t>Bail in cases of person linked to terrorism</w:t>
      </w:r>
      <w:bookmarkEnd w:id="151"/>
    </w:p>
    <w:p>
      <w:pPr>
        <w:pStyle w:val="ySubsection"/>
      </w:pPr>
      <w:r>
        <w:tab/>
        <w:t>(1)</w:t>
      </w:r>
      <w:r>
        <w:tab/>
        <w:t xml:space="preserve">This clause applies where an accused who is a person linked to terrorism is in custody — </w:t>
      </w:r>
    </w:p>
    <w:p>
      <w:pPr>
        <w:pStyle w:val="yIndenta"/>
      </w:pPr>
      <w:r>
        <w:tab/>
        <w:t>(a)</w:t>
      </w:r>
      <w:r>
        <w:tab/>
        <w:t>awaiting an appearance in court before conviction for an offence; or</w:t>
      </w:r>
    </w:p>
    <w:p>
      <w:pPr>
        <w:pStyle w:val="yIndenta"/>
      </w:pPr>
      <w:r>
        <w:tab/>
        <w:t>(b)</w:t>
      </w:r>
      <w:r>
        <w:tab/>
        <w:t>waiting to be sentenced or otherwise dealt with for an offence of which the accused has been convicted.</w:t>
      </w:r>
    </w:p>
    <w:p>
      <w:pPr>
        <w:pStyle w:val="ySubsection"/>
      </w:pPr>
      <w:r>
        <w:tab/>
        <w:t>(2)</w:t>
      </w:r>
      <w:r>
        <w:tab/>
        <w:t xml:space="preserve">Despite clause 1, 2 or 4 or any other provision of this Act, and in addition to clauses 3A to 3D, where this clause applies the judicial officer in whom jurisdiction is vested must refuse to grant bail for the offence unless the judicial officer is satisfied that — </w:t>
      </w:r>
    </w:p>
    <w:p>
      <w:pPr>
        <w:pStyle w:val="yIndenta"/>
      </w:pPr>
      <w:r>
        <w:tab/>
        <w:t>(a)</w:t>
      </w:r>
      <w:r>
        <w:tab/>
        <w:t>there are exceptional reasons why the accused should not be kept in custody; and</w:t>
      </w:r>
    </w:p>
    <w:p>
      <w:pPr>
        <w:pStyle w:val="yIndenta"/>
      </w:pPr>
      <w:r>
        <w:tab/>
        <w:t>(b)</w:t>
      </w:r>
      <w:r>
        <w:tab/>
        <w:t>bail may properly be granted having regard to the provisions of clauses 1 and 3 or, in the case of a child, clauses 2 and 3.</w:t>
      </w:r>
    </w:p>
    <w:p>
      <w:pPr>
        <w:pStyle w:val="ySubsection"/>
      </w:pPr>
      <w:r>
        <w:lastRenderedPageBreak/>
        <w:tab/>
        <w:t>(3)</w:t>
      </w:r>
      <w:r>
        <w:tab/>
        <w:t xml:space="preserve">The judicial officer must, in making any decision for the purposes of subclause (2)(a) — </w:t>
      </w:r>
    </w:p>
    <w:p>
      <w:pPr>
        <w:pStyle w:val="yIndenta"/>
      </w:pPr>
      <w:r>
        <w:tab/>
        <w:t>(a)</w:t>
      </w:r>
      <w:r>
        <w:tab/>
        <w:t>have regard to the nature and seriousness of the offence or offences (including any other offence or offences for which the accused is awaiting trial) and the probable method of dealing with the accused for it or them, if the accused is convicted; and</w:t>
      </w:r>
    </w:p>
    <w:p>
      <w:pPr>
        <w:pStyle w:val="yIndenta"/>
      </w:pPr>
      <w:r>
        <w:tab/>
        <w:t>(b)</w:t>
      </w:r>
      <w:r>
        <w:tab/>
        <w:t xml:space="preserve">have regard to the conduct of the accused since the accused was — </w:t>
      </w:r>
    </w:p>
    <w:p>
      <w:pPr>
        <w:pStyle w:val="yIndenti0"/>
      </w:pPr>
      <w:r>
        <w:tab/>
        <w:t>(i)</w:t>
      </w:r>
      <w:r>
        <w:tab/>
        <w:t xml:space="preserve">charged with or convicted of a terrorism offence; or </w:t>
      </w:r>
    </w:p>
    <w:p>
      <w:pPr>
        <w:pStyle w:val="yIndenti0"/>
      </w:pPr>
      <w:r>
        <w:tab/>
        <w:t>(ii)</w:t>
      </w:r>
      <w:r>
        <w:tab/>
        <w:t>made the subject of the relevant interim control order or confirmed control order;</w:t>
      </w:r>
    </w:p>
    <w:p>
      <w:pPr>
        <w:pStyle w:val="yIndenta"/>
      </w:pPr>
      <w:r>
        <w:tab/>
      </w:r>
      <w:r>
        <w:tab/>
        <w:t>and</w:t>
      </w:r>
    </w:p>
    <w:p>
      <w:pPr>
        <w:pStyle w:val="yIndenta"/>
      </w:pPr>
      <w:r>
        <w:tab/>
        <w:t>(c)</w:t>
      </w:r>
      <w:r>
        <w:tab/>
        <w:t xml:space="preserve">consider whether it would be appropriate to refuse bail and make a hospital order under the </w:t>
      </w:r>
      <w:r>
        <w:rPr>
          <w:i/>
        </w:rPr>
        <w:t>Criminal Law (Mentally Impaired Accused) Act 1996</w:t>
      </w:r>
      <w:r>
        <w:t xml:space="preserve"> section 5; and</w:t>
      </w:r>
    </w:p>
    <w:p>
      <w:pPr>
        <w:pStyle w:val="yIndenta"/>
      </w:pPr>
      <w:r>
        <w:tab/>
        <w:t>(d)</w:t>
      </w:r>
      <w:r>
        <w:tab/>
        <w:t xml:space="preserve">in the case of a child, consider the </w:t>
      </w:r>
      <w:r>
        <w:rPr>
          <w:i/>
        </w:rPr>
        <w:t>Young Offenders Act 1994</w:t>
      </w:r>
      <w:r>
        <w:t xml:space="preserve"> section 6(d) as an objective of this Act with the safety of the community being an overriding objective.</w:t>
      </w:r>
    </w:p>
    <w:p>
      <w:pPr>
        <w:pStyle w:val="ySubsection"/>
      </w:pPr>
      <w:r>
        <w:tab/>
        <w:t>(4)</w:t>
      </w:r>
      <w:r>
        <w:tab/>
        <w:t>Subclause (3) does not limit the matters that the judicial officer may take into account for the purposes of subclause (2)(a).</w:t>
      </w:r>
    </w:p>
    <w:p>
      <w:pPr>
        <w:pStyle w:val="ySubsection"/>
      </w:pPr>
      <w:r>
        <w:tab/>
        <w:t>(5)</w:t>
      </w:r>
      <w:r>
        <w:tab/>
        <w:t xml:space="preserve">Despite section 7(1), where an accused is refused bail under subclause (2)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tab/>
        <w:t>(b)</w:t>
      </w:r>
      <w:r>
        <w:tab/>
        <w:t>the accused failed adequately to present the case for bail on the occasion of that refusal.</w:t>
      </w:r>
    </w:p>
    <w:p>
      <w:pPr>
        <w:pStyle w:val="ySubsection"/>
      </w:pPr>
      <w:r>
        <w:tab/>
        <w:t>(6)</w:t>
      </w:r>
      <w:r>
        <w:tab/>
        <w:t>Where an accused is granted bail under subclause (2), on any subsequent appearance in the same case a judicial officer may order that bail is to continue on the same terms and conditions.</w:t>
      </w:r>
    </w:p>
    <w:p>
      <w:pPr>
        <w:pStyle w:val="ySubsection"/>
      </w:pPr>
      <w:r>
        <w:lastRenderedPageBreak/>
        <w:tab/>
        <w:t>(7)</w:t>
      </w:r>
      <w:r>
        <w:tab/>
        <w:t xml:space="preserve">Where a child accused is refused bail under subclause (2), the child accused shall be dealt with in accordance with the </w:t>
      </w:r>
      <w:r>
        <w:rPr>
          <w:i/>
        </w:rPr>
        <w:t xml:space="preserve">Young Offenders Act 1994 </w:t>
      </w:r>
      <w:r>
        <w:t>section 19(2).</w:t>
      </w:r>
    </w:p>
    <w:p>
      <w:pPr>
        <w:pStyle w:val="PermNoteHeading"/>
      </w:pPr>
      <w:r>
        <w:tab/>
        <w:t xml:space="preserve">Note for this clause: </w:t>
      </w:r>
    </w:p>
    <w:p>
      <w:pPr>
        <w:pStyle w:val="PermNoteHeading"/>
      </w:pPr>
      <w:r>
        <w:tab/>
        <w:t xml:space="preserve">The </w:t>
      </w:r>
      <w:r>
        <w:rPr>
          <w:i/>
        </w:rPr>
        <w:t>Crimes Act 1914</w:t>
      </w:r>
      <w:r>
        <w:t xml:space="preserve"> (Commonwealth) section 15AA provides that a bail authority must not grant bail to a person charged with, or convicted of, a terrorism offence as defined in section 3(1) of that Act unless the bail authority is satisfied that exceptional circumstances exist to justify bail.</w:t>
      </w:r>
    </w:p>
    <w:p>
      <w:pPr>
        <w:pStyle w:val="yFootnotesection"/>
      </w:pPr>
      <w:r>
        <w:tab/>
        <w:t>[Clause 3E inserted: No. 15 of 2019 s. 13(3).]</w:t>
      </w:r>
    </w:p>
    <w:p>
      <w:pPr>
        <w:pStyle w:val="yHeading5"/>
      </w:pPr>
      <w:bookmarkStart w:id="152" w:name="_Toc106980754"/>
      <w:r>
        <w:rPr>
          <w:rStyle w:val="CharSClsNo"/>
        </w:rPr>
        <w:t>3F</w:t>
      </w:r>
      <w:r>
        <w:t>.</w:t>
      </w:r>
      <w:r>
        <w:tab/>
        <w:t>Bail in cases of family violence offence involving serial family violence offender</w:t>
      </w:r>
      <w:bookmarkEnd w:id="152"/>
    </w:p>
    <w:p>
      <w:pPr>
        <w:pStyle w:val="ySubsection"/>
      </w:pPr>
      <w:r>
        <w:tab/>
        <w:t>(1)</w:t>
      </w:r>
      <w:r>
        <w:tab/>
        <w:t xml:space="preserve">This clause applies where an accused is a serial family violence offender in custody — </w:t>
      </w:r>
    </w:p>
    <w:p>
      <w:pPr>
        <w:pStyle w:val="yIndenta"/>
      </w:pPr>
      <w:r>
        <w:tab/>
        <w:t>(a)</w:t>
      </w:r>
      <w:r>
        <w:tab/>
        <w:t>awaiting an appearance in court before conviction for a family violence offence; or</w:t>
      </w:r>
    </w:p>
    <w:p>
      <w:pPr>
        <w:pStyle w:val="yIndenta"/>
      </w:pPr>
      <w:r>
        <w:tab/>
        <w:t>(b)</w:t>
      </w:r>
      <w:r>
        <w:tab/>
        <w:t>waiting to be sentenced or otherwise dealt with for a family violence offence of which the accused has been convicted.</w:t>
      </w:r>
    </w:p>
    <w:p>
      <w:pPr>
        <w:pStyle w:val="ySubsection"/>
      </w:pPr>
      <w:r>
        <w:tab/>
        <w:t>(2)</w:t>
      </w:r>
      <w:r>
        <w:tab/>
        <w:t xml:space="preserve">Despite clause 1, 2 or 4 or any other provision of this Act, where this clause applies bail may only be granted by a judicial officer, other than a justice, in whom jurisdiction is vested and the judicial officer must refuse to grant bail for the family violence offence unless the judicial officer — </w:t>
      </w:r>
    </w:p>
    <w:p>
      <w:pPr>
        <w:pStyle w:val="yIndenta"/>
      </w:pPr>
      <w:r>
        <w:tab/>
        <w:t>(a)</w:t>
      </w:r>
      <w:r>
        <w:tab/>
        <w:t>is satisfied that there are exceptional reasons why the accused should not be kept in custody; and</w:t>
      </w:r>
    </w:p>
    <w:p>
      <w:pPr>
        <w:pStyle w:val="yIndenta"/>
      </w:pPr>
      <w:r>
        <w:tab/>
        <w:t>(b)</w:t>
      </w:r>
      <w:r>
        <w:tab/>
        <w:t>is satisfied that bail may properly be granted having regard to the provisions of clauses 1 and 3.</w:t>
      </w:r>
    </w:p>
    <w:p>
      <w:pPr>
        <w:pStyle w:val="ySubsection"/>
      </w:pPr>
      <w:r>
        <w:tab/>
        <w:t>(3)</w:t>
      </w:r>
      <w:r>
        <w:tab/>
        <w:t xml:space="preserve">Despite section 7(1), where an accused is refused bail under subclause (2) for an appearance for a family violence offence, the accused’s case for bail need not be considered again under that subsection for an appearance for that offence unless the accused satisfies the judicial officer who may order detention that — </w:t>
      </w:r>
    </w:p>
    <w:p>
      <w:pPr>
        <w:pStyle w:val="yIndenta"/>
      </w:pPr>
      <w:r>
        <w:tab/>
        <w:t>(a)</w:t>
      </w:r>
      <w:r>
        <w:tab/>
        <w:t>new facts have been discovered, new circumstances have arisen or the circumstances have changed since bail was refused; or</w:t>
      </w:r>
    </w:p>
    <w:p>
      <w:pPr>
        <w:pStyle w:val="yIndenta"/>
      </w:pPr>
      <w:r>
        <w:lastRenderedPageBreak/>
        <w:tab/>
        <w:t>(b)</w:t>
      </w:r>
      <w:r>
        <w:tab/>
        <w:t>the accused failed adequately to present the case for bail on the occasion of that refusal.</w:t>
      </w:r>
    </w:p>
    <w:p>
      <w:pPr>
        <w:pStyle w:val="ySubsection"/>
      </w:pPr>
      <w:r>
        <w:tab/>
        <w:t>(4)</w:t>
      </w:r>
      <w:r>
        <w:tab/>
        <w:t xml:space="preserve">Before a judicial officer grants bail under subclause (2), the judicial officer must — </w:t>
      </w:r>
    </w:p>
    <w:p>
      <w:pPr>
        <w:pStyle w:val="yIndenta"/>
      </w:pPr>
      <w:r>
        <w:tab/>
        <w:t>(a)</w:t>
      </w:r>
      <w:r>
        <w:tab/>
        <w:t>request that a report be made under section 24A(2); and</w:t>
      </w:r>
    </w:p>
    <w:p>
      <w:pPr>
        <w:pStyle w:val="yIndenta"/>
      </w:pPr>
      <w:r>
        <w:tab/>
        <w:t>(b)</w:t>
      </w:r>
      <w:r>
        <w:tab/>
        <w:t>having regard to the recommendations in the report, consider the imposition of a home detention condition as a condition on the grant of bail that includes electronic monitoring.</w:t>
      </w:r>
    </w:p>
    <w:p>
      <w:pPr>
        <w:pStyle w:val="ySubsection"/>
      </w:pPr>
      <w:r>
        <w:tab/>
        <w:t>(5)</w:t>
      </w:r>
      <w:r>
        <w:tab/>
        <w:t>Where an accused is granted bail under subclause (2), on any subsequent appearance for bail in the same case a judicial officer may order that bail is to continue on the same terms and conditions.</w:t>
      </w:r>
    </w:p>
    <w:p>
      <w:pPr>
        <w:pStyle w:val="ySubsection"/>
      </w:pPr>
      <w:r>
        <w:tab/>
        <w:t>(6)</w:t>
      </w:r>
      <w:r>
        <w:tab/>
        <w:t xml:space="preserve">This clause does not apply if bail is being granted under the </w:t>
      </w:r>
      <w:r>
        <w:rPr>
          <w:i/>
        </w:rPr>
        <w:t xml:space="preserve">Sentencing Act 1995 </w:t>
      </w:r>
      <w:r>
        <w:t>section 33C(6) and the court has considered the imposition of an electronic monitoring requirement under section 33HA of that Act.</w:t>
      </w:r>
    </w:p>
    <w:p>
      <w:pPr>
        <w:pStyle w:val="yFootnotesection"/>
      </w:pPr>
      <w:r>
        <w:tab/>
        <w:t>[Clause 3F inserted: No. 30 of 2020 s. 47.]</w:t>
      </w:r>
    </w:p>
    <w:p>
      <w:pPr>
        <w:pStyle w:val="yHeading5"/>
        <w:spacing w:before="180"/>
      </w:pPr>
      <w:bookmarkStart w:id="153" w:name="_Toc106980755"/>
      <w:r>
        <w:rPr>
          <w:rStyle w:val="CharSClsNo"/>
        </w:rPr>
        <w:t>4</w:t>
      </w:r>
      <w:r>
        <w:t>.</w:t>
      </w:r>
      <w:r>
        <w:rPr>
          <w:b w:val="0"/>
        </w:rPr>
        <w:tab/>
      </w:r>
      <w:r>
        <w:t>Bail after conviction for accused awaiting sentence</w:t>
      </w:r>
      <w:bookmarkEnd w:id="153"/>
    </w:p>
    <w:p>
      <w:pPr>
        <w:pStyle w:val="ySubsection"/>
      </w:pPr>
      <w:r>
        <w:tab/>
        <w:t>(1)</w:t>
      </w:r>
      <w:r>
        <w:tab/>
        <w:t xml:space="preserve">Subject to </w:t>
      </w:r>
      <w:r>
        <w:rPr>
          <w:szCs w:val="22"/>
        </w:rPr>
        <w:t xml:space="preserve">clauses 3A, 3C, 3D, 3E and </w:t>
      </w:r>
      <w:r>
        <w:t>3F,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r>
        <w:tab/>
        <w:t>[Clause 4 inserted: No. 6 of 2008 s. 41(4)(f); amended: No. 21 of 2017 s. 10; No. 15 of 2019 s. 13(4); No. 30 of 2020 s. 48.]</w:t>
      </w:r>
    </w:p>
    <w:p>
      <w:pPr>
        <w:pStyle w:val="yHeading5"/>
        <w:spacing w:before="240"/>
      </w:pPr>
      <w:bookmarkStart w:id="154" w:name="_Toc106980756"/>
      <w:r>
        <w:rPr>
          <w:rStyle w:val="CharSClsNo"/>
        </w:rPr>
        <w:t>4A</w:t>
      </w:r>
      <w:r>
        <w:t>.</w:t>
      </w:r>
      <w:r>
        <w:rPr>
          <w:b w:val="0"/>
        </w:rPr>
        <w:tab/>
      </w:r>
      <w:r>
        <w:t>Bail after conviction for accused awaiting disposal of appeal</w:t>
      </w:r>
      <w:bookmarkEnd w:id="154"/>
    </w:p>
    <w:p>
      <w:pPr>
        <w:pStyle w:val="ySubsection"/>
      </w:pPr>
      <w:r>
        <w:tab/>
      </w:r>
      <w:r>
        <w:tab/>
        <w:t xml:space="preserve">In deciding whether or not to grant bail to an accused who is in custody waiting for the disposal of appeal proceedings, the judicial </w:t>
      </w:r>
      <w:r>
        <w:lastRenderedPageBreak/>
        <w:t xml:space="preserve">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No. 6 of 2008 s. 41(4)(f).]</w:t>
      </w:r>
    </w:p>
    <w:p>
      <w:pPr>
        <w:pStyle w:val="yHeading5"/>
        <w:spacing w:before="240"/>
        <w:rPr>
          <w:snapToGrid w:val="0"/>
        </w:rPr>
      </w:pPr>
      <w:bookmarkStart w:id="155" w:name="_Toc106980757"/>
      <w:r>
        <w:rPr>
          <w:rStyle w:val="CharSClsNo"/>
        </w:rPr>
        <w:t>5</w:t>
      </w:r>
      <w:r>
        <w:rPr>
          <w:snapToGrid w:val="0"/>
        </w:rPr>
        <w:t>.</w:t>
      </w:r>
      <w:r>
        <w:rPr>
          <w:snapToGrid w:val="0"/>
        </w:rPr>
        <w:tab/>
        <w:t xml:space="preserve">Exception to cl. 4A for bail in appeal under </w:t>
      </w:r>
      <w:r>
        <w:rPr>
          <w:i/>
        </w:rPr>
        <w:t>Criminal Appeals Act 2004</w:t>
      </w:r>
      <w:r>
        <w:t xml:space="preserve"> Part 2</w:t>
      </w:r>
      <w:bookmarkEnd w:id="155"/>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No. 33 of 1989 s. 18; amended: No. 59 of 2004 s. 141; No. 84 of 2004 s. 11; No. 6 of 2008 s. 41(4)(g).]</w:t>
      </w:r>
    </w:p>
    <w:p>
      <w:pPr>
        <w:pStyle w:val="yHeading5"/>
        <w:keepNext w:val="0"/>
        <w:keepLines w:val="0"/>
        <w:spacing w:before="240"/>
        <w:rPr>
          <w:snapToGrid w:val="0"/>
        </w:rPr>
      </w:pPr>
      <w:bookmarkStart w:id="156" w:name="_Toc106980758"/>
      <w:r>
        <w:rPr>
          <w:rStyle w:val="CharSClsNo"/>
        </w:rPr>
        <w:t>6</w:t>
      </w:r>
      <w:r>
        <w:rPr>
          <w:snapToGrid w:val="0"/>
        </w:rPr>
        <w:t>.</w:t>
      </w:r>
      <w:r>
        <w:rPr>
          <w:snapToGrid w:val="0"/>
        </w:rPr>
        <w:tab/>
        <w:t>Bail of people on community or similar orders</w:t>
      </w:r>
      <w:bookmarkEnd w:id="156"/>
      <w:r>
        <w:rPr>
          <w:snapToGrid w:val="0"/>
        </w:rPr>
        <w:t xml:space="preserve"> </w:t>
      </w:r>
    </w:p>
    <w:p>
      <w:pPr>
        <w:pStyle w:val="ySubsection"/>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keepLines w:val="0"/>
      </w:pPr>
      <w:r>
        <w:tab/>
        <w:t>[Clause 6 inserted: No. 78 of 1995 s. 8; amended: No. 27 of 2004 s. 13(3).]</w:t>
      </w:r>
    </w:p>
    <w:p>
      <w:pPr>
        <w:pStyle w:val="yFootnoteheading"/>
        <w:rPr>
          <w:snapToGrid w:val="0"/>
          <w:sz w:val="24"/>
        </w:rPr>
      </w:pPr>
      <w:r>
        <w:tab/>
        <w:t>[Heading deleted: No. 6 of 2008 s. 41(4)(h).]</w:t>
      </w:r>
    </w:p>
    <w:p>
      <w:pPr>
        <w:pStyle w:val="yHeading5"/>
        <w:spacing w:before="180"/>
        <w:rPr>
          <w:snapToGrid w:val="0"/>
        </w:rPr>
      </w:pPr>
      <w:bookmarkStart w:id="157" w:name="_Toc106980759"/>
      <w:r>
        <w:rPr>
          <w:rStyle w:val="CharSClsNo"/>
        </w:rPr>
        <w:lastRenderedPageBreak/>
        <w:t>7</w:t>
      </w:r>
      <w:r>
        <w:rPr>
          <w:snapToGrid w:val="0"/>
        </w:rPr>
        <w:t>.</w:t>
      </w:r>
      <w:r>
        <w:rPr>
          <w:snapToGrid w:val="0"/>
        </w:rPr>
        <w:tab/>
        <w:t>Bail for initial appearance to be for not more than 30 days</w:t>
      </w:r>
      <w:bookmarkEnd w:id="157"/>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No. 84 of 2004 s. 82; No. 6 of 2008 s. 41(4)(i).]</w:t>
      </w:r>
    </w:p>
    <w:p>
      <w:pPr>
        <w:pStyle w:val="yHeading5"/>
        <w:spacing w:before="180"/>
        <w:rPr>
          <w:snapToGrid w:val="0"/>
        </w:rPr>
      </w:pPr>
      <w:bookmarkStart w:id="158" w:name="_Toc106980760"/>
      <w:r>
        <w:rPr>
          <w:rStyle w:val="CharSClsNo"/>
        </w:rPr>
        <w:t>8</w:t>
      </w:r>
      <w:r>
        <w:rPr>
          <w:snapToGrid w:val="0"/>
        </w:rPr>
        <w:t>.</w:t>
      </w:r>
      <w:r>
        <w:rPr>
          <w:snapToGrid w:val="0"/>
        </w:rPr>
        <w:tab/>
        <w:t>Bail on adjournment in court of summary jurisdiction to be for not more than 30 days except by consent</w:t>
      </w:r>
      <w:bookmarkEnd w:id="158"/>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No. 49 of 1988 s. 90(c); No. 59 of 2004 s. 141; No. 84 of 2004 s. 82.]</w:t>
      </w:r>
    </w:p>
    <w:p>
      <w:pPr>
        <w:pStyle w:val="yHeading5"/>
        <w:spacing w:before="180"/>
        <w:rPr>
          <w:snapToGrid w:val="0"/>
        </w:rPr>
      </w:pPr>
      <w:bookmarkStart w:id="159" w:name="_Toc106980761"/>
      <w:r>
        <w:rPr>
          <w:rStyle w:val="CharSClsNo"/>
        </w:rPr>
        <w:t>9</w:t>
      </w:r>
      <w:r>
        <w:rPr>
          <w:snapToGrid w:val="0"/>
        </w:rPr>
        <w:t>.</w:t>
      </w:r>
      <w:r>
        <w:rPr>
          <w:snapToGrid w:val="0"/>
        </w:rPr>
        <w:tab/>
        <w:t>Calculating periods for cl. 7 and 8</w:t>
      </w:r>
      <w:bookmarkEnd w:id="159"/>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keepNext w:val="0"/>
        <w:outlineLvl w:val="0"/>
      </w:pPr>
      <w:bookmarkStart w:id="160" w:name="_Toc106978793"/>
      <w:bookmarkStart w:id="161" w:name="_Toc106980762"/>
      <w:r>
        <w:rPr>
          <w:rStyle w:val="CharSDivNo"/>
        </w:rPr>
        <w:t>Part D</w:t>
      </w:r>
      <w:r>
        <w:t> — </w:t>
      </w:r>
      <w:r>
        <w:rPr>
          <w:rStyle w:val="CharSDivText"/>
        </w:rPr>
        <w:t>Conditions which may be imposed on a grant of bail</w:t>
      </w:r>
      <w:bookmarkEnd w:id="160"/>
      <w:bookmarkEnd w:id="161"/>
    </w:p>
    <w:p>
      <w:pPr>
        <w:pStyle w:val="yHeading5"/>
        <w:keepNext w:val="0"/>
        <w:keepLines w:val="0"/>
        <w:spacing w:before="240"/>
        <w:outlineLvl w:val="0"/>
        <w:rPr>
          <w:snapToGrid w:val="0"/>
        </w:rPr>
      </w:pPr>
      <w:bookmarkStart w:id="162" w:name="_Toc106980763"/>
      <w:r>
        <w:rPr>
          <w:rStyle w:val="CharSClsNo"/>
        </w:rPr>
        <w:t>1</w:t>
      </w:r>
      <w:r>
        <w:rPr>
          <w:snapToGrid w:val="0"/>
        </w:rPr>
        <w:t>.</w:t>
      </w:r>
      <w:r>
        <w:rPr>
          <w:snapToGrid w:val="0"/>
        </w:rPr>
        <w:tab/>
        <w:t>Conditions as to forfeiture, sureties, security etc.</w:t>
      </w:r>
      <w:bookmarkEnd w:id="162"/>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lastRenderedPageBreak/>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lastRenderedPageBreak/>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No. 65 of 2003 s. 121(3); No. 84 of 2004 s. 82; No. 6 of 2008 s. 18(3).]</w:t>
      </w:r>
    </w:p>
    <w:p>
      <w:pPr>
        <w:pStyle w:val="yHeading5"/>
        <w:spacing w:before="240"/>
        <w:outlineLvl w:val="0"/>
        <w:rPr>
          <w:snapToGrid w:val="0"/>
        </w:rPr>
      </w:pPr>
      <w:bookmarkStart w:id="163" w:name="_Toc106980764"/>
      <w:r>
        <w:rPr>
          <w:rStyle w:val="CharSClsNo"/>
        </w:rPr>
        <w:t>2</w:t>
      </w:r>
      <w:r>
        <w:rPr>
          <w:snapToGrid w:val="0"/>
        </w:rPr>
        <w:t>.</w:t>
      </w:r>
      <w:r>
        <w:rPr>
          <w:snapToGrid w:val="0"/>
        </w:rPr>
        <w:tab/>
        <w:t>Other conditions</w:t>
      </w:r>
      <w:bookmarkEnd w:id="163"/>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lastRenderedPageBreak/>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 </w:t>
      </w:r>
    </w:p>
    <w:p>
      <w:pPr>
        <w:pStyle w:val="yIndenta"/>
      </w:pPr>
      <w:r>
        <w:tab/>
        <w:t>(a)</w:t>
      </w:r>
      <w:r>
        <w:tab/>
        <w:t xml:space="preserve">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 or</w:t>
      </w:r>
    </w:p>
    <w:p>
      <w:pPr>
        <w:pStyle w:val="yIndenta"/>
      </w:pPr>
      <w:r>
        <w:tab/>
        <w:t>(b)</w:t>
      </w:r>
      <w:r>
        <w:tab/>
        <w:t>by a combination of conditions for those purposes and a restraining order as envisaged by paragraph (a).</w:t>
      </w:r>
    </w:p>
    <w:p>
      <w:pPr>
        <w:pStyle w:val="ySubsection"/>
      </w:pPr>
      <w:r>
        <w:tab/>
        <w:t>(2AB)</w:t>
      </w:r>
      <w:r>
        <w:tab/>
        <w:t xml:space="preserve">Where the accused and an alleged victim are in a family relationship, the judicial officer or authorised officer must ensure that any condition imposed under subclause (2)(c) or (d) is not inconsistent with any restraining order in place under the </w:t>
      </w:r>
      <w:r>
        <w:rPr>
          <w:i/>
        </w:rPr>
        <w:t>Restraining Orders Act 1997</w:t>
      </w:r>
      <w:r>
        <w:t>.</w:t>
      </w:r>
    </w:p>
    <w:p>
      <w:pPr>
        <w:pStyle w:val="ySubsection"/>
      </w:pPr>
      <w:r>
        <w:tab/>
        <w:t>(2AC)</w:t>
      </w:r>
      <w:r>
        <w:tab/>
        <w:t xml:space="preserve">Subclause (2AB) does not apply if the judicial officer or authorised officer considers that an inconsistency is necessary to protect the safety of an alleged victim or of a child who is also protected by an order under the </w:t>
      </w:r>
      <w:r>
        <w:rPr>
          <w:i/>
        </w:rPr>
        <w:t>Restraining Orders Act 1997</w:t>
      </w:r>
      <w:r>
        <w: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lastRenderedPageBreak/>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w:t>
      </w:r>
      <w:r>
        <w:rPr>
          <w:szCs w:val="22"/>
        </w:rPr>
        <w:t>assessed or</w:t>
      </w:r>
      <w:r>
        <w:rPr>
          <w:snapToGrid w:val="0"/>
        </w:rPr>
        <w:t xml:space="preserve"> examined the officer may, under subclause (1), impose any condition which the officer considers desirable for the purpose of ensuring that the</w:t>
      </w:r>
      <w:r>
        <w:t xml:space="preserve"> accused’s</w:t>
      </w:r>
      <w:r>
        <w:rPr>
          <w:snapToGrid w:val="0"/>
        </w:rPr>
        <w:t xml:space="preserve"> mental condition is </w:t>
      </w:r>
      <w:r>
        <w:rPr>
          <w:szCs w:val="22"/>
        </w:rPr>
        <w:t>assessed or</w:t>
      </w:r>
      <w:r>
        <w:rPr>
          <w:snapToGrid w:val="0"/>
        </w:rPr>
        <w:t xml:space="preserve"> examined including a condition — </w:t>
      </w:r>
    </w:p>
    <w:p>
      <w:pPr>
        <w:pStyle w:val="Indenta"/>
      </w:pPr>
      <w:r>
        <w:tab/>
      </w:r>
      <w:r>
        <w:rPr>
          <w:sz w:val="22"/>
          <w:szCs w:val="22"/>
        </w:rPr>
        <w:t>(a)</w:t>
      </w:r>
      <w:r>
        <w:rPr>
          <w:sz w:val="22"/>
          <w:szCs w:val="22"/>
        </w:rPr>
        <w:tab/>
        <w:t xml:space="preserve">that </w:t>
      </w:r>
      <w:r>
        <w:rPr>
          <w:snapToGrid w:val="0"/>
          <w:sz w:val="22"/>
          <w:szCs w:val="22"/>
        </w:rPr>
        <w:t>the</w:t>
      </w:r>
      <w:r>
        <w:rPr>
          <w:sz w:val="22"/>
          <w:szCs w:val="22"/>
        </w:rPr>
        <w:t xml:space="preserve"> accused</w:t>
      </w:r>
      <w:r>
        <w:rPr>
          <w:snapToGrid w:val="0"/>
          <w:sz w:val="22"/>
          <w:szCs w:val="22"/>
        </w:rPr>
        <w:t xml:space="preserve"> </w:t>
      </w:r>
      <w:r>
        <w:rPr>
          <w:sz w:val="22"/>
          <w:szCs w:val="22"/>
        </w:rPr>
        <w:t xml:space="preserve">be assessed, either by a medical practitioner or by an authorised mental health practitioner as defined in the </w:t>
      </w:r>
      <w:r>
        <w:rPr>
          <w:i/>
          <w:sz w:val="22"/>
          <w:szCs w:val="22"/>
        </w:rPr>
        <w:t>Mental Health Act 2014</w:t>
      </w:r>
      <w:r>
        <w:rPr>
          <w:sz w:val="22"/>
          <w:szCs w:val="22"/>
        </w:rPr>
        <w:t xml:space="preserve"> section 4, for the purpose of deciding whether to make a referral under section 26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szCs w:val="22"/>
        </w:rPr>
        <w:t>Mental Health Act 2014</w:t>
      </w:r>
      <w:r>
        <w:rPr>
          <w:szCs w:val="22"/>
        </w:rPr>
        <w:t xml:space="preserve"> section 4)</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spacing w:before="120"/>
      </w:pPr>
      <w:r>
        <w:tab/>
        <w:t>(5)</w:t>
      </w:r>
      <w:r>
        <w:tab/>
        <w:t xml:space="preserve">Where a judicial officer imposes a condition for a purpose mentioned in subclause (2b), (3), (3a) or (4), the judicial officer shall cause to be sent to the person who is to </w:t>
      </w:r>
      <w:r>
        <w:rPr>
          <w:szCs w:val="22"/>
        </w:rPr>
        <w:t>counsel, assess or examine</w:t>
      </w:r>
      <w:r>
        <w:t xml:space="preserv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spacing w:before="120"/>
        <w:rPr>
          <w:snapToGrid w:val="0"/>
        </w:rPr>
      </w:pPr>
      <w:r>
        <w:rPr>
          <w:snapToGrid w:val="0"/>
        </w:rPr>
        <w:tab/>
        <w:t>(6)</w:t>
      </w:r>
      <w:r>
        <w:rPr>
          <w:snapToGrid w:val="0"/>
        </w:rPr>
        <w:tab/>
        <w:t xml:space="preserve">Where a condition is imposed under this clause that an accused shall reside in premises established for the accommodation of persons to </w:t>
      </w:r>
      <w:r>
        <w:rPr>
          <w:snapToGrid w:val="0"/>
        </w:rPr>
        <w:lastRenderedPageBreak/>
        <w:t>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keepNext/>
        <w:spacing w:before="120"/>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Defstart"/>
      </w:pPr>
      <w:r>
        <w:tab/>
      </w:r>
      <w:r>
        <w:rPr>
          <w:rStyle w:val="CharDefText"/>
          <w:sz w:val="22"/>
          <w:szCs w:val="22"/>
        </w:rPr>
        <w:t>psychiatrist</w:t>
      </w:r>
      <w:r>
        <w:rPr>
          <w:sz w:val="22"/>
          <w:szCs w:val="22"/>
        </w:rPr>
        <w:t xml:space="preserve"> has the meaning given in the </w:t>
      </w:r>
      <w:r>
        <w:rPr>
          <w:i/>
          <w:sz w:val="22"/>
          <w:szCs w:val="22"/>
        </w:rPr>
        <w:t>Mental Health Act 2014</w:t>
      </w:r>
      <w:r>
        <w:rPr>
          <w:sz w:val="22"/>
          <w:szCs w:val="22"/>
        </w:rPr>
        <w:t xml:space="preserve"> section 4.</w:t>
      </w:r>
    </w:p>
    <w:p>
      <w:pPr>
        <w:pStyle w:val="yFootnotesection"/>
      </w:pPr>
      <w:r>
        <w:tab/>
        <w:t>[Clause 2 amended: No. 45 of 1993 s. 10(3); No. 69 of 1996 s. 3; No. 54 of 1998 s. 12; No. 84 of 2004 s. 82; No. 22 of 2008 Sch. 3 cl. 4; No. 35 of 2010 s. 29; No. 25 of 2014 s. 35; No. 30 of 2020 s. 49.]</w:t>
      </w:r>
    </w:p>
    <w:p>
      <w:pPr>
        <w:pStyle w:val="yFootnotesection"/>
      </w:pPr>
      <w:r>
        <w:tab/>
        <w:t>[Clause 2. Modifications to be applied in order to give effect to Cross-border Justice Act 2008: clause altered 1 Nov 2009. See endnote 1M.]</w:t>
      </w:r>
    </w:p>
    <w:p>
      <w:pPr>
        <w:pStyle w:val="yHeading5"/>
        <w:outlineLvl w:val="0"/>
        <w:rPr>
          <w:snapToGrid w:val="0"/>
        </w:rPr>
      </w:pPr>
      <w:bookmarkStart w:id="164" w:name="_Toc106980765"/>
      <w:r>
        <w:rPr>
          <w:rStyle w:val="CharSClsNo"/>
        </w:rPr>
        <w:t>3</w:t>
      </w:r>
      <w:r>
        <w:rPr>
          <w:snapToGrid w:val="0"/>
        </w:rPr>
        <w:t>.</w:t>
      </w:r>
      <w:r>
        <w:rPr>
          <w:snapToGrid w:val="0"/>
        </w:rPr>
        <w:tab/>
        <w:t>Home detention condition</w:t>
      </w:r>
      <w:bookmarkEnd w:id="164"/>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lastRenderedPageBreak/>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pPr>
      <w:r>
        <w:tab/>
        <w:t>(ca)</w:t>
      </w:r>
      <w:r>
        <w:tab/>
        <w:t>if relevant, comply with any direction under subclause (4);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Subsection"/>
      </w:pPr>
      <w:r>
        <w:lastRenderedPageBreak/>
        <w:tab/>
        <w:t>(4)</w:t>
      </w:r>
      <w:r>
        <w:tab/>
        <w:t xml:space="preserve">A judicial officer who imposes a home detention condition under this clause may, if a community corrections officer under section 24A(4)(a) recommends that the accused is suitable for electronic monitoring, direct that the accused, while subject to a home detention condition — </w:t>
      </w:r>
    </w:p>
    <w:p>
      <w:pPr>
        <w:pStyle w:val="yIndenta"/>
      </w:pPr>
      <w:r>
        <w:tab/>
        <w:t>(a)</w:t>
      </w:r>
      <w:r>
        <w:tab/>
        <w:t>be subject to electronic monitoring under subclause (5) so as to allow the location of the accused to be monitored; and</w:t>
      </w:r>
    </w:p>
    <w:p>
      <w:pPr>
        <w:pStyle w:val="yIndenta"/>
      </w:pPr>
      <w:r>
        <w:tab/>
        <w:t>(b)</w:t>
      </w:r>
      <w:r>
        <w:tab/>
        <w:t>be under the supervision of a community corrections officer and comply with the directions of the community corrections officer under subclause (5).</w:t>
      </w:r>
    </w:p>
    <w:p>
      <w:pPr>
        <w:pStyle w:val="ySubsection"/>
      </w:pPr>
      <w:r>
        <w:tab/>
        <w:t>(5)</w:t>
      </w:r>
      <w:r>
        <w:tab/>
        <w:t>For the purpose of the electronic monitoring of an accused, a community corrections officer may do any or all of the following — </w:t>
      </w:r>
    </w:p>
    <w:p>
      <w:pPr>
        <w:pStyle w:val="yIndenta"/>
      </w:pPr>
      <w:r>
        <w:tab/>
        <w:t>(a)</w:t>
      </w:r>
      <w:r>
        <w:tab/>
        <w:t>direct the accused to wear an approved electronic monitoring device; and</w:t>
      </w:r>
    </w:p>
    <w:p>
      <w:pPr>
        <w:pStyle w:val="yIndenta"/>
      </w:pPr>
      <w:r>
        <w:tab/>
        <w:t>(b)</w:t>
      </w:r>
      <w:r>
        <w:tab/>
        <w:t>direct the accused to permit the installation of an approved electronic monitoring device at the place where the accused is to remain; and</w:t>
      </w:r>
    </w:p>
    <w:p>
      <w:pPr>
        <w:pStyle w:val="yIndenta"/>
      </w:pPr>
      <w:r>
        <w:tab/>
        <w:t>(c)</w:t>
      </w:r>
      <w:r>
        <w:tab/>
        <w:t>give any other reasonable direction to the accused necessary for the proper administration of the electronic monitoring of the accused.</w:t>
      </w:r>
    </w:p>
    <w:p>
      <w:pPr>
        <w:pStyle w:val="ySubsection"/>
      </w:pPr>
      <w:r>
        <w:tab/>
        <w:t>(6)</w:t>
      </w:r>
      <w:r>
        <w:tab/>
        <w:t>A community corrections officer may suspend the electronic monitoring of an accused subject to direction under subclause (4) — </w:t>
      </w:r>
    </w:p>
    <w:p>
      <w:pPr>
        <w:pStyle w:val="yIndenta"/>
      </w:pPr>
      <w:r>
        <w:tab/>
        <w:t>(a)</w:t>
      </w:r>
      <w:r>
        <w:tab/>
        <w:t>while satisfied that it is not practicable to subject the accused to electronic monitoring; or</w:t>
      </w:r>
    </w:p>
    <w:p>
      <w:pPr>
        <w:pStyle w:val="yIndenta"/>
      </w:pPr>
      <w:r>
        <w:tab/>
        <w:t>(b)</w:t>
      </w:r>
      <w:r>
        <w:tab/>
        <w:t>while satisfied that it is not necessary for the accused to be subject to electronic monitoring.</w:t>
      </w:r>
    </w:p>
    <w:p>
      <w:pPr>
        <w:pStyle w:val="ySubsection"/>
      </w:pPr>
      <w:r>
        <w:tab/>
        <w:t>(7)</w:t>
      </w:r>
      <w:r>
        <w:tab/>
        <w:t>A requirement that an accused subject to a home detention condition while on bail wear an electronic monitoring device cannot apply to a person who is under 18 years of age.</w:t>
      </w:r>
    </w:p>
    <w:p>
      <w:pPr>
        <w:pStyle w:val="yFootnotesection"/>
      </w:pPr>
      <w:r>
        <w:tab/>
        <w:t>[Clause 3 inserted: No. 61 of 1990 s. 15; amended: No. 31 of 1993 s. 9; No. 84 of 2004 s. 82; No. 65 of 2006 s. 53; No. 13 of 2020 s. 28.]</w:t>
      </w:r>
    </w:p>
    <w:p>
      <w:pPr>
        <w:pStyle w:val="yFootnotesection"/>
      </w:pPr>
      <w:r>
        <w:tab/>
        <w:t>[Clause 3. Modifications to be applied in order to give effect to Cross-border Justice Act 2008: clause altered 1 Nov 2009. See endnote 1M.]</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outlineLvl w:val="0"/>
      </w:pPr>
      <w:bookmarkStart w:id="166" w:name="_Toc106978797"/>
      <w:bookmarkStart w:id="167" w:name="_Toc106980766"/>
      <w:r>
        <w:rPr>
          <w:rStyle w:val="CharSchNo"/>
        </w:rPr>
        <w:lastRenderedPageBreak/>
        <w:t>Schedule 2</w:t>
      </w:r>
      <w:r>
        <w:t> — </w:t>
      </w:r>
      <w:r>
        <w:rPr>
          <w:rStyle w:val="CharSchText"/>
        </w:rPr>
        <w:t>Serious offences</w:t>
      </w:r>
      <w:bookmarkEnd w:id="166"/>
      <w:bookmarkEnd w:id="167"/>
    </w:p>
    <w:p>
      <w:pPr>
        <w:pStyle w:val="yShoulderClause"/>
      </w:pPr>
      <w:r>
        <w:t>[s. 3(1)]</w:t>
      </w:r>
    </w:p>
    <w:p>
      <w:pPr>
        <w:pStyle w:val="yFootnoteheading"/>
        <w:spacing w:after="120"/>
      </w:pPr>
      <w:r>
        <w:tab/>
        <w:t>[Heading inserted: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trPr>
        <w:tc>
          <w:tcPr>
            <w:tcW w:w="720" w:type="dxa"/>
          </w:tcPr>
          <w:p>
            <w:pPr>
              <w:pStyle w:val="yTableNAm"/>
            </w:pPr>
          </w:p>
        </w:tc>
        <w:tc>
          <w:tcPr>
            <w:tcW w:w="3000" w:type="dxa"/>
          </w:tcPr>
          <w:p>
            <w:pPr>
              <w:pStyle w:val="yTableNAm"/>
            </w:pPr>
            <w:r>
              <w:t>s. 221E(1)</w:t>
            </w:r>
          </w:p>
        </w:tc>
        <w:tc>
          <w:tcPr>
            <w:tcW w:w="3360" w:type="dxa"/>
          </w:tcPr>
          <w:p>
            <w:pPr>
              <w:pStyle w:val="yTableNAm"/>
              <w:rPr>
                <w:spacing w:val="-2"/>
              </w:rPr>
            </w:pPr>
            <w:r>
              <w:t>Participating in activities of criminal organisation</w:t>
            </w:r>
          </w:p>
        </w:tc>
      </w:tr>
      <w:tr>
        <w:trPr>
          <w:cantSplit/>
        </w:trPr>
        <w:tc>
          <w:tcPr>
            <w:tcW w:w="720" w:type="dxa"/>
          </w:tcPr>
          <w:p>
            <w:pPr>
              <w:pStyle w:val="yTableNAm"/>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298</w:t>
            </w:r>
          </w:p>
        </w:tc>
        <w:tc>
          <w:tcPr>
            <w:tcW w:w="3360" w:type="dxa"/>
          </w:tcPr>
          <w:p>
            <w:pPr>
              <w:pStyle w:val="yTableNAm"/>
            </w:pPr>
            <w:r>
              <w:t>Suffocation and strangulation</w:t>
            </w:r>
          </w:p>
        </w:tc>
      </w:tr>
      <w:tr>
        <w:trPr>
          <w:cantSplit/>
        </w:trPr>
        <w:tc>
          <w:tcPr>
            <w:tcW w:w="720" w:type="dxa"/>
          </w:tcPr>
          <w:p>
            <w:pPr>
              <w:pStyle w:val="yTableNAm"/>
            </w:pPr>
          </w:p>
        </w:tc>
        <w:tc>
          <w:tcPr>
            <w:tcW w:w="3000" w:type="dxa"/>
          </w:tcPr>
          <w:p>
            <w:pPr>
              <w:pStyle w:val="yTableNAm"/>
            </w:pPr>
            <w:r>
              <w:t>s. 300</w:t>
            </w:r>
          </w:p>
        </w:tc>
        <w:tc>
          <w:tcPr>
            <w:tcW w:w="3360" w:type="dxa"/>
          </w:tcPr>
          <w:p>
            <w:pPr>
              <w:pStyle w:val="yTableNAm"/>
            </w:pPr>
            <w:r>
              <w:t>Persistent family violence</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spacing w:before="100"/>
            </w:pPr>
          </w:p>
        </w:tc>
        <w:tc>
          <w:tcPr>
            <w:tcW w:w="3000" w:type="dxa"/>
          </w:tcPr>
          <w:p>
            <w:pPr>
              <w:pStyle w:val="yTableNAm"/>
              <w:spacing w:before="100"/>
            </w:pPr>
            <w:r>
              <w:t>s. 324</w:t>
            </w:r>
          </w:p>
        </w:tc>
        <w:tc>
          <w:tcPr>
            <w:tcW w:w="3360" w:type="dxa"/>
          </w:tcPr>
          <w:p>
            <w:pPr>
              <w:pStyle w:val="yTableNAm"/>
              <w:spacing w:before="100"/>
              <w:rPr>
                <w:spacing w:val="-2"/>
              </w:rPr>
            </w:pPr>
            <w:r>
              <w:t>Aggravated indecent assault</w:t>
            </w:r>
          </w:p>
        </w:tc>
      </w:tr>
      <w:tr>
        <w:trPr>
          <w:cantSplit/>
        </w:trPr>
        <w:tc>
          <w:tcPr>
            <w:tcW w:w="720" w:type="dxa"/>
          </w:tcPr>
          <w:p>
            <w:pPr>
              <w:pStyle w:val="yTableNAm"/>
              <w:spacing w:before="100"/>
            </w:pPr>
          </w:p>
        </w:tc>
        <w:tc>
          <w:tcPr>
            <w:tcW w:w="3000" w:type="dxa"/>
          </w:tcPr>
          <w:p>
            <w:pPr>
              <w:pStyle w:val="yTableNAm"/>
              <w:spacing w:before="100"/>
            </w:pPr>
            <w:r>
              <w:t>s. 325</w:t>
            </w:r>
          </w:p>
        </w:tc>
        <w:tc>
          <w:tcPr>
            <w:tcW w:w="3360" w:type="dxa"/>
          </w:tcPr>
          <w:p>
            <w:pPr>
              <w:pStyle w:val="yTableNAm"/>
              <w:spacing w:before="100"/>
              <w:rPr>
                <w:spacing w:val="-2"/>
              </w:rPr>
            </w:pPr>
            <w:r>
              <w:t>Sexual penetration without consent</w:t>
            </w:r>
          </w:p>
        </w:tc>
      </w:tr>
      <w:tr>
        <w:trPr>
          <w:cantSplit/>
        </w:trPr>
        <w:tc>
          <w:tcPr>
            <w:tcW w:w="720" w:type="dxa"/>
          </w:tcPr>
          <w:p>
            <w:pPr>
              <w:pStyle w:val="yTableNAm"/>
              <w:spacing w:before="100"/>
            </w:pPr>
          </w:p>
        </w:tc>
        <w:tc>
          <w:tcPr>
            <w:tcW w:w="3000" w:type="dxa"/>
          </w:tcPr>
          <w:p>
            <w:pPr>
              <w:pStyle w:val="yTableNAm"/>
              <w:keepNext/>
              <w:spacing w:before="100"/>
            </w:pPr>
            <w:r>
              <w:t>s. 326</w:t>
            </w:r>
          </w:p>
        </w:tc>
        <w:tc>
          <w:tcPr>
            <w:tcW w:w="3360" w:type="dxa"/>
          </w:tcPr>
          <w:p>
            <w:pPr>
              <w:pStyle w:val="yTableNAm"/>
              <w:keepNext/>
              <w:spacing w:before="100"/>
              <w:rPr>
                <w:spacing w:val="-2"/>
              </w:rPr>
            </w:pPr>
            <w:r>
              <w:t>Aggravated sexual penetration without consent</w:t>
            </w:r>
          </w:p>
        </w:tc>
      </w:tr>
      <w:tr>
        <w:trPr>
          <w:cantSplit/>
        </w:trPr>
        <w:tc>
          <w:tcPr>
            <w:tcW w:w="720" w:type="dxa"/>
          </w:tcPr>
          <w:p>
            <w:pPr>
              <w:pStyle w:val="yTableNAm"/>
              <w:spacing w:before="100"/>
            </w:pPr>
          </w:p>
        </w:tc>
        <w:tc>
          <w:tcPr>
            <w:tcW w:w="3000" w:type="dxa"/>
          </w:tcPr>
          <w:p>
            <w:pPr>
              <w:pStyle w:val="yTableNAm"/>
              <w:spacing w:before="100"/>
            </w:pPr>
            <w:r>
              <w:t>s. 331B</w:t>
            </w:r>
          </w:p>
        </w:tc>
        <w:tc>
          <w:tcPr>
            <w:tcW w:w="3360" w:type="dxa"/>
          </w:tcPr>
          <w:p>
            <w:pPr>
              <w:pStyle w:val="yTableNAm"/>
              <w:spacing w:before="100"/>
            </w:pPr>
            <w:r>
              <w:t>Sexual servitude</w:t>
            </w:r>
          </w:p>
        </w:tc>
      </w:tr>
      <w:tr>
        <w:trPr>
          <w:cantSplit/>
        </w:trPr>
        <w:tc>
          <w:tcPr>
            <w:tcW w:w="720" w:type="dxa"/>
          </w:tcPr>
          <w:p>
            <w:pPr>
              <w:pStyle w:val="yTableNAm"/>
              <w:spacing w:before="100"/>
            </w:pPr>
          </w:p>
        </w:tc>
        <w:tc>
          <w:tcPr>
            <w:tcW w:w="3000" w:type="dxa"/>
          </w:tcPr>
          <w:p>
            <w:pPr>
              <w:pStyle w:val="yTableNAm"/>
              <w:spacing w:before="100"/>
            </w:pPr>
            <w:r>
              <w:t>s. 331C</w:t>
            </w:r>
          </w:p>
        </w:tc>
        <w:tc>
          <w:tcPr>
            <w:tcW w:w="3360" w:type="dxa"/>
          </w:tcPr>
          <w:p>
            <w:pPr>
              <w:pStyle w:val="yTableNAm"/>
              <w:spacing w:before="100"/>
            </w:pPr>
            <w:r>
              <w:t>Conducting business involving sexual servitude</w:t>
            </w:r>
          </w:p>
        </w:tc>
      </w:tr>
      <w:tr>
        <w:trPr>
          <w:cantSplit/>
        </w:trPr>
        <w:tc>
          <w:tcPr>
            <w:tcW w:w="720" w:type="dxa"/>
          </w:tcPr>
          <w:p>
            <w:pPr>
              <w:pStyle w:val="yTableNAm"/>
              <w:spacing w:before="100"/>
            </w:pPr>
          </w:p>
        </w:tc>
        <w:tc>
          <w:tcPr>
            <w:tcW w:w="3000" w:type="dxa"/>
          </w:tcPr>
          <w:p>
            <w:pPr>
              <w:pStyle w:val="yTableNAm"/>
              <w:spacing w:before="100"/>
            </w:pPr>
            <w:r>
              <w:t>s. 331D</w:t>
            </w:r>
          </w:p>
        </w:tc>
        <w:tc>
          <w:tcPr>
            <w:tcW w:w="3360" w:type="dxa"/>
          </w:tcPr>
          <w:p>
            <w:pPr>
              <w:pStyle w:val="yTableNAm"/>
              <w:spacing w:before="100"/>
            </w:pPr>
            <w:r>
              <w:t>Deceptive recruiting for commercial sexual services</w:t>
            </w:r>
          </w:p>
        </w:tc>
      </w:tr>
      <w:tr>
        <w:trPr>
          <w:cantSplit/>
        </w:trPr>
        <w:tc>
          <w:tcPr>
            <w:tcW w:w="720" w:type="dxa"/>
          </w:tcPr>
          <w:p>
            <w:pPr>
              <w:pStyle w:val="yTableNAm"/>
              <w:spacing w:before="100"/>
            </w:pPr>
          </w:p>
        </w:tc>
        <w:tc>
          <w:tcPr>
            <w:tcW w:w="3000" w:type="dxa"/>
          </w:tcPr>
          <w:p>
            <w:pPr>
              <w:pStyle w:val="yTableNAm"/>
              <w:spacing w:before="100"/>
            </w:pPr>
            <w:r>
              <w:t>s. 332</w:t>
            </w:r>
          </w:p>
        </w:tc>
        <w:tc>
          <w:tcPr>
            <w:tcW w:w="3360" w:type="dxa"/>
          </w:tcPr>
          <w:p>
            <w:pPr>
              <w:pStyle w:val="yTableNAm"/>
              <w:spacing w:before="100"/>
              <w:rPr>
                <w:spacing w:val="-2"/>
              </w:rPr>
            </w:pPr>
            <w:r>
              <w:t>Kidnapping</w:t>
            </w:r>
          </w:p>
        </w:tc>
      </w:tr>
      <w:tr>
        <w:trPr>
          <w:cantSplit/>
        </w:trPr>
        <w:tc>
          <w:tcPr>
            <w:tcW w:w="720" w:type="dxa"/>
          </w:tcPr>
          <w:p>
            <w:pPr>
              <w:pStyle w:val="yTableNAm"/>
              <w:spacing w:before="100"/>
            </w:pPr>
          </w:p>
        </w:tc>
        <w:tc>
          <w:tcPr>
            <w:tcW w:w="3000" w:type="dxa"/>
          </w:tcPr>
          <w:p>
            <w:pPr>
              <w:pStyle w:val="yTableNAm"/>
              <w:spacing w:before="100"/>
            </w:pPr>
            <w:r>
              <w:t>s. 333</w:t>
            </w:r>
          </w:p>
        </w:tc>
        <w:tc>
          <w:tcPr>
            <w:tcW w:w="3360" w:type="dxa"/>
          </w:tcPr>
          <w:p>
            <w:pPr>
              <w:pStyle w:val="yTableNAm"/>
              <w:spacing w:before="100"/>
              <w:rPr>
                <w:spacing w:val="-2"/>
              </w:rPr>
            </w:pPr>
            <w:r>
              <w:t>Deprivation of liberty</w:t>
            </w:r>
          </w:p>
        </w:tc>
      </w:tr>
      <w:tr>
        <w:trPr>
          <w:cantSplit/>
        </w:trPr>
        <w:tc>
          <w:tcPr>
            <w:tcW w:w="720" w:type="dxa"/>
          </w:tcPr>
          <w:p>
            <w:pPr>
              <w:pStyle w:val="yTableNAm"/>
              <w:spacing w:before="100"/>
            </w:pPr>
          </w:p>
        </w:tc>
        <w:tc>
          <w:tcPr>
            <w:tcW w:w="3000" w:type="dxa"/>
          </w:tcPr>
          <w:p>
            <w:pPr>
              <w:pStyle w:val="yTableNAm"/>
              <w:spacing w:before="100"/>
            </w:pPr>
            <w:r>
              <w:t>s. 338E</w:t>
            </w:r>
          </w:p>
        </w:tc>
        <w:tc>
          <w:tcPr>
            <w:tcW w:w="3360" w:type="dxa"/>
          </w:tcPr>
          <w:p>
            <w:pPr>
              <w:pStyle w:val="yTableNAm"/>
              <w:spacing w:before="100"/>
              <w:rPr>
                <w:spacing w:val="-2"/>
              </w:rPr>
            </w:pPr>
            <w:r>
              <w:t>Stalking</w:t>
            </w:r>
          </w:p>
        </w:tc>
      </w:tr>
      <w:tr>
        <w:trPr>
          <w:cantSplit/>
        </w:trPr>
        <w:tc>
          <w:tcPr>
            <w:tcW w:w="720" w:type="dxa"/>
          </w:tcPr>
          <w:p>
            <w:pPr>
              <w:pStyle w:val="yTableNAm"/>
              <w:spacing w:before="100"/>
            </w:pPr>
          </w:p>
        </w:tc>
        <w:tc>
          <w:tcPr>
            <w:tcW w:w="3000" w:type="dxa"/>
          </w:tcPr>
          <w:p>
            <w:pPr>
              <w:pStyle w:val="yTableNAm"/>
              <w:spacing w:before="100"/>
            </w:pPr>
            <w:r>
              <w:t>s. 378</w:t>
            </w:r>
          </w:p>
        </w:tc>
        <w:tc>
          <w:tcPr>
            <w:tcW w:w="3360" w:type="dxa"/>
          </w:tcPr>
          <w:p>
            <w:pPr>
              <w:pStyle w:val="yTableNAm"/>
              <w:spacing w:before="100"/>
              <w:rPr>
                <w:spacing w:val="-2"/>
              </w:rPr>
            </w:pPr>
            <w:r>
              <w:t>Stealing a motor vehicle</w:t>
            </w:r>
          </w:p>
        </w:tc>
      </w:tr>
      <w:tr>
        <w:trPr>
          <w:cantSplit/>
        </w:trPr>
        <w:tc>
          <w:tcPr>
            <w:tcW w:w="720" w:type="dxa"/>
          </w:tcPr>
          <w:p>
            <w:pPr>
              <w:pStyle w:val="yTableNAm"/>
              <w:spacing w:before="100"/>
            </w:pPr>
          </w:p>
        </w:tc>
        <w:tc>
          <w:tcPr>
            <w:tcW w:w="3000" w:type="dxa"/>
          </w:tcPr>
          <w:p>
            <w:pPr>
              <w:pStyle w:val="yTableNAm"/>
              <w:spacing w:before="100"/>
            </w:pPr>
            <w:r>
              <w:t>s. 392</w:t>
            </w:r>
          </w:p>
        </w:tc>
        <w:tc>
          <w:tcPr>
            <w:tcW w:w="3360" w:type="dxa"/>
          </w:tcPr>
          <w:p>
            <w:pPr>
              <w:pStyle w:val="yTableNAm"/>
              <w:spacing w:before="100"/>
            </w:pPr>
            <w:r>
              <w:t>Robbery</w:t>
            </w:r>
          </w:p>
        </w:tc>
      </w:tr>
      <w:tr>
        <w:trPr>
          <w:cantSplit/>
        </w:trPr>
        <w:tc>
          <w:tcPr>
            <w:tcW w:w="720" w:type="dxa"/>
          </w:tcPr>
          <w:p>
            <w:pPr>
              <w:pStyle w:val="yTableNAm"/>
              <w:spacing w:before="100"/>
            </w:pPr>
          </w:p>
        </w:tc>
        <w:tc>
          <w:tcPr>
            <w:tcW w:w="3000" w:type="dxa"/>
          </w:tcPr>
          <w:p>
            <w:pPr>
              <w:pStyle w:val="yTableNAm"/>
              <w:spacing w:before="100"/>
            </w:pPr>
            <w:r>
              <w:t>s. 393</w:t>
            </w:r>
          </w:p>
        </w:tc>
        <w:tc>
          <w:tcPr>
            <w:tcW w:w="3360" w:type="dxa"/>
          </w:tcPr>
          <w:p>
            <w:pPr>
              <w:pStyle w:val="yTableNAm"/>
              <w:spacing w:before="100"/>
            </w:pPr>
            <w:r>
              <w:t>Assault with intent to rob</w:t>
            </w:r>
          </w:p>
        </w:tc>
      </w:tr>
      <w:tr>
        <w:trPr>
          <w:cantSplit/>
        </w:trPr>
        <w:tc>
          <w:tcPr>
            <w:tcW w:w="720" w:type="dxa"/>
          </w:tcPr>
          <w:p>
            <w:pPr>
              <w:pStyle w:val="yTableNAm"/>
              <w:spacing w:before="100"/>
            </w:pPr>
          </w:p>
        </w:tc>
        <w:tc>
          <w:tcPr>
            <w:tcW w:w="3000" w:type="dxa"/>
          </w:tcPr>
          <w:p>
            <w:pPr>
              <w:pStyle w:val="yTableNAm"/>
              <w:spacing w:before="100"/>
            </w:pPr>
            <w:r>
              <w:t>s. 401</w:t>
            </w:r>
          </w:p>
        </w:tc>
        <w:tc>
          <w:tcPr>
            <w:tcW w:w="3360" w:type="dxa"/>
          </w:tcPr>
          <w:p>
            <w:pPr>
              <w:pStyle w:val="yTableNAm"/>
              <w:spacing w:before="100"/>
              <w:rPr>
                <w:spacing w:val="-2"/>
              </w:rPr>
            </w:pPr>
            <w:r>
              <w:t>Burglary</w:t>
            </w:r>
          </w:p>
        </w:tc>
      </w:tr>
      <w:tr>
        <w:trPr>
          <w:cantSplit/>
        </w:trPr>
        <w:tc>
          <w:tcPr>
            <w:tcW w:w="720" w:type="dxa"/>
          </w:tcPr>
          <w:p>
            <w:pPr>
              <w:pStyle w:val="yTableNAm"/>
              <w:spacing w:before="100"/>
            </w:pPr>
          </w:p>
        </w:tc>
        <w:tc>
          <w:tcPr>
            <w:tcW w:w="3000" w:type="dxa"/>
          </w:tcPr>
          <w:p>
            <w:pPr>
              <w:pStyle w:val="yTableNAm"/>
              <w:spacing w:before="100"/>
            </w:pPr>
            <w:r>
              <w:t>s. 444</w:t>
            </w:r>
          </w:p>
        </w:tc>
        <w:tc>
          <w:tcPr>
            <w:tcW w:w="3360" w:type="dxa"/>
          </w:tcPr>
          <w:p>
            <w:pPr>
              <w:pStyle w:val="yTableNAm"/>
              <w:spacing w:before="100"/>
              <w:rPr>
                <w:spacing w:val="-2"/>
              </w:rPr>
            </w:pPr>
            <w:r>
              <w:t>Criminal damage, if the property is destroyed or damaged by fire</w:t>
            </w:r>
          </w:p>
        </w:tc>
      </w:tr>
      <w:tr>
        <w:trPr>
          <w:cantSplit/>
        </w:trPr>
        <w:tc>
          <w:tcPr>
            <w:tcW w:w="720" w:type="dxa"/>
          </w:tcPr>
          <w:p>
            <w:pPr>
              <w:pStyle w:val="yTableNAm"/>
              <w:spacing w:before="100"/>
              <w:rPr>
                <w:b/>
              </w:rPr>
            </w:pPr>
            <w:r>
              <w:rPr>
                <w:rStyle w:val="CharSClsNo"/>
                <w:b/>
              </w:rPr>
              <w:t>2</w:t>
            </w:r>
            <w:r>
              <w:rPr>
                <w:b/>
              </w:rPr>
              <w:t>.</w:t>
            </w:r>
          </w:p>
        </w:tc>
        <w:tc>
          <w:tcPr>
            <w:tcW w:w="6360" w:type="dxa"/>
            <w:gridSpan w:val="2"/>
          </w:tcPr>
          <w:p>
            <w:pPr>
              <w:pStyle w:val="yTableNAm"/>
              <w:spacing w:before="100"/>
              <w:rPr>
                <w:b/>
                <w:i/>
              </w:rPr>
            </w:pPr>
            <w:r>
              <w:rPr>
                <w:b/>
                <w:i/>
              </w:rPr>
              <w:t>Bush Fires Act 1954</w:t>
            </w:r>
          </w:p>
        </w:tc>
      </w:tr>
      <w:tr>
        <w:trPr>
          <w:cantSplit/>
        </w:trPr>
        <w:tc>
          <w:tcPr>
            <w:tcW w:w="720" w:type="dxa"/>
          </w:tcPr>
          <w:p>
            <w:pPr>
              <w:pStyle w:val="yTableNAm"/>
              <w:spacing w:before="100"/>
            </w:pPr>
          </w:p>
        </w:tc>
        <w:tc>
          <w:tcPr>
            <w:tcW w:w="3000" w:type="dxa"/>
          </w:tcPr>
          <w:p>
            <w:pPr>
              <w:pStyle w:val="yTableNAm"/>
              <w:spacing w:before="100"/>
            </w:pPr>
            <w:r>
              <w:t>s. 32</w:t>
            </w:r>
          </w:p>
        </w:tc>
        <w:tc>
          <w:tcPr>
            <w:tcW w:w="3360" w:type="dxa"/>
          </w:tcPr>
          <w:p>
            <w:pPr>
              <w:pStyle w:val="yTableNAm"/>
              <w:spacing w:before="100"/>
            </w:pPr>
            <w:r>
              <w:t>Wilfully lighting a fire or causing a fire to be lit under such circumstances as to be likely to injure or damage a person or property</w:t>
            </w:r>
          </w:p>
        </w:tc>
      </w:tr>
      <w:tr>
        <w:trPr>
          <w:cantSplit/>
        </w:trPr>
        <w:tc>
          <w:tcPr>
            <w:tcW w:w="720" w:type="dxa"/>
          </w:tcPr>
          <w:p>
            <w:pPr>
              <w:pStyle w:val="yTableNAm"/>
              <w:spacing w:before="100"/>
            </w:pPr>
            <w:r>
              <w:rPr>
                <w:b/>
                <w:bCs/>
              </w:rPr>
              <w:t>2AA.</w:t>
            </w:r>
          </w:p>
        </w:tc>
        <w:tc>
          <w:tcPr>
            <w:tcW w:w="6360" w:type="dxa"/>
            <w:gridSpan w:val="2"/>
          </w:tcPr>
          <w:p>
            <w:pPr>
              <w:pStyle w:val="yTableNAm"/>
              <w:spacing w:before="100"/>
            </w:pPr>
            <w:r>
              <w:rPr>
                <w:b/>
                <w:bCs/>
                <w:i/>
              </w:rPr>
              <w:t>Criminal Organisations Control Act 2012</w:t>
            </w:r>
          </w:p>
        </w:tc>
      </w:tr>
      <w:tr>
        <w:trPr>
          <w:cantSplit/>
        </w:trPr>
        <w:tc>
          <w:tcPr>
            <w:tcW w:w="720" w:type="dxa"/>
          </w:tcPr>
          <w:p>
            <w:pPr>
              <w:pStyle w:val="yTableNAm"/>
              <w:spacing w:before="100"/>
            </w:pPr>
          </w:p>
        </w:tc>
        <w:tc>
          <w:tcPr>
            <w:tcW w:w="3000" w:type="dxa"/>
          </w:tcPr>
          <w:p>
            <w:pPr>
              <w:pStyle w:val="yTableNAm"/>
              <w:spacing w:before="100"/>
            </w:pPr>
            <w:r>
              <w:t>s. 99(1)</w:t>
            </w:r>
          </w:p>
        </w:tc>
        <w:tc>
          <w:tcPr>
            <w:tcW w:w="3360" w:type="dxa"/>
          </w:tcPr>
          <w:p>
            <w:pPr>
              <w:pStyle w:val="yTableNAm"/>
              <w:spacing w:before="100"/>
            </w:pPr>
            <w:r>
              <w:t>Association by controlled person with another controlled person</w:t>
            </w:r>
          </w:p>
        </w:tc>
      </w:tr>
      <w:tr>
        <w:tc>
          <w:tcPr>
            <w:tcW w:w="720" w:type="dxa"/>
          </w:tcPr>
          <w:p>
            <w:pPr>
              <w:pStyle w:val="yTableNAm"/>
            </w:pPr>
          </w:p>
        </w:tc>
        <w:tc>
          <w:tcPr>
            <w:tcW w:w="3000" w:type="dxa"/>
          </w:tcPr>
          <w:p>
            <w:pPr>
              <w:pStyle w:val="yTableNAm"/>
            </w:pPr>
            <w:r>
              <w:t>s. 99(3)</w:t>
            </w:r>
          </w:p>
        </w:tc>
        <w:tc>
          <w:tcPr>
            <w:tcW w:w="3360" w:type="dxa"/>
          </w:tcPr>
          <w:p>
            <w:pPr>
              <w:pStyle w:val="yTableNAm"/>
            </w:pPr>
            <w:r>
              <w:t xml:space="preserve">Association by controlled person with another controlled person </w:t>
            </w:r>
            <w:r>
              <w:lastRenderedPageBreak/>
              <w:t>on 3 or more occasions within 3 month period</w:t>
            </w:r>
          </w:p>
        </w:tc>
      </w:tr>
      <w:tr>
        <w:trPr>
          <w:cantSplit/>
        </w:trPr>
        <w:tc>
          <w:tcPr>
            <w:tcW w:w="720" w:type="dxa"/>
          </w:tcPr>
          <w:p>
            <w:pPr>
              <w:pStyle w:val="yTableNAm"/>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yTableNAm"/>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yTableNAm"/>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yTableNAm"/>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family violence restraining order</w:t>
            </w:r>
          </w:p>
        </w:tc>
      </w:tr>
      <w:tr>
        <w:trPr>
          <w:cantSplit/>
        </w:trPr>
        <w:tc>
          <w:tcPr>
            <w:tcW w:w="720" w:type="dxa"/>
          </w:tcPr>
          <w:p>
            <w:pPr>
              <w:pStyle w:val="yTableNAm"/>
            </w:pPr>
          </w:p>
        </w:tc>
        <w:tc>
          <w:tcPr>
            <w:tcW w:w="3000" w:type="dxa"/>
          </w:tcPr>
          <w:p>
            <w:pPr>
              <w:pStyle w:val="yTableNAm"/>
            </w:pPr>
            <w:r>
              <w:t>s. 61(1A)</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2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lastRenderedPageBreak/>
        <w:tab/>
        <w:t>[Schedule 2 inserted: No. 45 of 1993 s. 11; amended: No. 82 of 1994 s. 13; No. 38 of 1998 s. 4(2); No. 54 of 1998 s. 15; No. 23 of 2001 s. 10(1); No. 4 of 2004 s. 24 and 26; No. 38 of 2004 s. 61; No. 62 of 2004 s. 9(1); No. 84 of 2004 s. 82; No. 6 of 2008 s. 42(2); No. 29 of 2008 s. 24(8)</w:t>
      </w:r>
      <w:r>
        <w:rPr>
          <w:spacing w:val="-4"/>
        </w:rPr>
        <w:t>; No. 47 of 2011 s.</w:t>
      </w:r>
      <w:r>
        <w:t xml:space="preserve"> 19; No. 56 of 2011 s. 11; No. 49 of 2012 s. 172; No. 30 of 2020 s. 50.] </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nHeading2"/>
      </w:pPr>
      <w:bookmarkStart w:id="168" w:name="_Toc106978798"/>
      <w:bookmarkStart w:id="169" w:name="_Toc106980767"/>
      <w:r>
        <w:lastRenderedPageBreak/>
        <w:t>Notes</w:t>
      </w:r>
      <w:bookmarkEnd w:id="168"/>
      <w:bookmarkEnd w:id="169"/>
    </w:p>
    <w:p>
      <w:pPr>
        <w:pStyle w:val="nStatement"/>
      </w:pPr>
      <w:r>
        <w:t xml:space="preserve">This is a compilation of the </w:t>
      </w:r>
      <w:r>
        <w:rPr>
          <w:i/>
          <w:noProof/>
        </w:rPr>
        <w:t>Bail Act 1982</w:t>
      </w:r>
      <w:r>
        <w:t xml:space="preserve"> and includes amendments made by other written laws </w:t>
      </w:r>
      <w:r>
        <w:rPr>
          <w:snapToGrid w:val="0"/>
          <w:vertAlign w:val="superscript"/>
        </w:rPr>
        <w:t>3, 4</w:t>
      </w:r>
      <w:r>
        <w:t>. For provisions that have come into operation, and for information about any reprints, see the compilation table. For provisions that have not yet come into operation see the uncommenced provisions table.</w:t>
      </w:r>
    </w:p>
    <w:p>
      <w:pPr>
        <w:pStyle w:val="nHeading3"/>
      </w:pPr>
      <w:bookmarkStart w:id="170" w:name="_Toc106980768"/>
      <w:r>
        <w:t>Compilation table</w:t>
      </w:r>
      <w:bookmarkEnd w:id="170"/>
    </w:p>
    <w:tbl>
      <w:tblPr>
        <w:tblW w:w="7089" w:type="dxa"/>
        <w:tblInd w:w="27"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Act 1982</w:t>
            </w:r>
          </w:p>
        </w:tc>
        <w:tc>
          <w:tcPr>
            <w:tcW w:w="1134" w:type="dxa"/>
          </w:tcPr>
          <w:p>
            <w:pPr>
              <w:pStyle w:val="nTable"/>
              <w:spacing w:after="40"/>
            </w:pPr>
            <w:r>
              <w:t>86 of 1982</w:t>
            </w:r>
          </w:p>
        </w:tc>
        <w:tc>
          <w:tcPr>
            <w:tcW w:w="1134" w:type="dxa"/>
          </w:tcPr>
          <w:p>
            <w:pPr>
              <w:pStyle w:val="nTable"/>
              <w:spacing w:after="40"/>
            </w:pPr>
            <w:r>
              <w:t>18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(Abolition of Capital Punishment) Act 1984 </w:t>
            </w:r>
            <w:r>
              <w:t>Pt. III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1984</w:t>
            </w:r>
            <w:r>
              <w:t xml:space="preserve"> </w:t>
            </w:r>
            <w:r>
              <w:rPr>
                <w:vertAlign w:val="superscript"/>
              </w:rPr>
              <w:t>5</w:t>
            </w:r>
          </w:p>
        </w:tc>
        <w:tc>
          <w:tcPr>
            <w:tcW w:w="1134" w:type="dxa"/>
          </w:tcPr>
          <w:p>
            <w:pPr>
              <w:pStyle w:val="nTable"/>
              <w:spacing w:after="40"/>
            </w:pPr>
            <w:r>
              <w:t>74 of 1984 (as amended by 15 of 1988 s. 20)</w:t>
            </w:r>
          </w:p>
        </w:tc>
        <w:tc>
          <w:tcPr>
            <w:tcW w:w="1134" w:type="dxa"/>
          </w:tcPr>
          <w:p>
            <w:pPr>
              <w:pStyle w:val="nTable"/>
              <w:spacing w:after="40"/>
            </w:pPr>
            <w:r>
              <w:t>29 Nov 1984</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Bail Amendment Act 1988</w:t>
            </w:r>
          </w:p>
        </w:tc>
        <w:tc>
          <w:tcPr>
            <w:tcW w:w="1134" w:type="dxa"/>
          </w:tcPr>
          <w:p>
            <w:pPr>
              <w:pStyle w:val="nTable"/>
              <w:spacing w:after="40"/>
            </w:pPr>
            <w:r>
              <w:t>15 of 1988</w:t>
            </w:r>
          </w:p>
        </w:tc>
        <w:tc>
          <w:tcPr>
            <w:tcW w:w="1134" w:type="dxa"/>
          </w:tcPr>
          <w:p>
            <w:pPr>
              <w:pStyle w:val="nTable"/>
              <w:spacing w:after="40"/>
            </w:pPr>
            <w:r>
              <w:t>6 Sep 1988</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under the </w:t>
            </w:r>
            <w:r>
              <w:rPr>
                <w:b/>
                <w:i/>
                <w:iCs/>
              </w:rPr>
              <w:t>Reprints Act 1984</w:t>
            </w:r>
            <w:r>
              <w:rPr>
                <w:b/>
              </w:rPr>
              <w:t xml:space="preserve"> and the </w:t>
            </w:r>
            <w:r>
              <w:rPr>
                <w:b/>
                <w:i/>
                <w:iCs/>
              </w:rPr>
              <w:t xml:space="preserve">Bail Amendment Act 1988 </w:t>
            </w:r>
            <w:r>
              <w:rPr>
                <w:b/>
                <w:iCs/>
              </w:rPr>
              <w:t>s. 21</w:t>
            </w:r>
            <w:r>
              <w:rPr>
                <w:vertAlign w:val="superscript"/>
              </w:rPr>
              <w:t xml:space="preserve"> 6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Criminal Law Amendment Act 1988 </w:t>
            </w:r>
            <w:r>
              <w:t>Pt. 4</w:t>
            </w:r>
          </w:p>
        </w:tc>
        <w:tc>
          <w:tcPr>
            <w:tcW w:w="1134" w:type="dxa"/>
          </w:tcPr>
          <w:p>
            <w:pPr>
              <w:pStyle w:val="nTable"/>
              <w:spacing w:after="40"/>
            </w:pPr>
            <w:r>
              <w:t>70 of 1988</w:t>
            </w:r>
          </w:p>
        </w:tc>
        <w:tc>
          <w:tcPr>
            <w:tcW w:w="1134" w:type="dxa"/>
          </w:tcPr>
          <w:p>
            <w:pPr>
              <w:pStyle w:val="nTable"/>
              <w:spacing w:after="40"/>
            </w:pPr>
            <w:r>
              <w:t>15 Dec 1988</w:t>
            </w:r>
          </w:p>
        </w:tc>
        <w:tc>
          <w:tcPr>
            <w:tcW w:w="2552" w:type="dxa"/>
          </w:tcPr>
          <w:p>
            <w:pPr>
              <w:pStyle w:val="nTable"/>
              <w:spacing w:after="40"/>
            </w:pPr>
            <w:r>
              <w:t xml:space="preserve">6 Feb 1989 (see s. 2(2)(b)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(Children’s Court) Act 1988</w:t>
            </w:r>
            <w:r>
              <w:t xml:space="preserve"> Pt. 13</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Justices Amendment Act 1989 </w:t>
            </w:r>
            <w:r>
              <w:t>s. 18</w:t>
            </w:r>
          </w:p>
        </w:tc>
        <w:tc>
          <w:tcPr>
            <w:tcW w:w="1134" w:type="dxa"/>
          </w:tcPr>
          <w:p>
            <w:pPr>
              <w:pStyle w:val="nTable"/>
              <w:spacing w:after="40"/>
            </w:pPr>
            <w:r>
              <w:t>33 of 1989</w:t>
            </w:r>
          </w:p>
        </w:tc>
        <w:tc>
          <w:tcPr>
            <w:tcW w:w="1134" w:type="dxa"/>
          </w:tcPr>
          <w:p>
            <w:pPr>
              <w:pStyle w:val="nTable"/>
              <w:spacing w:after="40"/>
            </w:pPr>
            <w:r>
              <w:t>22 Dec 1989</w:t>
            </w:r>
          </w:p>
        </w:tc>
        <w:tc>
          <w:tcPr>
            <w:tcW w:w="2552" w:type="dxa"/>
          </w:tcPr>
          <w:p>
            <w:pPr>
              <w:pStyle w:val="nTable"/>
              <w:spacing w:after="40"/>
            </w:pPr>
            <w:r>
              <w:t xml:space="preserve">1 Jun 1991 (see s. 2 and </w:t>
            </w:r>
            <w:r>
              <w:rPr>
                <w:i/>
              </w:rPr>
              <w:t>Gazette</w:t>
            </w:r>
            <w:r>
              <w:t xml:space="preserve"> 17 May 1991 p. 2455)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Community Corrections Legislation Amendment Act 1990 </w:t>
            </w:r>
            <w:r>
              <w:t>Pt. 2</w:t>
            </w:r>
          </w:p>
        </w:tc>
        <w:tc>
          <w:tcPr>
            <w:tcW w:w="1134" w:type="dxa"/>
          </w:tcPr>
          <w:p>
            <w:pPr>
              <w:pStyle w:val="nTable"/>
              <w:spacing w:after="40"/>
            </w:pPr>
            <w:r>
              <w:t>61 of 1990</w:t>
            </w:r>
          </w:p>
        </w:tc>
        <w:tc>
          <w:tcPr>
            <w:tcW w:w="1134" w:type="dxa"/>
          </w:tcPr>
          <w:p>
            <w:pPr>
              <w:pStyle w:val="nTable"/>
              <w:spacing w:after="40"/>
            </w:pPr>
            <w:r>
              <w:t>17 Dec 1990</w:t>
            </w:r>
          </w:p>
        </w:tc>
        <w:tc>
          <w:tcPr>
            <w:tcW w:w="2552" w:type="dxa"/>
          </w:tcPr>
          <w:p>
            <w:pPr>
              <w:pStyle w:val="nTable"/>
              <w:spacing w:after="40"/>
            </w:pPr>
            <w:r>
              <w:t xml:space="preserve">3 Apr 1991 (see s. 2 and </w:t>
            </w:r>
            <w:r>
              <w:rPr>
                <w:i/>
              </w:rPr>
              <w:t>Gazette</w:t>
            </w:r>
            <w:r>
              <w:t xml:space="preserve"> 22 Mar 1991 p. 1209)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Child Welfare Amendment Act (No. 2) 1990 </w:t>
            </w:r>
            <w:r>
              <w:t>s. 15</w:t>
            </w:r>
          </w:p>
        </w:tc>
        <w:tc>
          <w:tcPr>
            <w:tcW w:w="1134" w:type="dxa"/>
          </w:tcPr>
          <w:p>
            <w:pPr>
              <w:pStyle w:val="nTable"/>
              <w:spacing w:after="40"/>
            </w:pPr>
            <w:r>
              <w:t>83 of 1990</w:t>
            </w:r>
          </w:p>
        </w:tc>
        <w:tc>
          <w:tcPr>
            <w:tcW w:w="1134" w:type="dxa"/>
          </w:tcPr>
          <w:p>
            <w:pPr>
              <w:pStyle w:val="nTable"/>
              <w:spacing w:after="40"/>
            </w:pPr>
            <w:r>
              <w:t>22 Dec 1990</w:t>
            </w:r>
          </w:p>
        </w:tc>
        <w:tc>
          <w:tcPr>
            <w:tcW w:w="2552" w:type="dxa"/>
          </w:tcPr>
          <w:p>
            <w:pPr>
              <w:pStyle w:val="nTable"/>
              <w:spacing w:after="40"/>
            </w:pPr>
            <w:r>
              <w:t xml:space="preserve">1 Aug 1991 (see s. 2 and </w:t>
            </w:r>
            <w:r>
              <w:rPr>
                <w:i/>
              </w:rPr>
              <w:t>Gazette</w:t>
            </w:r>
            <w:r>
              <w:t xml:space="preserve"> 1 Aug 1991 p. 3983)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lastRenderedPageBreak/>
              <w:t>Children’s Court of Western Australia Amendment Act (No. 2) 1991</w:t>
            </w:r>
            <w:r>
              <w:t xml:space="preserve"> s. 21</w:t>
            </w:r>
          </w:p>
        </w:tc>
        <w:tc>
          <w:tcPr>
            <w:tcW w:w="1134" w:type="dxa"/>
          </w:tcPr>
          <w:p>
            <w:pPr>
              <w:pStyle w:val="nTable"/>
              <w:spacing w:after="40"/>
            </w:pPr>
            <w:r>
              <w:t>15 of 1991</w:t>
            </w:r>
          </w:p>
        </w:tc>
        <w:tc>
          <w:tcPr>
            <w:tcW w:w="1134" w:type="dxa"/>
          </w:tcPr>
          <w:p>
            <w:pPr>
              <w:pStyle w:val="nTable"/>
              <w:spacing w:after="40"/>
            </w:pPr>
            <w:r>
              <w:t>21 Jun 1991</w:t>
            </w:r>
          </w:p>
        </w:tc>
        <w:tc>
          <w:tcPr>
            <w:tcW w:w="2552" w:type="dxa"/>
          </w:tcPr>
          <w:p>
            <w:pPr>
              <w:pStyle w:val="nTable"/>
              <w:spacing w:after="40"/>
            </w:pPr>
            <w:r>
              <w:t xml:space="preserve">9 Aug 1991 (see s. 2(2) and </w:t>
            </w:r>
            <w:r>
              <w:rPr>
                <w:i/>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17 Oct 1991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 xml:space="preserve">Acts Amendment (Sexual Offences) Act 1992 </w:t>
            </w:r>
            <w:r>
              <w:t>Pt. 3</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Gazette</w:t>
            </w:r>
            <w:r>
              <w:t xml:space="preserve"> 28 Jul 1992 p. 3671)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(Ministry of Justice) Act 1993</w:t>
            </w:r>
            <w:r>
              <w:t xml:space="preserve"> Pt. 3</w:t>
            </w:r>
            <w:r>
              <w:rPr>
                <w:vertAlign w:val="superscript"/>
              </w:rPr>
              <w:t> 7</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vertAlign w:val="superscript"/>
              </w:rPr>
            </w:pPr>
            <w:r>
              <w:rPr>
                <w:i/>
              </w:rPr>
              <w:t>Criminal Procedure Amendment Act 1993</w:t>
            </w:r>
            <w:r>
              <w:t xml:space="preserve"> Pt. 2 </w:t>
            </w:r>
            <w:r>
              <w:rPr>
                <w:vertAlign w:val="superscript"/>
              </w:rPr>
              <w:t>8</w:t>
            </w:r>
          </w:p>
        </w:tc>
        <w:tc>
          <w:tcPr>
            <w:tcW w:w="1134" w:type="dxa"/>
          </w:tcPr>
          <w:p>
            <w:pPr>
              <w:pStyle w:val="nTable"/>
              <w:spacing w:after="40"/>
            </w:pPr>
            <w:r>
              <w:t>45 of 1993</w:t>
            </w:r>
          </w:p>
        </w:tc>
        <w:tc>
          <w:tcPr>
            <w:tcW w:w="1134" w:type="dxa"/>
          </w:tcPr>
          <w:p>
            <w:pPr>
              <w:pStyle w:val="nTable"/>
              <w:spacing w:after="40"/>
            </w:pPr>
            <w:r>
              <w:t>20 Dec 1993</w:t>
            </w:r>
          </w:p>
        </w:tc>
        <w:tc>
          <w:tcPr>
            <w:tcW w:w="2552" w:type="dxa"/>
          </w:tcPr>
          <w:p>
            <w:pPr>
              <w:pStyle w:val="nTable"/>
              <w:spacing w:after="40"/>
            </w:pPr>
            <w:r>
              <w:t>Act other than s. 7</w:t>
            </w:r>
            <w:r>
              <w:noBreakHyphen/>
              <w:t>9 and 10(2)(b): 17 Jan 1994 (see s. 2(1));</w:t>
            </w:r>
            <w:r>
              <w:br/>
              <w:t>s. 7</w:t>
            </w:r>
            <w:r>
              <w:noBreakHyphen/>
              <w:t xml:space="preserve">9 and 10(2)(b): 4 Mar 1994 (see s. 2(2) and </w:t>
            </w:r>
            <w:r>
              <w:rPr>
                <w:i/>
              </w:rPr>
              <w:t>Gazette</w:t>
            </w:r>
            <w:r>
              <w:t xml:space="preserve"> 4 Mar 1994 p. 915)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1994</w:t>
            </w:r>
            <w:r>
              <w:t xml:space="preserve"> s. 13(1) and (2)</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Acts Amendment (Fines, Penalties and Infringement Notices) Act 1994</w:t>
            </w:r>
            <w:r>
              <w:t xml:space="preserve"> Pt. 3</w:t>
            </w:r>
          </w:p>
        </w:tc>
        <w:tc>
          <w:tcPr>
            <w:tcW w:w="1134" w:type="dxa"/>
          </w:tcPr>
          <w:p>
            <w:pPr>
              <w:pStyle w:val="nTable"/>
              <w:keepNext/>
              <w:keepLines/>
              <w:spacing w:after="40"/>
            </w:pPr>
            <w:r>
              <w:t>92 of 1994</w:t>
            </w:r>
          </w:p>
        </w:tc>
        <w:tc>
          <w:tcPr>
            <w:tcW w:w="1134" w:type="dxa"/>
          </w:tcPr>
          <w:p>
            <w:pPr>
              <w:pStyle w:val="nTable"/>
              <w:keepNext/>
              <w:keepLines/>
              <w:spacing w:after="40"/>
            </w:pPr>
            <w:r>
              <w:t>23 Dec 1994</w:t>
            </w:r>
          </w:p>
        </w:tc>
        <w:tc>
          <w:tcPr>
            <w:tcW w:w="2552" w:type="dxa"/>
          </w:tcPr>
          <w:p>
            <w:pPr>
              <w:pStyle w:val="nTable"/>
              <w:keepNext/>
              <w:keepLines/>
              <w:spacing w:after="40"/>
            </w:pPr>
            <w:r>
              <w:t xml:space="preserve">1 Jan 1995 (see s. 2(1) and </w:t>
            </w:r>
            <w:r>
              <w:rPr>
                <w:i/>
              </w:rPr>
              <w:t>Gazette</w:t>
            </w:r>
            <w:r>
              <w:t xml:space="preserve"> 30 Dec 1994 p. 7211)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Sentencing (Consequential Provisions) Act 1995</w:t>
            </w:r>
            <w:r>
              <w:t xml:space="preserve"> </w:t>
            </w:r>
            <w:r>
              <w:rPr>
                <w:spacing w:val="-4"/>
              </w:rPr>
              <w:t>Pt. 5</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Coroners Act 1996</w:t>
            </w:r>
            <w:r>
              <w:t xml:space="preserve"> s. 61</w:t>
            </w:r>
          </w:p>
        </w:tc>
        <w:tc>
          <w:tcPr>
            <w:tcW w:w="1134" w:type="dxa"/>
          </w:tcPr>
          <w:p>
            <w:pPr>
              <w:pStyle w:val="nTable"/>
              <w:spacing w:after="40"/>
            </w:pPr>
            <w:r>
              <w:t>2 of 1996</w:t>
            </w:r>
          </w:p>
        </w:tc>
        <w:tc>
          <w:tcPr>
            <w:tcW w:w="1134" w:type="dxa"/>
          </w:tcPr>
          <w:p>
            <w:pPr>
              <w:pStyle w:val="nTable"/>
              <w:spacing w:after="40"/>
            </w:pPr>
            <w:r>
              <w:t>24 May 1996</w:t>
            </w:r>
          </w:p>
        </w:tc>
        <w:tc>
          <w:tcPr>
            <w:tcW w:w="2552" w:type="dxa"/>
          </w:tcPr>
          <w:p>
            <w:pPr>
              <w:pStyle w:val="nTable"/>
              <w:spacing w:after="40"/>
            </w:pPr>
            <w:r>
              <w:t xml:space="preserve">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 xml:space="preserve">Mental Health (Consequential Provisions) Act 1996 </w:t>
            </w:r>
            <w:r>
              <w:rPr>
                <w:spacing w:val="-4"/>
              </w:rPr>
              <w:t>Pt. 2</w:t>
            </w:r>
          </w:p>
        </w:tc>
        <w:tc>
          <w:tcPr>
            <w:tcW w:w="1134" w:type="dxa"/>
          </w:tcPr>
          <w:p>
            <w:pPr>
              <w:pStyle w:val="nTable"/>
              <w:spacing w:after="40"/>
            </w:pPr>
            <w:r>
              <w:t>69 of 1996</w:t>
            </w:r>
          </w:p>
        </w:tc>
        <w:tc>
          <w:tcPr>
            <w:tcW w:w="1134" w:type="dxa"/>
          </w:tcPr>
          <w:p>
            <w:pPr>
              <w:pStyle w:val="nTable"/>
              <w:spacing w:after="40"/>
            </w:pPr>
            <w:r>
              <w:t>13 Nov 1996</w:t>
            </w:r>
          </w:p>
        </w:tc>
        <w:tc>
          <w:tcPr>
            <w:tcW w:w="2552" w:type="dxa"/>
          </w:tcPr>
          <w:p>
            <w:pPr>
              <w:pStyle w:val="nTable"/>
              <w:spacing w:after="40"/>
            </w:pPr>
            <w:r>
              <w:t>13 Nov 1997 (see s. 2)</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13 Mar 1997</w:t>
            </w:r>
            <w:r>
              <w:t xml:space="preserve"> (includes amendments listed above except those in the </w:t>
            </w:r>
            <w:r>
              <w:rPr>
                <w:i/>
              </w:rPr>
              <w:t>Coroners Act 1996</w:t>
            </w:r>
            <w:r>
              <w:t xml:space="preserve"> and the </w:t>
            </w:r>
            <w:r>
              <w:rPr>
                <w:i/>
              </w:rPr>
              <w:t>Mental Health (Consequential Provisions) Act 1996</w:t>
            </w:r>
            <w:r>
              <w:t xml:space="preserve">) (corrections in </w:t>
            </w:r>
            <w:r>
              <w:rPr>
                <w:i/>
              </w:rPr>
              <w:t>Gazette</w:t>
            </w:r>
            <w:r>
              <w:t xml:space="preserve"> 25 Jul 1997 p. 3909 and 14 Nov 1997 p. 6426)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Statutes (Repeals and Minor Amendments) Act 1997</w:t>
            </w:r>
            <w:r>
              <w:t xml:space="preserve"> s. 21</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pPr>
            <w:r>
              <w:rPr>
                <w:i/>
              </w:rPr>
              <w:t>Criminal Law Amendment Act (No. 1) 1998</w:t>
            </w:r>
            <w:r>
              <w:t xml:space="preserve"> s. 4(2)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c>
          <w:tcPr>
            <w:tcW w:w="2269" w:type="dxa"/>
          </w:tcPr>
          <w:p>
            <w:pPr>
              <w:pStyle w:val="nTable"/>
              <w:spacing w:after="40"/>
              <w:ind w:right="170"/>
            </w:pPr>
            <w:r>
              <w:rPr>
                <w:i/>
              </w:rPr>
              <w:lastRenderedPageBreak/>
              <w:t>Bail Amendment Act 1998</w:t>
            </w:r>
            <w:r>
              <w:t> </w:t>
            </w:r>
            <w:r>
              <w:rPr>
                <w:vertAlign w:val="superscript"/>
              </w:rPr>
              <w:t>9</w:t>
            </w:r>
          </w:p>
        </w:tc>
        <w:tc>
          <w:tcPr>
            <w:tcW w:w="1134" w:type="dxa"/>
          </w:tcPr>
          <w:p>
            <w:pPr>
              <w:pStyle w:val="nTable"/>
              <w:spacing w:after="40"/>
            </w:pPr>
            <w:r>
              <w:t>54 of 1998</w:t>
            </w:r>
          </w:p>
        </w:tc>
        <w:tc>
          <w:tcPr>
            <w:tcW w:w="1134" w:type="dxa"/>
          </w:tcPr>
          <w:p>
            <w:pPr>
              <w:pStyle w:val="nTable"/>
              <w:spacing w:after="40"/>
            </w:pPr>
            <w:r>
              <w:t>11 Jan 1999</w:t>
            </w:r>
          </w:p>
        </w:tc>
        <w:tc>
          <w:tcPr>
            <w:tcW w:w="2552" w:type="dxa"/>
          </w:tcPr>
          <w:p>
            <w:pPr>
              <w:pStyle w:val="nTable"/>
              <w:keepNext/>
              <w:spacing w:after="40"/>
            </w:pPr>
            <w:r>
              <w:t>s. 1 and 2: 11 Jan 1999;</w:t>
            </w:r>
            <w:r>
              <w:br/>
              <w:t xml:space="preserve">Pt. 4 and 7: 15 May 1999 (see s. 2 and </w:t>
            </w:r>
            <w:r>
              <w:rPr>
                <w:i/>
              </w:rPr>
              <w:t>Gazette</w:t>
            </w:r>
            <w:r>
              <w:t xml:space="preserve"> 11 May 1999 p. 1905); </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p>
        </w:tc>
        <w:tc>
          <w:tcPr>
            <w:tcW w:w="1134" w:type="dxa"/>
          </w:tcPr>
          <w:p>
            <w:pPr>
              <w:pStyle w:val="nTable"/>
              <w:spacing w:after="40"/>
            </w:pPr>
          </w:p>
        </w:tc>
        <w:tc>
          <w:tcPr>
            <w:tcW w:w="1134" w:type="dxa"/>
          </w:tcPr>
          <w:p>
            <w:pPr>
              <w:pStyle w:val="nTable"/>
              <w:spacing w:after="40"/>
            </w:pPr>
          </w:p>
        </w:tc>
        <w:tc>
          <w:tcPr>
            <w:tcW w:w="2552" w:type="dxa"/>
          </w:tcPr>
          <w:p>
            <w:pPr>
              <w:pStyle w:val="nTable"/>
              <w:keepNext/>
              <w:spacing w:after="40"/>
            </w:pPr>
            <w:r>
              <w:t xml:space="preserve">Pt. 2, 3 and 5 (other than s. 12): 8 Mar 2000 (see s. 2 and </w:t>
            </w:r>
            <w:r>
              <w:rPr>
                <w:i/>
              </w:rPr>
              <w:t>Gazette</w:t>
            </w:r>
            <w:r>
              <w:t xml:space="preserve"> 7 Mar 2000 p. 1039);</w:t>
            </w:r>
            <w:r>
              <w:br/>
              <w:t xml:space="preserve">s. 12: 1 Sep 2000 (see s. 2 and </w:t>
            </w:r>
            <w:r>
              <w:rPr>
                <w:i/>
              </w:rPr>
              <w:t>Gazette</w:t>
            </w:r>
            <w:r>
              <w:t xml:space="preserve"> 29 Aug 2000 p. 4985);</w:t>
            </w:r>
            <w:r>
              <w:br/>
              <w:t xml:space="preserve">Pt. 6: 4 Dec 2000 (see s. 2 and </w:t>
            </w:r>
            <w:r>
              <w:rPr>
                <w:i/>
              </w:rPr>
              <w:t xml:space="preserve">Gazette </w:t>
            </w:r>
            <w:r>
              <w:t>4 Dec 2000 p. 6799)</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of the </w:t>
            </w:r>
            <w:r>
              <w:rPr>
                <w:b/>
                <w:i/>
              </w:rPr>
              <w:t>Bail Act 1982</w:t>
            </w:r>
            <w:r>
              <w:rPr>
                <w:b/>
              </w:rPr>
              <w:t xml:space="preserve"> as at 27 Aug 1999</w:t>
            </w:r>
            <w:r>
              <w:t xml:space="preserve"> (includes amendments listed above except those in the</w:t>
            </w:r>
            <w:r>
              <w:rPr>
                <w:i/>
              </w:rPr>
              <w:t xml:space="preserve"> Bail Amendment Act 1998</w:t>
            </w:r>
            <w:r>
              <w:t xml:space="preserve"> Pt. 2, 3, 5 and 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70"/>
              <w:rPr>
                <w:i/>
              </w:rPr>
            </w:pPr>
            <w:r>
              <w:rPr>
                <w:i/>
              </w:rPr>
              <w:t>Court Security and Custodial Services (Consequential Provisions) Act 1999</w:t>
            </w:r>
            <w:r>
              <w:t xml:space="preserve"> </w:t>
            </w:r>
            <w:r>
              <w:rPr>
                <w:spacing w:val="-4"/>
              </w:rPr>
              <w:t>Pt. 3</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Criminal Law Amendment Act 2001</w:t>
            </w:r>
            <w:r>
              <w:t xml:space="preserve"> s. 10(1)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 xml:space="preserve">Criminal Investigation (Identifying People) Act 2002 </w:t>
            </w:r>
            <w:r>
              <w:t>Sch. 2 cl. 1</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Criminal Law (Procedure) Amendment Act 2002</w:t>
            </w:r>
            <w:r>
              <w:t xml:space="preserve"> Pt. 4 Div. 1</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Sentencing Legislation Amendment and Repeal Act 2003</w:t>
            </w:r>
            <w:r>
              <w:t xml:space="preserve"> s. 29(3) and 37</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pPr>
            <w:r>
              <w:t xml:space="preserve">s. 29(3): 31 Aug 2003 (see s. 2 and </w:t>
            </w:r>
            <w:r>
              <w:rPr>
                <w:i/>
              </w:rPr>
              <w:t>Gazette</w:t>
            </w:r>
            <w:r>
              <w:t xml:space="preserve"> 29 Aug 2003 p. 3833);</w:t>
            </w:r>
            <w:r>
              <w:br/>
              <w:t xml:space="preserve">s. 37: </w:t>
            </w: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vertAlign w:val="superscript"/>
              </w:rPr>
            </w:pPr>
            <w:r>
              <w:rPr>
                <w:i/>
              </w:rPr>
              <w:t>Acts Amendment and Repeal (Courts and Legal Practice) Act 2003</w:t>
            </w:r>
            <w:r>
              <w:t xml:space="preserve"> s. 88 and 121 </w:t>
            </w:r>
            <w:r>
              <w:rPr>
                <w:vertAlign w:val="superscript"/>
              </w:rPr>
              <w:t>10</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pPr>
            <w:r>
              <w:rPr>
                <w:i/>
              </w:rPr>
              <w:t>Statutes (Repeals and Minor Amendments) Act 2003</w:t>
            </w:r>
            <w:r>
              <w:t xml:space="preserve"> s. 29</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t xml:space="preserve">Criminal Code Amendment Act 2004 </w:t>
            </w:r>
            <w:r>
              <w:t>s. 24, 26 and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rPr>
              <w:lastRenderedPageBreak/>
              <w:t>Sentencing Legislation Amendment Act 2004</w:t>
            </w:r>
            <w:r>
              <w:t xml:space="preserve"> s. 13</w:t>
            </w:r>
          </w:p>
        </w:tc>
        <w:tc>
          <w:tcPr>
            <w:tcW w:w="1134" w:type="dxa"/>
          </w:tcPr>
          <w:p>
            <w:pPr>
              <w:pStyle w:val="nTable"/>
              <w:spacing w:after="40"/>
            </w:pPr>
            <w:r>
              <w:t>27 of 2004</w:t>
            </w:r>
          </w:p>
        </w:tc>
        <w:tc>
          <w:tcPr>
            <w:tcW w:w="1134" w:type="dxa"/>
          </w:tcPr>
          <w:p>
            <w:pPr>
              <w:pStyle w:val="nTable"/>
              <w:spacing w:after="40"/>
            </w:pPr>
            <w:r>
              <w:t>14 Oct 2004</w:t>
            </w:r>
          </w:p>
        </w:tc>
        <w:tc>
          <w:tcPr>
            <w:tcW w:w="2552" w:type="dxa"/>
          </w:tcPr>
          <w:p>
            <w:pPr>
              <w:pStyle w:val="nTable"/>
              <w:spacing w:after="40"/>
            </w:pPr>
            <w:r>
              <w:t xml:space="preserve">31 May 2006 (see s. 2 and </w:t>
            </w:r>
            <w:r>
              <w:rPr>
                <w:i/>
              </w:rPr>
              <w:t>Gazette</w:t>
            </w:r>
            <w:r>
              <w:t xml:space="preserve"> 30 May 2006 p. 1965)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Children and Community Services Act 2004</w:t>
            </w:r>
            <w:r>
              <w:rPr>
                <w:snapToGrid w:val="0"/>
              </w:rPr>
              <w:t xml:space="preserve"> Sch. 2 cl. 3</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2" w:type="dxa"/>
          </w:tcPr>
          <w:p>
            <w:pPr>
              <w:pStyle w:val="nTable"/>
              <w:spacing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rPr>
              <w:t>Acts Amendment (Family and Domestic Violence) Act 2004</w:t>
            </w:r>
            <w:r>
              <w:t xml:space="preserve"> Pt. 3</w:t>
            </w:r>
          </w:p>
        </w:tc>
        <w:tc>
          <w:tcPr>
            <w:tcW w:w="1134" w:type="dxa"/>
          </w:tcPr>
          <w:p>
            <w:pPr>
              <w:pStyle w:val="nTable"/>
              <w:spacing w:after="40"/>
              <w:rPr>
                <w:snapToGrid w:val="0"/>
              </w:rPr>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Acts Amendment (Court of Appeal) Act 2004</w:t>
            </w:r>
            <w:r>
              <w:rPr>
                <w:snapToGrid w:val="0"/>
              </w:rPr>
              <w:t xml:space="preserve"> s. 28</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t xml:space="preserve">s. 28(1), (2) and (4) (other than the amendment to s. 7A(1)): 1 Feb 2005 (see. s. 2 and </w:t>
            </w:r>
            <w:r>
              <w:rPr>
                <w:i/>
              </w:rPr>
              <w:t xml:space="preserve">Gazette </w:t>
            </w:r>
            <w:r>
              <w:t>14 Jan 2005 p. 163);</w:t>
            </w:r>
            <w:r>
              <w:br/>
            </w:r>
            <w:r>
              <w:rPr>
                <w:snapToGrid w:val="0"/>
              </w:rPr>
              <w:t>s. 28(3) and (4) (</w:t>
            </w:r>
            <w:r>
              <w:t xml:space="preserve">the </w:t>
            </w:r>
            <w:r>
              <w:rPr>
                <w:snapToGrid w:val="0"/>
              </w:rPr>
              <w:t xml:space="preserve">amendment to s. 7A(1)): 2 May 2005 (see. s. 2 and </w:t>
            </w:r>
            <w:r>
              <w:rPr>
                <w:i/>
                <w:snapToGrid w:val="0"/>
              </w:rPr>
              <w:t xml:space="preserve">Gazette </w:t>
            </w:r>
            <w:r>
              <w:rPr>
                <w:snapToGrid w:val="0"/>
              </w:rPr>
              <w:t>14 Jan 2005 p. 163)</w:t>
            </w:r>
          </w:p>
        </w:tc>
      </w:tr>
      <w:tr>
        <w:tblPrEx>
          <w:tblBorders>
            <w:top w:val="none" w:sz="0" w:space="0" w:color="auto"/>
            <w:bottom w:val="none" w:sz="0" w:space="0" w:color="auto"/>
            <w:insideH w:val="none" w:sz="0" w:space="0" w:color="auto"/>
          </w:tblBorders>
        </w:tblPrEx>
        <w:tc>
          <w:tcPr>
            <w:tcW w:w="2269" w:type="dxa"/>
          </w:tcPr>
          <w:p>
            <w:pPr>
              <w:pStyle w:val="nTable"/>
              <w:spacing w:after="40"/>
              <w:rPr>
                <w:i/>
                <w:snapToGrid w:val="0"/>
              </w:rPr>
            </w:pPr>
            <w:r>
              <w:rPr>
                <w:i/>
                <w:snapToGrid w:val="0"/>
              </w:rPr>
              <w:t>Courts Legislation Amendment and Repeal Act 2004</w:t>
            </w:r>
            <w:r>
              <w:rPr>
                <w:snapToGrid w:val="0"/>
              </w:rPr>
              <w:t xml:space="preserve"> s. 141</w:t>
            </w:r>
            <w:r>
              <w:rPr>
                <w:snapToGrid w:val="0"/>
                <w:vertAlign w:val="superscript"/>
              </w:rPr>
              <w:t> 11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 xml:space="preserve">Misuse of Drugs Amendment Act 2004 </w:t>
            </w:r>
            <w:r>
              <w:rPr>
                <w:snapToGrid w:val="0"/>
                <w:spacing w:val="-4"/>
              </w:rPr>
              <w:t>s. 9(1)</w:t>
            </w:r>
          </w:p>
        </w:tc>
        <w:tc>
          <w:tcPr>
            <w:tcW w:w="1134" w:type="dxa"/>
          </w:tcPr>
          <w:p>
            <w:pPr>
              <w:pStyle w:val="nTable"/>
              <w:spacing w:after="40"/>
            </w:pPr>
            <w:r>
              <w:rPr>
                <w:snapToGrid w:val="0"/>
              </w:rPr>
              <w:t>62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10 Dec 2004 p. 5965)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Criminal Procedure and Appeals (Consequential and Other Provisions) Act 2004</w:t>
            </w:r>
            <w:r>
              <w:rPr>
                <w:snapToGrid w:val="0"/>
              </w:rPr>
              <w:t xml:space="preserve"> Pt. 3 and s. 82 and 83</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pPr>
            <w:r>
              <w:rPr>
                <w:b/>
              </w:rPr>
              <w:t xml:space="preserve">Reprint 5: The </w:t>
            </w:r>
            <w:r>
              <w:rPr>
                <w:b/>
                <w:i/>
              </w:rPr>
              <w:t>Bail Act 1982</w:t>
            </w:r>
            <w:r>
              <w:rPr>
                <w:b/>
              </w:rPr>
              <w:t xml:space="preserve"> as at 1 Apr 2005</w:t>
            </w:r>
            <w:r>
              <w:t xml:space="preserve"> (includes amendments listed above except those in </w:t>
            </w:r>
            <w:r>
              <w:rPr>
                <w:snapToGrid w:val="0"/>
              </w:rPr>
              <w:t xml:space="preserve">the </w:t>
            </w:r>
            <w:r>
              <w:rPr>
                <w:i/>
              </w:rPr>
              <w:t>Sentencing Legislation Amendment Act 2004</w:t>
            </w:r>
            <w:r>
              <w:t xml:space="preserve">, </w:t>
            </w:r>
            <w:r>
              <w:rPr>
                <w:snapToGrid w:val="0"/>
              </w:rPr>
              <w:t xml:space="preserve">the </w:t>
            </w:r>
            <w:r>
              <w:rPr>
                <w:i/>
                <w:snapToGrid w:val="0"/>
              </w:rPr>
              <w:t>Children and Community Services Act 2004</w:t>
            </w:r>
            <w:r>
              <w:rPr>
                <w:snapToGrid w:val="0"/>
              </w:rPr>
              <w:t xml:space="preserve">, </w:t>
            </w:r>
            <w:r>
              <w:t xml:space="preserve">the </w:t>
            </w:r>
            <w:r>
              <w:rPr>
                <w:i/>
                <w:snapToGrid w:val="0"/>
              </w:rPr>
              <w:t>Acts Amendment (Court of Appeal) Act 2004</w:t>
            </w:r>
            <w:r>
              <w:rPr>
                <w:snapToGrid w:val="0"/>
              </w:rPr>
              <w:t xml:space="preserve"> s. 28(3) and (4) (the amendment to s. 7A(1)), </w:t>
            </w:r>
            <w:r>
              <w:t xml:space="preserve">the </w:t>
            </w:r>
            <w:r>
              <w:rPr>
                <w:i/>
                <w:snapToGrid w:val="0"/>
              </w:rPr>
              <w:t>Courts Legislation Amendment and Repeal Act 2004</w:t>
            </w:r>
            <w:r>
              <w:rPr>
                <w:snapToGrid w:val="0"/>
              </w:rPr>
              <w:t xml:space="preserve"> and the </w:t>
            </w:r>
            <w:r>
              <w:rPr>
                <w:i/>
                <w:snapToGrid w:val="0"/>
              </w:rPr>
              <w:t>Criminal Procedure and Appeals (Consequential and Other Provisions) Act 2004</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rPr>
            </w:pPr>
            <w:r>
              <w:rPr>
                <w:i/>
                <w:snapToGrid w:val="0"/>
              </w:rPr>
              <w:t>Planning and Development (Consequential and Transitional Provisions) Act 2005</w:t>
            </w:r>
            <w:r>
              <w:rPr>
                <w:snapToGrid w:val="0"/>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rPr>
                <w:snapToGrid w:val="0"/>
              </w:rPr>
              <w:t xml:space="preserve">9 Apr 2006 (see s. 2 and </w:t>
            </w:r>
            <w:r>
              <w:rPr>
                <w:i/>
                <w:snapToGrid w:val="0"/>
              </w:rPr>
              <w:t>Gazette</w:t>
            </w:r>
            <w:r>
              <w:rPr>
                <w:snapToGrid w:val="0"/>
              </w:rP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Criminal Investigation (Consequential Provisions) Act 2006</w:t>
            </w:r>
            <w:r>
              <w:rPr>
                <w:iCs/>
                <w:snapToGrid w:val="0"/>
              </w:rPr>
              <w:t xml:space="preserve"> Pt. 2</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Prisons and Sentencing Legislation Amendment Act 2006 </w:t>
            </w:r>
            <w:r>
              <w:rPr>
                <w:snapToGrid w:val="0"/>
              </w:rPr>
              <w:t>Pt. 5</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2" w:type="dxa"/>
          </w:tcPr>
          <w:p>
            <w:pPr>
              <w:pStyle w:val="nTable"/>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spacing w:val="-2"/>
              </w:rPr>
            </w:pPr>
            <w:r>
              <w:rPr>
                <w:b/>
              </w:rPr>
              <w:lastRenderedPageBreak/>
              <w:t xml:space="preserve">Reprint 6:  The </w:t>
            </w:r>
            <w:r>
              <w:rPr>
                <w:b/>
                <w:i/>
              </w:rPr>
              <w:t>Bail Act 1982</w:t>
            </w:r>
            <w:r>
              <w:rPr>
                <w:b/>
              </w:rPr>
              <w:t xml:space="preserve"> as at 14 Sep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Criminal Law and Evidence Amendment Act 2008</w:t>
            </w:r>
            <w:r>
              <w:rPr>
                <w:iCs/>
                <w:snapToGrid w:val="0"/>
              </w:rPr>
              <w:t xml:space="preserve"> s. 56</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rPr>
                <w:snapToGrid w:val="0"/>
              </w:rPr>
            </w:pPr>
            <w:r>
              <w:rPr>
                <w:snapToGrid w:val="0"/>
              </w:rPr>
              <w:t xml:space="preserve">27 Apr 2008 (see s. 2 and </w:t>
            </w:r>
            <w:r>
              <w:rPr>
                <w:i/>
                <w:iCs/>
                <w:snapToGrid w:val="0"/>
              </w:rPr>
              <w:t>Gazette</w:t>
            </w:r>
            <w:r>
              <w:rPr>
                <w:snapToGrid w:val="0"/>
              </w:rPr>
              <w:t> 24 Apr 2008 p. 1559)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Bail Amendment Act 2008</w:t>
            </w:r>
            <w:r>
              <w:rPr>
                <w:iCs/>
                <w:snapToGrid w:val="0"/>
              </w:rPr>
              <w:t xml:space="preserve"> Pt. 2 </w:t>
            </w:r>
            <w:r>
              <w:rPr>
                <w:iCs/>
                <w:snapToGrid w:val="0"/>
                <w:vertAlign w:val="superscript"/>
              </w:rPr>
              <w:t>12</w:t>
            </w:r>
          </w:p>
        </w:tc>
        <w:tc>
          <w:tcPr>
            <w:tcW w:w="1134" w:type="dxa"/>
          </w:tcPr>
          <w:p>
            <w:pPr>
              <w:pStyle w:val="nTable"/>
              <w:spacing w:after="40"/>
            </w:pPr>
            <w:r>
              <w:t>6 of 2008</w:t>
            </w:r>
          </w:p>
        </w:tc>
        <w:tc>
          <w:tcPr>
            <w:tcW w:w="1134" w:type="dxa"/>
          </w:tcPr>
          <w:p>
            <w:pPr>
              <w:pStyle w:val="nTable"/>
              <w:spacing w:after="40"/>
            </w:pPr>
            <w:r>
              <w:t>31 Mar 2008</w:t>
            </w:r>
          </w:p>
        </w:tc>
        <w:tc>
          <w:tcPr>
            <w:tcW w:w="2552" w:type="dxa"/>
          </w:tcPr>
          <w:p>
            <w:pPr>
              <w:pStyle w:val="nTable"/>
              <w:spacing w:after="40"/>
              <w:rPr>
                <w:snapToGrid w:val="0"/>
              </w:rPr>
            </w:pPr>
            <w:r>
              <w:rPr>
                <w:snapToGrid w:val="0"/>
              </w:rPr>
              <w:t xml:space="preserve">1 Mar 2009 (see s. 2(b) and </w:t>
            </w:r>
            <w:r>
              <w:rPr>
                <w:i/>
                <w:iCs/>
                <w:snapToGrid w:val="0"/>
              </w:rPr>
              <w:t>Gazette</w:t>
            </w:r>
            <w:r>
              <w:rPr>
                <w:snapToGrid w:val="0"/>
              </w:rPr>
              <w:t xml:space="preserve"> 27 Feb 2009 p. 511)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Medical Practitioners Act 2008</w:t>
            </w:r>
            <w:r>
              <w:rPr>
                <w:iCs/>
                <w:snapToGrid w:val="0"/>
              </w:rPr>
              <w:t xml:space="preserve"> Sch. 3 cl. 4 </w:t>
            </w:r>
          </w:p>
        </w:tc>
        <w:tc>
          <w:tcPr>
            <w:tcW w:w="1134" w:type="dxa"/>
          </w:tcPr>
          <w:p>
            <w:pPr>
              <w:pStyle w:val="nTable"/>
              <w:spacing w:after="40"/>
            </w:pPr>
            <w:r>
              <w:t>22 of 2008</w:t>
            </w:r>
          </w:p>
        </w:tc>
        <w:tc>
          <w:tcPr>
            <w:tcW w:w="1134" w:type="dxa"/>
          </w:tcPr>
          <w:p>
            <w:pPr>
              <w:pStyle w:val="nTable"/>
              <w:spacing w:after="40"/>
            </w:pPr>
            <w:r>
              <w:t>27 May 2008</w:t>
            </w:r>
          </w:p>
        </w:tc>
        <w:tc>
          <w:tcPr>
            <w:tcW w:w="2552" w:type="dxa"/>
          </w:tcPr>
          <w:p>
            <w:pPr>
              <w:pStyle w:val="nTable"/>
              <w:spacing w:after="40"/>
              <w:rPr>
                <w:snapToGrid w:val="0"/>
              </w:rPr>
            </w:pPr>
            <w:r>
              <w:t xml:space="preserve">1 Dec 2008 (see s. 2 and </w:t>
            </w:r>
            <w:r>
              <w:rPr>
                <w:i/>
                <w:iCs/>
              </w:rPr>
              <w:t xml:space="preserve">Gazette </w:t>
            </w:r>
            <w:r>
              <w:t>25 Nov 2008 p. 4989)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Law Amendment (Homicide) Act 2008 </w:t>
            </w:r>
            <w:r>
              <w:rPr>
                <w:iCs/>
                <w:snapToGrid w:val="0"/>
              </w:rPr>
              <w:t>s. 24</w:t>
            </w:r>
          </w:p>
        </w:tc>
        <w:tc>
          <w:tcPr>
            <w:tcW w:w="1134" w:type="dxa"/>
          </w:tcPr>
          <w:p>
            <w:pPr>
              <w:pStyle w:val="nTable"/>
              <w:spacing w:after="40"/>
            </w:pPr>
            <w:r>
              <w:t>29 of 2008</w:t>
            </w:r>
          </w:p>
        </w:tc>
        <w:tc>
          <w:tcPr>
            <w:tcW w:w="1134" w:type="dxa"/>
          </w:tcPr>
          <w:p>
            <w:pPr>
              <w:pStyle w:val="nTable"/>
              <w:spacing w:after="40"/>
            </w:pPr>
            <w:r>
              <w:t>27 Jun 2008</w:t>
            </w:r>
          </w:p>
        </w:tc>
        <w:tc>
          <w:tcPr>
            <w:tcW w:w="2552" w:type="dxa"/>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9" w:type="dxa"/>
            <w:gridSpan w:val="4"/>
          </w:tcPr>
          <w:p>
            <w:pPr>
              <w:pStyle w:val="nTable"/>
              <w:spacing w:after="40"/>
              <w:rPr>
                <w:snapToGrid w:val="0"/>
              </w:rPr>
            </w:pPr>
            <w:r>
              <w:rPr>
                <w:b/>
              </w:rPr>
              <w:t xml:space="preserve">Reprint 7:  The </w:t>
            </w:r>
            <w:r>
              <w:rPr>
                <w:b/>
                <w:i/>
              </w:rPr>
              <w:t>Bail Act 1982</w:t>
            </w:r>
            <w:r>
              <w:rPr>
                <w:b/>
              </w:rPr>
              <w:t xml:space="preserve"> as at 6 Mar 2009 </w:t>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Police Amendment Act 2009</w:t>
            </w:r>
            <w:r>
              <w:rPr>
                <w:iCs/>
                <w:snapToGrid w:val="0"/>
              </w:rPr>
              <w:t xml:space="preserve"> s. 12</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rPr>
                <w:snapToGrid w:val="0"/>
              </w:rPr>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Health Practitioner Regulation National Law (WA) Act 2010 </w:t>
            </w:r>
            <w:r>
              <w:rPr>
                <w:iCs/>
                <w:snapToGrid w:val="0"/>
              </w:rPr>
              <w:t>Pt. 5 Div. 4</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2"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Electronic Transactions Act 2011</w:t>
            </w:r>
            <w:r>
              <w:rPr>
                <w:snapToGrid w:val="0"/>
              </w:rPr>
              <w:t xml:space="preserve"> s. 25</w:t>
            </w:r>
          </w:p>
        </w:tc>
        <w:tc>
          <w:tcPr>
            <w:tcW w:w="1134" w:type="dxa"/>
          </w:tcPr>
          <w:p>
            <w:pPr>
              <w:pStyle w:val="nTable"/>
              <w:spacing w:after="40"/>
              <w:rPr>
                <w:snapToGrid w:val="0"/>
              </w:rPr>
            </w:pPr>
            <w:r>
              <w:rPr>
                <w:snapToGrid w:val="0"/>
              </w:rPr>
              <w:t>46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 xml:space="preserve">1 Aug 2012 (see s. 2(c)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snapToGrid w:val="0"/>
              </w:rPr>
            </w:pPr>
            <w:r>
              <w:rPr>
                <w:i/>
                <w:snapToGrid w:val="0"/>
              </w:rPr>
              <w:t>Statutes (Repeals and Minor Amendments) Act 2011</w:t>
            </w:r>
            <w:r>
              <w:rPr>
                <w:snapToGrid w:val="0"/>
              </w:rPr>
              <w:t xml:space="preserve"> s. 19</w:t>
            </w:r>
          </w:p>
        </w:tc>
        <w:tc>
          <w:tcPr>
            <w:tcW w:w="1134" w:type="dxa"/>
          </w:tcPr>
          <w:p>
            <w:pPr>
              <w:pStyle w:val="nTable"/>
              <w:spacing w:after="40"/>
              <w:rPr>
                <w:snapToGrid w:val="0"/>
              </w:rPr>
            </w:pPr>
            <w:r>
              <w:rPr>
                <w:snapToGrid w:val="0"/>
              </w:rPr>
              <w:t>47 of 2011</w:t>
            </w:r>
          </w:p>
        </w:tc>
        <w:tc>
          <w:tcPr>
            <w:tcW w:w="1134" w:type="dxa"/>
          </w:tcPr>
          <w:p>
            <w:pPr>
              <w:pStyle w:val="nTable"/>
              <w:spacing w:after="40"/>
              <w:rPr>
                <w:snapToGrid w:val="0"/>
              </w:rPr>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Misuse of Drugs Amendment Act 2011</w:t>
            </w:r>
            <w:r>
              <w:rPr>
                <w:snapToGrid w:val="0"/>
              </w:rPr>
              <w:t xml:space="preserve"> Pt. 3</w:t>
            </w:r>
          </w:p>
        </w:tc>
        <w:tc>
          <w:tcPr>
            <w:tcW w:w="1134" w:type="dxa"/>
          </w:tcPr>
          <w:p>
            <w:pPr>
              <w:pStyle w:val="nTable"/>
              <w:spacing w:after="40"/>
              <w:rPr>
                <w:snapToGrid w:val="0"/>
              </w:rPr>
            </w:pPr>
            <w:r>
              <w:rPr>
                <w:snapToGrid w:val="0"/>
              </w:rPr>
              <w:t>56 of 2011</w:t>
            </w:r>
          </w:p>
        </w:tc>
        <w:tc>
          <w:tcPr>
            <w:tcW w:w="1134" w:type="dxa"/>
          </w:tcPr>
          <w:p>
            <w:pPr>
              <w:pStyle w:val="nTable"/>
              <w:spacing w:after="40"/>
              <w:rPr>
                <w:snapToGrid w:val="0"/>
              </w:rPr>
            </w:pPr>
            <w:r>
              <w:rPr>
                <w:snapToGrid w:val="0"/>
              </w:rPr>
              <w:t>21 Nov 2011</w:t>
            </w:r>
          </w:p>
        </w:tc>
        <w:tc>
          <w:tcPr>
            <w:tcW w:w="2552" w:type="dxa"/>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rPr>
              <w:t xml:space="preserve">Reprint 8:  The </w:t>
            </w:r>
            <w:r>
              <w:rPr>
                <w:b/>
                <w:i/>
              </w:rPr>
              <w:t>Bail Act 1982</w:t>
            </w:r>
            <w:r>
              <w:rPr>
                <w:b/>
              </w:rPr>
              <w:t xml:space="preserve"> as at 6 Jul 2012 </w:t>
            </w:r>
            <w:r>
              <w:t xml:space="preserve">(includes amendments listed above except those in the </w:t>
            </w:r>
            <w:r>
              <w:rPr>
                <w:i/>
                <w:snapToGrid w:val="0"/>
              </w:rPr>
              <w:t>Electronic Transactions Act 2011</w:t>
            </w:r>
            <w:r>
              <w:t>)</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
                <w:snapToGrid w:val="0"/>
              </w:rPr>
            </w:pPr>
            <w:r>
              <w:rPr>
                <w:i/>
                <w:snapToGrid w:val="0"/>
              </w:rPr>
              <w:t xml:space="preserve">Criminal Organisations Control Act 2012 </w:t>
            </w:r>
            <w:r>
              <w:rPr>
                <w:snapToGrid w:val="0"/>
              </w:rPr>
              <w:t>s. 172</w:t>
            </w:r>
          </w:p>
        </w:tc>
        <w:tc>
          <w:tcPr>
            <w:tcW w:w="1134" w:type="dxa"/>
          </w:tcPr>
          <w:p>
            <w:pPr>
              <w:pStyle w:val="nTable"/>
              <w:spacing w:after="40"/>
              <w:rPr>
                <w:snapToGrid w:val="0"/>
              </w:rPr>
            </w:pPr>
            <w:r>
              <w:rPr>
                <w:snapToGrid w:val="0"/>
              </w:rPr>
              <w:t>49 of 2012</w:t>
            </w:r>
          </w:p>
        </w:tc>
        <w:tc>
          <w:tcPr>
            <w:tcW w:w="1134" w:type="dxa"/>
          </w:tcPr>
          <w:p>
            <w:pPr>
              <w:pStyle w:val="nTable"/>
              <w:spacing w:after="40"/>
              <w:rPr>
                <w:snapToGrid w:val="0"/>
              </w:rPr>
            </w:pPr>
            <w:r>
              <w:t>29 Nov 2012</w:t>
            </w:r>
          </w:p>
        </w:tc>
        <w:tc>
          <w:tcPr>
            <w:tcW w:w="2552" w:type="dxa"/>
          </w:tcPr>
          <w:p>
            <w:pPr>
              <w:pStyle w:val="nTable"/>
              <w:spacing w:after="40"/>
              <w:rPr>
                <w:snapToGrid w:val="0"/>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9" w:type="dxa"/>
            <w:shd w:val="clear" w:color="auto" w:fill="auto"/>
          </w:tcPr>
          <w:p>
            <w:pPr>
              <w:pStyle w:val="nTable"/>
              <w:spacing w:after="40"/>
            </w:pPr>
            <w:r>
              <w:rPr>
                <w:i/>
                <w:snapToGrid w:val="0"/>
              </w:rPr>
              <w:t xml:space="preserve">Courts and Tribunals (Electronic Processes Facilitation) Act 2013 </w:t>
            </w:r>
            <w:r>
              <w:t>Pt. 3 Div. 1 (s. 21-31)</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Pt. 3 Div. 1 (other than s. 22, 23, 25 and 27</w:t>
            </w:r>
            <w:r>
              <w:rPr>
                <w:snapToGrid w:val="0"/>
              </w:rPr>
              <w:noBreakHyphen/>
              <w:t xml:space="preserve">30): 25 Nov 2013 (see s. 2(b) and </w:t>
            </w:r>
            <w:r>
              <w:rPr>
                <w:i/>
                <w:snapToGrid w:val="0"/>
              </w:rPr>
              <w:t xml:space="preserve">Gazette </w:t>
            </w:r>
            <w:r>
              <w:rPr>
                <w:snapToGrid w:val="0"/>
              </w:rPr>
              <w:t>22 Nov 2013 p. 5391);</w:t>
            </w:r>
            <w:r>
              <w:rPr>
                <w:snapToGrid w:val="0"/>
              </w:rPr>
              <w:br/>
              <w:t>s. 22, 23, 25 and 27</w:t>
            </w:r>
            <w:r>
              <w:rPr>
                <w:snapToGrid w:val="0"/>
              </w:rPr>
              <w:noBreakHyphen/>
              <w:t xml:space="preserve">30: 13 Sep 2014 (see s. 2(b) and </w:t>
            </w:r>
            <w:r>
              <w:rPr>
                <w:i/>
                <w:snapToGrid w:val="0"/>
              </w:rPr>
              <w:t>Gazette</w:t>
            </w:r>
            <w:r>
              <w:rPr>
                <w:snapToGrid w:val="0"/>
              </w:rPr>
              <w:t xml:space="preserve"> 12 Sep 2014 p. 3279)</w:t>
            </w:r>
          </w:p>
        </w:tc>
      </w:tr>
      <w:tr>
        <w:tblPrEx>
          <w:tblBorders>
            <w:top w:val="none" w:sz="0" w:space="0" w:color="auto"/>
            <w:bottom w:val="none" w:sz="0" w:space="0" w:color="auto"/>
            <w:insideH w:val="none" w:sz="0" w:space="0" w:color="auto"/>
          </w:tblBorders>
        </w:tblPrEx>
        <w:trPr>
          <w:cantSplit/>
        </w:trPr>
        <w:tc>
          <w:tcPr>
            <w:tcW w:w="7089" w:type="dxa"/>
            <w:gridSpan w:val="4"/>
            <w:shd w:val="clear" w:color="auto" w:fill="auto"/>
          </w:tcPr>
          <w:p>
            <w:pPr>
              <w:pStyle w:val="nTable"/>
              <w:spacing w:after="40"/>
              <w:rPr>
                <w:snapToGrid w:val="0"/>
              </w:rPr>
            </w:pPr>
            <w:r>
              <w:rPr>
                <w:b/>
                <w:snapToGrid w:val="0"/>
              </w:rPr>
              <w:t xml:space="preserve">Reprint 9: The </w:t>
            </w:r>
            <w:r>
              <w:rPr>
                <w:b/>
                <w:i/>
                <w:noProof/>
                <w:snapToGrid w:val="0"/>
              </w:rPr>
              <w:t>Bail Act 1982</w:t>
            </w:r>
            <w:r>
              <w:rPr>
                <w:b/>
                <w:snapToGrid w:val="0"/>
              </w:rPr>
              <w:t xml:space="preserve"> as at 1 May 2015</w:t>
            </w:r>
            <w:r>
              <w:rPr>
                <w:snapToGrid w:val="0"/>
              </w:rPr>
              <w:t xml:space="preserve"> (includes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tcBorders>
            <w:shd w:val="clear" w:color="auto" w:fill="auto"/>
          </w:tcPr>
          <w:p>
            <w:pPr>
              <w:pStyle w:val="nTable"/>
              <w:spacing w:after="40"/>
              <w:rPr>
                <w:vertAlign w:val="superscript"/>
              </w:rPr>
            </w:pPr>
            <w:r>
              <w:rPr>
                <w:i/>
              </w:rPr>
              <w:t>Mental Health Legislation Amendment Act 2014</w:t>
            </w:r>
            <w:r>
              <w:t xml:space="preserve"> Pt. 4 Div. 4 Subdiv. 2</w:t>
            </w:r>
          </w:p>
        </w:tc>
        <w:tc>
          <w:tcPr>
            <w:tcW w:w="1134" w:type="dxa"/>
            <w:tcBorders>
              <w:top w:val="nil"/>
              <w:bottom w:val="nil"/>
            </w:tcBorders>
            <w:shd w:val="clear" w:color="auto" w:fill="auto"/>
          </w:tcPr>
          <w:p>
            <w:pPr>
              <w:pStyle w:val="nTable"/>
              <w:spacing w:after="40"/>
              <w:rPr>
                <w:snapToGrid w:val="0"/>
              </w:rPr>
            </w:pPr>
            <w:r>
              <w:rPr>
                <w:snapToGrid w:val="0"/>
              </w:rPr>
              <w:t>25 of 2014</w:t>
            </w:r>
          </w:p>
        </w:tc>
        <w:tc>
          <w:tcPr>
            <w:tcW w:w="1134" w:type="dxa"/>
            <w:tcBorders>
              <w:top w:val="nil"/>
              <w:bottom w:val="nil"/>
            </w:tcBorders>
            <w:shd w:val="clear" w:color="auto" w:fill="auto"/>
          </w:tcPr>
          <w:p>
            <w:pPr>
              <w:pStyle w:val="nTable"/>
              <w:spacing w:after="40"/>
              <w:rPr>
                <w:snapToGrid w:val="0"/>
              </w:rPr>
            </w:pPr>
            <w:r>
              <w:t>3 Nov 2014</w:t>
            </w:r>
          </w:p>
        </w:tc>
        <w:tc>
          <w:tcPr>
            <w:tcW w:w="2552" w:type="dxa"/>
            <w:tcBorders>
              <w:top w:val="nil"/>
              <w:bottom w:val="nil"/>
            </w:tcBorders>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2014 p. 4632)</w:t>
            </w:r>
          </w:p>
        </w:tc>
      </w:tr>
      <w:tr>
        <w:tblPrEx>
          <w:tblBorders>
            <w:top w:val="single" w:sz="4" w:space="0" w:color="auto"/>
            <w:bottom w:val="single" w:sz="4" w:space="0" w:color="auto"/>
            <w:insideH w:val="single" w:sz="4" w:space="0" w:color="auto"/>
          </w:tblBorders>
          <w:tblCellMar>
            <w:left w:w="57" w:type="dxa"/>
            <w:right w:w="57" w:type="dxa"/>
          </w:tblCellMar>
        </w:tblPrEx>
        <w:tc>
          <w:tcPr>
            <w:tcW w:w="2269" w:type="dxa"/>
            <w:tcBorders>
              <w:top w:val="nil"/>
              <w:bottom w:val="nil"/>
              <w:right w:val="nil"/>
            </w:tcBorders>
            <w:shd w:val="clear" w:color="auto" w:fill="auto"/>
          </w:tcPr>
          <w:p>
            <w:pPr>
              <w:pStyle w:val="nTable"/>
              <w:keepNext/>
              <w:spacing w:after="40"/>
              <w:rPr>
                <w:i/>
              </w:rPr>
            </w:pPr>
            <w:r>
              <w:rPr>
                <w:i/>
              </w:rPr>
              <w:lastRenderedPageBreak/>
              <w:t xml:space="preserve">Restraining Orders and Related Legislation Amendment (Family Violence) Act 2016 </w:t>
            </w:r>
            <w:r>
              <w:t>Pt. 3 Div. 1</w:t>
            </w:r>
          </w:p>
        </w:tc>
        <w:tc>
          <w:tcPr>
            <w:tcW w:w="1134" w:type="dxa"/>
            <w:tcBorders>
              <w:top w:val="nil"/>
              <w:left w:val="nil"/>
              <w:bottom w:val="nil"/>
              <w:right w:val="nil"/>
            </w:tcBorders>
            <w:shd w:val="clear" w:color="auto" w:fill="auto"/>
          </w:tcPr>
          <w:p>
            <w:pPr>
              <w:pStyle w:val="nTable"/>
              <w:keepNext/>
              <w:spacing w:after="40"/>
              <w:rPr>
                <w:snapToGrid w:val="0"/>
              </w:rPr>
            </w:pPr>
            <w:r>
              <w:rPr>
                <w:snapToGrid w:val="0"/>
              </w:rPr>
              <w:t>49 of 2016</w:t>
            </w:r>
          </w:p>
        </w:tc>
        <w:tc>
          <w:tcPr>
            <w:tcW w:w="1134" w:type="dxa"/>
            <w:tcBorders>
              <w:top w:val="nil"/>
              <w:left w:val="nil"/>
              <w:bottom w:val="nil"/>
              <w:right w:val="nil"/>
            </w:tcBorders>
            <w:shd w:val="clear" w:color="auto" w:fill="auto"/>
          </w:tcPr>
          <w:p>
            <w:pPr>
              <w:pStyle w:val="nTable"/>
              <w:keepNext/>
              <w:spacing w:after="40"/>
            </w:pPr>
            <w:r>
              <w:t>29 Nov 2016</w:t>
            </w:r>
          </w:p>
        </w:tc>
        <w:tc>
          <w:tcPr>
            <w:tcW w:w="2552" w:type="dxa"/>
            <w:tcBorders>
              <w:top w:val="nil"/>
              <w:left w:val="nil"/>
              <w:bottom w:val="nil"/>
            </w:tcBorders>
            <w:shd w:val="clear" w:color="auto" w:fill="auto"/>
          </w:tcPr>
          <w:p>
            <w:pPr>
              <w:pStyle w:val="nTable"/>
              <w:keepNext/>
              <w:spacing w:after="40"/>
              <w:rPr>
                <w:snapToGrid w:val="0"/>
              </w:rPr>
            </w:pPr>
            <w:r>
              <w:rPr>
                <w:snapToGrid w:val="0"/>
              </w:rPr>
              <w:t xml:space="preserve">1 Jul 2017 (see s. 2(b) and </w:t>
            </w:r>
            <w:r>
              <w:rPr>
                <w:i/>
                <w:snapToGrid w:val="0"/>
              </w:rPr>
              <w:t>Gazette</w:t>
            </w:r>
            <w:r>
              <w:rPr>
                <w:snapToGrid w:val="0"/>
              </w:rPr>
              <w:t xml:space="preserve"> 7 Feb 2017 p. 1157)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Dangerous Sexual Offenders Legislation Amendment Act 2017</w:t>
            </w:r>
            <w:r>
              <w:t xml:space="preserve"> Pt. 2</w:t>
            </w:r>
          </w:p>
        </w:tc>
        <w:tc>
          <w:tcPr>
            <w:tcW w:w="1134" w:type="dxa"/>
            <w:tcBorders>
              <w:top w:val="nil"/>
              <w:left w:val="nil"/>
              <w:bottom w:val="nil"/>
              <w:right w:val="nil"/>
            </w:tcBorders>
            <w:shd w:val="clear" w:color="auto" w:fill="auto"/>
          </w:tcPr>
          <w:p>
            <w:pPr>
              <w:pStyle w:val="nTable"/>
              <w:spacing w:after="40"/>
              <w:rPr>
                <w:snapToGrid w:val="0"/>
              </w:rPr>
            </w:pPr>
            <w:r>
              <w:t>21 of 2017</w:t>
            </w:r>
          </w:p>
        </w:tc>
        <w:tc>
          <w:tcPr>
            <w:tcW w:w="1134" w:type="dxa"/>
            <w:tcBorders>
              <w:top w:val="nil"/>
              <w:left w:val="nil"/>
              <w:bottom w:val="nil"/>
              <w:right w:val="nil"/>
            </w:tcBorders>
            <w:shd w:val="clear" w:color="auto" w:fill="auto"/>
          </w:tcPr>
          <w:p>
            <w:pPr>
              <w:pStyle w:val="nTable"/>
              <w:spacing w:after="40"/>
            </w:pPr>
            <w:r>
              <w:t>13 Dec 2017</w:t>
            </w:r>
          </w:p>
        </w:tc>
        <w:tc>
          <w:tcPr>
            <w:tcW w:w="2552" w:type="dxa"/>
            <w:tcBorders>
              <w:top w:val="nil"/>
              <w:left w:val="nil"/>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Bail Amendment (Persons Linked to Terrorism) Act 2019</w:t>
            </w:r>
            <w:r>
              <w:t xml:space="preserve"> </w:t>
            </w:r>
          </w:p>
        </w:tc>
        <w:tc>
          <w:tcPr>
            <w:tcW w:w="1134" w:type="dxa"/>
            <w:tcBorders>
              <w:top w:val="nil"/>
              <w:left w:val="nil"/>
              <w:bottom w:val="nil"/>
              <w:right w:val="nil"/>
            </w:tcBorders>
            <w:shd w:val="clear" w:color="auto" w:fill="auto"/>
          </w:tcPr>
          <w:p>
            <w:pPr>
              <w:pStyle w:val="nTable"/>
              <w:spacing w:after="40"/>
            </w:pPr>
            <w:r>
              <w:t>15 of 2019</w:t>
            </w:r>
          </w:p>
        </w:tc>
        <w:tc>
          <w:tcPr>
            <w:tcW w:w="1134" w:type="dxa"/>
            <w:tcBorders>
              <w:top w:val="nil"/>
              <w:left w:val="nil"/>
              <w:bottom w:val="nil"/>
              <w:right w:val="nil"/>
            </w:tcBorders>
            <w:shd w:val="clear" w:color="auto" w:fill="auto"/>
          </w:tcPr>
          <w:p>
            <w:pPr>
              <w:pStyle w:val="nTable"/>
              <w:spacing w:after="40"/>
            </w:pPr>
            <w:r>
              <w:t>5 Jul 2019</w:t>
            </w:r>
          </w:p>
        </w:tc>
        <w:tc>
          <w:tcPr>
            <w:tcW w:w="2552" w:type="dxa"/>
            <w:tcBorders>
              <w:top w:val="nil"/>
              <w:left w:val="nil"/>
              <w:bottom w:val="nil"/>
            </w:tcBorders>
            <w:shd w:val="clear" w:color="auto" w:fill="auto"/>
          </w:tcPr>
          <w:p>
            <w:pPr>
              <w:pStyle w:val="nTable"/>
              <w:spacing w:after="40"/>
            </w:pPr>
            <w:r>
              <w:t>s. 1 and 2: 5 Jul 2019 (see s. 2(a));</w:t>
            </w:r>
            <w:r>
              <w:br/>
              <w:t xml:space="preserve">Act other than s. 1 and 2: 1 Jan 2020 (see 2(b) and </w:t>
            </w:r>
            <w:r>
              <w:rPr>
                <w:i/>
              </w:rPr>
              <w:t>Gazette</w:t>
            </w:r>
            <w:r>
              <w:t xml:space="preserve"> 15 Nov 2019 p. 4029)</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pPr>
            <w:r>
              <w:rPr>
                <w:i/>
              </w:rPr>
              <w:t>Family Violence Legislation Reform (COVID-19 Response) Act 2020</w:t>
            </w:r>
            <w:r>
              <w:t xml:space="preserve"> Pt. 4</w:t>
            </w:r>
          </w:p>
        </w:tc>
        <w:tc>
          <w:tcPr>
            <w:tcW w:w="1134" w:type="dxa"/>
            <w:tcBorders>
              <w:top w:val="nil"/>
              <w:left w:val="nil"/>
              <w:bottom w:val="nil"/>
              <w:right w:val="nil"/>
            </w:tcBorders>
            <w:shd w:val="clear" w:color="auto" w:fill="auto"/>
          </w:tcPr>
          <w:p>
            <w:pPr>
              <w:pStyle w:val="nTable"/>
              <w:spacing w:after="40"/>
            </w:pPr>
            <w:r>
              <w:t>13 of 2020</w:t>
            </w:r>
          </w:p>
        </w:tc>
        <w:tc>
          <w:tcPr>
            <w:tcW w:w="1134" w:type="dxa"/>
            <w:tcBorders>
              <w:top w:val="nil"/>
              <w:left w:val="nil"/>
              <w:bottom w:val="nil"/>
              <w:right w:val="nil"/>
            </w:tcBorders>
            <w:shd w:val="clear" w:color="auto" w:fill="auto"/>
          </w:tcPr>
          <w:p>
            <w:pPr>
              <w:pStyle w:val="nTable"/>
              <w:spacing w:after="40"/>
            </w:pPr>
            <w:r>
              <w:t>6 Apr 2020</w:t>
            </w:r>
          </w:p>
        </w:tc>
        <w:tc>
          <w:tcPr>
            <w:tcW w:w="2552" w:type="dxa"/>
            <w:tcBorders>
              <w:top w:val="nil"/>
              <w:left w:val="nil"/>
              <w:bottom w:val="nil"/>
            </w:tcBorders>
            <w:shd w:val="clear" w:color="auto" w:fill="auto"/>
          </w:tcPr>
          <w:p>
            <w:pPr>
              <w:pStyle w:val="nTable"/>
              <w:spacing w:after="40"/>
            </w:pPr>
            <w:r>
              <w:t>7 Apr 2020 (see s. 2(b))</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High Risk Serious Offenders Act 2020</w:t>
            </w:r>
            <w:r>
              <w:t xml:space="preserve"> s. 117</w:t>
            </w:r>
          </w:p>
        </w:tc>
        <w:tc>
          <w:tcPr>
            <w:tcW w:w="1134" w:type="dxa"/>
            <w:tcBorders>
              <w:top w:val="nil"/>
              <w:left w:val="nil"/>
              <w:bottom w:val="nil"/>
              <w:right w:val="nil"/>
            </w:tcBorders>
            <w:shd w:val="clear" w:color="auto" w:fill="auto"/>
          </w:tcPr>
          <w:p>
            <w:pPr>
              <w:pStyle w:val="nTable"/>
              <w:spacing w:after="40"/>
            </w:pPr>
            <w:r>
              <w:t>29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26 Aug 2020 (see s. 2(1)(c) and SL 2020/131 cl. 2)</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nil"/>
              <w:right w:val="nil"/>
            </w:tcBorders>
            <w:shd w:val="clear" w:color="auto" w:fill="auto"/>
          </w:tcPr>
          <w:p>
            <w:pPr>
              <w:pStyle w:val="nTable"/>
              <w:spacing w:after="40"/>
              <w:rPr>
                <w:i/>
              </w:rPr>
            </w:pPr>
            <w:r>
              <w:rPr>
                <w:i/>
              </w:rPr>
              <w:t>Family Violence Legislation Reform Act 2020</w:t>
            </w:r>
            <w:r>
              <w:t xml:space="preserve"> Pt. 5</w:t>
            </w:r>
          </w:p>
        </w:tc>
        <w:tc>
          <w:tcPr>
            <w:tcW w:w="1134" w:type="dxa"/>
            <w:tcBorders>
              <w:top w:val="nil"/>
              <w:left w:val="nil"/>
              <w:bottom w:val="nil"/>
              <w:right w:val="nil"/>
            </w:tcBorders>
            <w:shd w:val="clear" w:color="auto" w:fill="auto"/>
          </w:tcPr>
          <w:p>
            <w:pPr>
              <w:pStyle w:val="nTable"/>
              <w:spacing w:after="40"/>
            </w:pPr>
            <w:r>
              <w:t>30 of 2020</w:t>
            </w:r>
          </w:p>
        </w:tc>
        <w:tc>
          <w:tcPr>
            <w:tcW w:w="1134" w:type="dxa"/>
            <w:tcBorders>
              <w:top w:val="nil"/>
              <w:left w:val="nil"/>
              <w:bottom w:val="nil"/>
              <w:right w:val="nil"/>
            </w:tcBorders>
            <w:shd w:val="clear" w:color="auto" w:fill="auto"/>
          </w:tcPr>
          <w:p>
            <w:pPr>
              <w:pStyle w:val="nTable"/>
              <w:spacing w:after="40"/>
            </w:pPr>
            <w:r>
              <w:t>9 Jul 2020</w:t>
            </w:r>
          </w:p>
        </w:tc>
        <w:tc>
          <w:tcPr>
            <w:tcW w:w="2552" w:type="dxa"/>
            <w:tcBorders>
              <w:top w:val="nil"/>
              <w:left w:val="nil"/>
              <w:bottom w:val="nil"/>
            </w:tcBorders>
            <w:shd w:val="clear" w:color="auto" w:fill="auto"/>
          </w:tcPr>
          <w:p>
            <w:pPr>
              <w:pStyle w:val="nTable"/>
              <w:spacing w:after="40"/>
            </w:pPr>
            <w:r>
              <w:t>s. 38, 42, 44, 45 and 49: 6 Aug 2020 (see s. 2(1)(c) and SL 2020/125 cl. 2(a)(iii));</w:t>
            </w:r>
            <w:r>
              <w:br/>
              <w:t>s. 50: 1 Oct 2020 (see s. 2(1)(c) and SL 2020/125 cl. 2(b)(i));</w:t>
            </w:r>
            <w:r>
              <w:br/>
              <w:t>s. 39-41, 43 and 46-48: 1 Jan 2021 (see s. 2(1)(c) and SL 2020/125 cl. 2(c)(iii))</w:t>
            </w:r>
          </w:p>
        </w:tc>
      </w:tr>
      <w:tr>
        <w:tblPrEx>
          <w:tblBorders>
            <w:top w:val="single" w:sz="4" w:space="0" w:color="auto"/>
            <w:bottom w:val="single" w:sz="4" w:space="0" w:color="auto"/>
            <w:insideH w:val="single" w:sz="4" w:space="0" w:color="auto"/>
          </w:tblBorders>
          <w:tblCellMar>
            <w:left w:w="57" w:type="dxa"/>
            <w:right w:w="57" w:type="dxa"/>
          </w:tblCellMar>
        </w:tblPrEx>
        <w:trPr>
          <w:cantSplit/>
        </w:trPr>
        <w:tc>
          <w:tcPr>
            <w:tcW w:w="2269" w:type="dxa"/>
            <w:tcBorders>
              <w:top w:val="nil"/>
              <w:bottom w:val="single" w:sz="8" w:space="0" w:color="auto"/>
              <w:right w:val="nil"/>
            </w:tcBorders>
            <w:shd w:val="clear" w:color="auto" w:fill="auto"/>
          </w:tcPr>
          <w:p>
            <w:pPr>
              <w:pStyle w:val="nTable"/>
              <w:spacing w:after="40"/>
            </w:pPr>
            <w:r>
              <w:rPr>
                <w:i/>
              </w:rPr>
              <w:t>COVID-19 Response and Economic Recovery Omnibus Act 2020</w:t>
            </w:r>
            <w:r>
              <w:t xml:space="preserve"> Pt. 6 Div. 1</w:t>
            </w:r>
          </w:p>
        </w:tc>
        <w:tc>
          <w:tcPr>
            <w:tcW w:w="1134" w:type="dxa"/>
            <w:tcBorders>
              <w:top w:val="nil"/>
              <w:left w:val="nil"/>
              <w:bottom w:val="single" w:sz="8" w:space="0" w:color="auto"/>
              <w:right w:val="nil"/>
            </w:tcBorders>
            <w:shd w:val="clear" w:color="auto" w:fill="auto"/>
          </w:tcPr>
          <w:p>
            <w:pPr>
              <w:pStyle w:val="nTable"/>
              <w:spacing w:after="40"/>
            </w:pPr>
            <w:r>
              <w:t>34 of 2020</w:t>
            </w:r>
          </w:p>
        </w:tc>
        <w:tc>
          <w:tcPr>
            <w:tcW w:w="1134" w:type="dxa"/>
            <w:tcBorders>
              <w:top w:val="nil"/>
              <w:left w:val="nil"/>
              <w:bottom w:val="single" w:sz="8" w:space="0" w:color="auto"/>
              <w:right w:val="nil"/>
            </w:tcBorders>
            <w:shd w:val="clear" w:color="auto" w:fill="auto"/>
          </w:tcPr>
          <w:p>
            <w:pPr>
              <w:pStyle w:val="nTable"/>
              <w:spacing w:after="40"/>
            </w:pPr>
            <w:r>
              <w:t>11 Sep 2020</w:t>
            </w:r>
          </w:p>
        </w:tc>
        <w:tc>
          <w:tcPr>
            <w:tcW w:w="2552" w:type="dxa"/>
            <w:tcBorders>
              <w:top w:val="nil"/>
              <w:left w:val="nil"/>
              <w:bottom w:val="single" w:sz="8" w:space="0" w:color="auto"/>
            </w:tcBorders>
            <w:shd w:val="clear" w:color="auto" w:fill="auto"/>
          </w:tcPr>
          <w:p>
            <w:pPr>
              <w:pStyle w:val="nTable"/>
              <w:spacing w:after="40"/>
            </w:pPr>
            <w:r>
              <w:t>12 Sep 2020 (see s. 2(b))</w:t>
            </w:r>
          </w:p>
        </w:tc>
      </w:tr>
    </w:tbl>
    <w:p>
      <w:pPr>
        <w:pStyle w:val="nHeading3"/>
      </w:pPr>
      <w:bookmarkStart w:id="171" w:name="_Toc106977915"/>
      <w:bookmarkStart w:id="172" w:name="_Toc106980769"/>
      <w:r>
        <w:t>Uncommenced provisions table</w:t>
      </w:r>
      <w:bookmarkEnd w:id="171"/>
      <w:bookmarkEnd w:id="172"/>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Criminal Appeals Amendment Act 2022</w:t>
            </w:r>
            <w:r>
              <w:t xml:space="preserve"> Pt. 3 Div. 1</w:t>
            </w:r>
          </w:p>
        </w:tc>
        <w:tc>
          <w:tcPr>
            <w:tcW w:w="1134" w:type="dxa"/>
          </w:tcPr>
          <w:p>
            <w:pPr>
              <w:pStyle w:val="nTable"/>
              <w:spacing w:after="40"/>
            </w:pPr>
            <w:r>
              <w:t>18 of 2022</w:t>
            </w:r>
          </w:p>
        </w:tc>
        <w:tc>
          <w:tcPr>
            <w:tcW w:w="1134" w:type="dxa"/>
          </w:tcPr>
          <w:p>
            <w:pPr>
              <w:pStyle w:val="nTable"/>
              <w:spacing w:after="40"/>
            </w:pPr>
            <w:r>
              <w:t>24 Jun 2022</w:t>
            </w:r>
          </w:p>
        </w:tc>
        <w:tc>
          <w:tcPr>
            <w:tcW w:w="2552" w:type="dxa"/>
          </w:tcPr>
          <w:p>
            <w:pPr>
              <w:pStyle w:val="nTable"/>
              <w:spacing w:after="40"/>
            </w:pPr>
            <w:r>
              <w:t>To be proclaimed (see s. 2(b))</w:t>
            </w:r>
          </w:p>
        </w:tc>
      </w:tr>
    </w:tbl>
    <w:p>
      <w:pPr>
        <w:pStyle w:val="nHeading3"/>
      </w:pPr>
      <w:bookmarkStart w:id="173" w:name="_Toc106980770"/>
      <w:r>
        <w:lastRenderedPageBreak/>
        <w:t>Other notes</w:t>
      </w:r>
      <w:bookmarkEnd w:id="173"/>
    </w:p>
    <w:p>
      <w:pPr>
        <w:pStyle w:val="nNote"/>
        <w:keepNext/>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spacing w:before="240"/>
      </w:pPr>
      <w:r>
        <w:rPr>
          <w:vertAlign w:val="superscript"/>
        </w:rPr>
        <w:t>2M</w:t>
      </w:r>
      <w:r>
        <w:rPr>
          <w:vertAlign w:val="superscript"/>
        </w:rPr>
        <w:tab/>
      </w:r>
      <w:r>
        <w:t xml:space="preserve">The </w:t>
      </w:r>
      <w:r>
        <w:rPr>
          <w:i/>
        </w:rPr>
        <w:t>COVID</w:t>
      </w:r>
      <w:r>
        <w:rPr>
          <w:i/>
        </w:rPr>
        <w:noBreakHyphen/>
        <w:t>19 Response and Economic Recovery Omnibus Act 2020</w:t>
      </w:r>
      <w:r>
        <w:t xml:space="preserve"> Part 4 Division 1 modifies section 43A of the Act. The modified section is identified by the superscript 2M appearing after the section number. The modification ceases on 31 December 2021 unless postponed under section 37(3) and 52 of that Act.</w:t>
      </w:r>
    </w:p>
    <w:p>
      <w:pPr>
        <w:pStyle w:val="nNote"/>
        <w:keepNext/>
        <w:spacing w:before="160"/>
      </w:pPr>
      <w:r>
        <w:rPr>
          <w:vertAlign w:val="superscript"/>
        </w:rPr>
        <w:t>1</w:t>
      </w:r>
      <w:r>
        <w:tab/>
        <w:t xml:space="preserve">Repealed by the </w:t>
      </w:r>
      <w:r>
        <w:rPr>
          <w:i/>
          <w:color w:val="000000"/>
        </w:rPr>
        <w:t>Sentencing Legislation Amendment and Repeal Act 2003</w:t>
      </w:r>
      <w:r>
        <w:t>.</w:t>
      </w:r>
    </w:p>
    <w:p>
      <w:pPr>
        <w:pStyle w:val="nNote"/>
        <w:rPr>
          <w:i/>
        </w:rPr>
      </w:pPr>
      <w:r>
        <w:rPr>
          <w:vertAlign w:val="superscript"/>
        </w:rPr>
        <w:t>2</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23.  The Act was then repealed by the</w:t>
      </w:r>
      <w:r>
        <w:rPr>
          <w:i/>
        </w:rPr>
        <w:t xml:space="preserve"> Criminal Procedure and Appeal (Consequential and Other Provisions) Act 2004 </w:t>
      </w:r>
      <w:r>
        <w:t>s. 4.</w:t>
      </w:r>
    </w:p>
    <w:p>
      <w:pPr>
        <w:pStyle w:val="nNote"/>
        <w:rPr>
          <w:snapToGrid w:val="0"/>
        </w:rPr>
      </w:pPr>
      <w:r>
        <w:rPr>
          <w:snapToGrid w:val="0"/>
          <w:vertAlign w:val="superscript"/>
        </w:rPr>
        <w:t>3</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Note"/>
      </w:pPr>
      <w:r>
        <w:rPr>
          <w:snapToGrid w:val="0"/>
          <w:vertAlign w:val="superscript"/>
        </w:rPr>
        <w:t>4</w:t>
      </w:r>
      <w:r>
        <w:rPr>
          <w:snapToGrid w:val="0"/>
        </w:rPr>
        <w:tab/>
        <w:t xml:space="preserve">The </w:t>
      </w:r>
      <w:r>
        <w:rPr>
          <w:i/>
          <w:snapToGrid w:val="0"/>
        </w:rPr>
        <w:t>Machinery of Government (Miscellaneous Amendments) Act 2006</w:t>
      </w:r>
      <w:r>
        <w:rPr>
          <w:snapToGrid w:val="0"/>
        </w:rPr>
        <w:t xml:space="preserve"> Pt. 3 Div. 1 was repealed by the </w:t>
      </w:r>
      <w:r>
        <w:rPr>
          <w:i/>
          <w:snapToGrid w:val="0"/>
        </w:rPr>
        <w:t>Statutes (Repeals and Minor Amendments) Act 2011</w:t>
      </w:r>
      <w:r>
        <w:rPr>
          <w:snapToGrid w:val="0"/>
        </w:rPr>
        <w:t xml:space="preserve"> s. 23(2) before it purported to come into operation.</w:t>
      </w:r>
    </w:p>
    <w:p>
      <w:pPr>
        <w:pStyle w:val="nNote"/>
      </w:pPr>
      <w:r>
        <w:rPr>
          <w:vertAlign w:val="superscript"/>
        </w:rPr>
        <w:t>5</w:t>
      </w:r>
      <w:r>
        <w:tab/>
        <w:t xml:space="preserve">The </w:t>
      </w:r>
      <w:r>
        <w:rPr>
          <w:i/>
        </w:rPr>
        <w:t>Bail Amendment Act 1984</w:t>
      </w:r>
      <w:r>
        <w:t xml:space="preserve"> s. 10 and 11 were repealed by the </w:t>
      </w:r>
      <w:r>
        <w:rPr>
          <w:i/>
        </w:rPr>
        <w:t>Bail Amendment Act 1988</w:t>
      </w:r>
      <w:r>
        <w:t xml:space="preserve"> s. 20.</w:t>
      </w:r>
    </w:p>
    <w:p>
      <w:pPr>
        <w:pStyle w:val="nNote"/>
      </w:pPr>
      <w:r>
        <w:rPr>
          <w:vertAlign w:val="superscript"/>
        </w:rPr>
        <w:t>6</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Note"/>
      </w:pPr>
      <w:r>
        <w:rPr>
          <w:vertAlign w:val="superscript"/>
        </w:rPr>
        <w:t>7</w:t>
      </w:r>
      <w:r>
        <w:tab/>
        <w:t xml:space="preserve">The </w:t>
      </w:r>
      <w:r>
        <w:rPr>
          <w:i/>
        </w:rPr>
        <w:t xml:space="preserve">Acts Amendment (Ministry of Justice) Act 1993 </w:t>
      </w:r>
      <w:r>
        <w:t>Pt. 19 is a transitional provision that is of no further effect.</w:t>
      </w:r>
    </w:p>
    <w:p>
      <w:pPr>
        <w:pStyle w:val="nNote"/>
      </w:pPr>
      <w:r>
        <w:rPr>
          <w:vertAlign w:val="superscript"/>
        </w:rPr>
        <w:t>8</w:t>
      </w:r>
      <w:r>
        <w:tab/>
        <w:t xml:space="preserve">The </w:t>
      </w:r>
      <w:r>
        <w:rPr>
          <w:i/>
        </w:rPr>
        <w:t>Criminal Procedure Amendment Act 1993</w:t>
      </w:r>
      <w:r>
        <w:t xml:space="preserve"> s. 13 is a transitional provision that is of no further effect.</w:t>
      </w:r>
    </w:p>
    <w:p>
      <w:pPr>
        <w:pStyle w:val="nNote"/>
      </w:pPr>
      <w:r>
        <w:rPr>
          <w:vertAlign w:val="superscript"/>
        </w:rPr>
        <w:t>9</w:t>
      </w:r>
      <w:r>
        <w:tab/>
        <w:t xml:space="preserve">The </w:t>
      </w:r>
      <w:r>
        <w:rPr>
          <w:i/>
        </w:rPr>
        <w:t>Bail Amendment Act 1998</w:t>
      </w:r>
      <w:r>
        <w:t xml:space="preserve"> s. 6(2) is a transitional provision that is of no further effect.</w:t>
      </w:r>
    </w:p>
    <w:p>
      <w:pPr>
        <w:pStyle w:val="nNote"/>
        <w:keepNext/>
      </w:pPr>
      <w:r>
        <w:rPr>
          <w:vertAlign w:val="superscript"/>
        </w:rPr>
        <w:lastRenderedPageBreak/>
        <w:t>10</w:t>
      </w:r>
      <w:r>
        <w:tab/>
        <w:t xml:space="preserve">The </w:t>
      </w:r>
      <w:r>
        <w:rPr>
          <w:i/>
        </w:rPr>
        <w:t xml:space="preserve">Acts Amendment and Repeal (Courts and Legal Practice) Act 2003 </w:t>
      </w:r>
      <w:r>
        <w:t>s. 97 reads as follows:</w:t>
      </w:r>
    </w:p>
    <w:p>
      <w:pPr>
        <w:pStyle w:val="BlankOpen"/>
      </w:pPr>
    </w:p>
    <w:p>
      <w:pPr>
        <w:pStyle w:val="MiscellaneousBody"/>
        <w:keepNext/>
        <w:rPr>
          <w:b/>
          <w:sz w:val="20"/>
        </w:rPr>
      </w:pPr>
      <w:r>
        <w:rPr>
          <w:b/>
          <w:sz w:val="20"/>
        </w:rPr>
        <w:tab/>
        <w:t>97.</w:t>
      </w:r>
      <w:r>
        <w:rPr>
          <w:b/>
          <w:sz w:val="20"/>
        </w:rPr>
        <w:tab/>
        <w:t>References to Crown Solicitor</w:t>
      </w:r>
    </w:p>
    <w:p>
      <w:pPr>
        <w:pStyle w:val="MiscellaneousBody"/>
        <w:ind w:left="1418" w:hanging="1418"/>
        <w:rPr>
          <w:rStyle w:val="CharSectno"/>
          <w:sz w:val="20"/>
        </w:rPr>
      </w:pPr>
      <w:r>
        <w:rPr>
          <w:rStyle w:val="CharSectno"/>
          <w:sz w:val="20"/>
        </w:rP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Note"/>
        <w:keepNext/>
        <w:keepLines/>
      </w:pPr>
      <w:r>
        <w:rPr>
          <w:vertAlign w:val="superscript"/>
        </w:rPr>
        <w:t>11</w:t>
      </w:r>
      <w:r>
        <w:tab/>
        <w:t xml:space="preserve">The amendment in the </w:t>
      </w:r>
      <w:r>
        <w:rPr>
          <w:i/>
          <w:snapToGrid w:val="0"/>
        </w:rPr>
        <w:t>Courts Legislation Amendment and Repeal Act 2004</w:t>
      </w:r>
      <w:r>
        <w:rPr>
          <w:snapToGrid w:val="0"/>
        </w:rPr>
        <w:t xml:space="preserve"> s. 141 (amending Sch. 1 Pt. A cl. 4) is not included because the clause it sought to amend had been amended by the </w:t>
      </w:r>
      <w:r>
        <w:rPr>
          <w:i/>
          <w:snapToGrid w:val="0"/>
        </w:rPr>
        <w:t>Acts Amendment (Court of Appeal) Act 2004</w:t>
      </w:r>
      <w:r>
        <w:rPr>
          <w:snapToGrid w:val="0"/>
        </w:rPr>
        <w:t xml:space="preserve"> s. 28(4) before the amendment purported to come into operation.</w:t>
      </w:r>
    </w:p>
    <w:p>
      <w:pPr>
        <w:pStyle w:val="nNote"/>
        <w:keepLines/>
        <w:rPr>
          <w:snapToGrid w:val="0"/>
        </w:rPr>
      </w:pPr>
      <w:r>
        <w:rPr>
          <w:snapToGrid w:val="0"/>
          <w:vertAlign w:val="superscript"/>
        </w:rPr>
        <w:t>12</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BlankClose"/>
      </w:pP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75" w:name="_Toc106978802"/>
      <w:bookmarkStart w:id="176" w:name="_Toc106980771"/>
      <w:r>
        <w:rPr>
          <w:sz w:val="28"/>
        </w:rPr>
        <w:lastRenderedPageBreak/>
        <w:t>Defined terms</w:t>
      </w:r>
      <w:bookmarkEnd w:id="175"/>
      <w:bookmarkEnd w:id="1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accountable authority</w:t>
      </w:r>
      <w:r>
        <w:tab/>
        <w:t>66D(1)</w:t>
      </w:r>
    </w:p>
    <w:p>
      <w:pPr>
        <w:pStyle w:val="DefinedTerms"/>
      </w:pPr>
      <w:r>
        <w:t>accused</w:t>
      </w:r>
      <w:r>
        <w:tab/>
        <w:t>3(1), 6(1), 6A(1)</w:t>
      </w:r>
    </w:p>
    <w:p>
      <w:pPr>
        <w:pStyle w:val="DefinedTerms"/>
      </w:pPr>
      <w:r>
        <w:t>adjournment </w:t>
      </w:r>
      <w:r>
        <w:tab/>
        <w:t>3(1)</w:t>
      </w:r>
    </w:p>
    <w:p>
      <w:pPr>
        <w:pStyle w:val="DefinedTerms"/>
      </w:pPr>
      <w:r>
        <w:t>amendment</w:t>
      </w:r>
      <w:r>
        <w:tab/>
        <w:t>31A(1)</w:t>
      </w:r>
    </w:p>
    <w:p>
      <w:pPr>
        <w:pStyle w:val="DefinedTerms"/>
      </w:pPr>
      <w:r>
        <w:t>appeal</w:t>
      </w:r>
      <w:r>
        <w:tab/>
        <w:t>3(1)</w:t>
      </w:r>
    </w:p>
    <w:p>
      <w:pPr>
        <w:pStyle w:val="DefinedTerms"/>
      </w:pPr>
      <w:r>
        <w:t>appropriate judicial officer</w:t>
      </w:r>
      <w:r>
        <w:tab/>
        <w:t>3(1)</w:t>
      </w:r>
    </w:p>
    <w:p>
      <w:pPr>
        <w:pStyle w:val="DefinedTerms"/>
      </w:pPr>
      <w:r>
        <w:t>approved</w:t>
      </w:r>
      <w:r>
        <w:tab/>
        <w:t>3(1)</w:t>
      </w:r>
    </w:p>
    <w:p>
      <w:pPr>
        <w:pStyle w:val="DefinedTerms"/>
      </w:pPr>
      <w:r>
        <w:t>approved electronic monitoring device</w:t>
      </w:r>
      <w:r>
        <w:tab/>
        <w:t>3(1)</w:t>
      </w:r>
    </w:p>
    <w:p>
      <w:pPr>
        <w:pStyle w:val="DefinedTerms"/>
      </w:pPr>
      <w:r>
        <w:t>arrester</w:t>
      </w:r>
      <w:r>
        <w:tab/>
        <w:t>6(1)</w:t>
      </w:r>
    </w:p>
    <w:p>
      <w:pPr>
        <w:pStyle w:val="DefinedTerms"/>
      </w:pPr>
      <w:r>
        <w:t>as soon as is practicable</w:t>
      </w:r>
      <w:r>
        <w:tab/>
        <w:t>3(1)</w:t>
      </w:r>
    </w:p>
    <w:p>
      <w:pPr>
        <w:pStyle w:val="DefinedTerms"/>
      </w:pPr>
      <w:r>
        <w:t>audio link</w:t>
      </w:r>
      <w:r>
        <w:tab/>
        <w:t>66B(1)</w:t>
      </w:r>
    </w:p>
    <w:p>
      <w:pPr>
        <w:pStyle w:val="DefinedTerms"/>
      </w:pPr>
      <w:r>
        <w:t>authorised community services officer</w:t>
      </w:r>
      <w:r>
        <w:tab/>
        <w:t>3(1)</w:t>
      </w:r>
    </w:p>
    <w:p>
      <w:pPr>
        <w:pStyle w:val="DefinedTerms"/>
      </w:pPr>
      <w:r>
        <w:t>authorised officer</w:t>
      </w:r>
      <w:r>
        <w:tab/>
        <w:t>3(1)</w:t>
      </w:r>
    </w:p>
    <w:p>
      <w:pPr>
        <w:pStyle w:val="DefinedTerms"/>
      </w:pPr>
      <w:r>
        <w:t>authorised police officer</w:t>
      </w:r>
      <w:r>
        <w:tab/>
        <w:t>3(1)</w:t>
      </w:r>
    </w:p>
    <w:p>
      <w:pPr>
        <w:pStyle w:val="DefinedTerms"/>
      </w:pPr>
      <w:r>
        <w:t>bail decision</w:t>
      </w:r>
      <w:r>
        <w:tab/>
        <w:t>15A(1)</w:t>
      </w:r>
    </w:p>
    <w:p>
      <w:pPr>
        <w:pStyle w:val="DefinedTerms"/>
      </w:pPr>
      <w:r>
        <w:t>bail proceedings</w:t>
      </w:r>
      <w:r>
        <w:tab/>
        <w:t>66B(1)</w:t>
      </w:r>
    </w:p>
    <w:p>
      <w:pPr>
        <w:pStyle w:val="DefinedTerms"/>
      </w:pPr>
      <w:r>
        <w:t>bail undertaking</w:t>
      </w:r>
      <w:r>
        <w:tab/>
        <w:t>3(1)</w:t>
      </w:r>
    </w:p>
    <w:p>
      <w:pPr>
        <w:pStyle w:val="DefinedTerms"/>
      </w:pPr>
      <w:r>
        <w:t>CEO (corrections)</w:t>
      </w:r>
      <w:r>
        <w:tab/>
        <w:t>3(1)</w:t>
      </w:r>
    </w:p>
    <w:p>
      <w:pPr>
        <w:pStyle w:val="DefinedTerms"/>
      </w:pPr>
      <w:r>
        <w:t>Chief Judge</w:t>
      </w:r>
      <w:r>
        <w:tab/>
        <w:t>3(1)</w:t>
      </w:r>
    </w:p>
    <w:p>
      <w:pPr>
        <w:pStyle w:val="DefinedTerms"/>
      </w:pPr>
      <w:r>
        <w:t>Chief Justice</w:t>
      </w:r>
      <w:r>
        <w:tab/>
        <w:t>3(1)</w:t>
      </w:r>
    </w:p>
    <w:p>
      <w:pPr>
        <w:pStyle w:val="DefinedTerms"/>
      </w:pPr>
      <w:r>
        <w:t>child</w:t>
      </w:r>
      <w:r>
        <w:tab/>
        <w:t>3(1)</w:t>
      </w:r>
    </w:p>
    <w:p>
      <w:pPr>
        <w:pStyle w:val="DefinedTerms"/>
      </w:pPr>
      <w:r>
        <w:t>Commonwealth Criminal Code</w:t>
      </w:r>
      <w:r>
        <w:tab/>
        <w:t>3(1)</w:t>
      </w:r>
    </w:p>
    <w:p>
      <w:pPr>
        <w:pStyle w:val="DefinedTerms"/>
      </w:pPr>
      <w:r>
        <w:t>community corrections officer</w:t>
      </w:r>
      <w:r>
        <w:tab/>
        <w:t>3(1)</w:t>
      </w:r>
    </w:p>
    <w:p>
      <w:pPr>
        <w:pStyle w:val="DefinedTerms"/>
      </w:pPr>
      <w:r>
        <w:t>confirmed control order</w:t>
      </w:r>
      <w:r>
        <w:tab/>
        <w:t>3(1)</w:t>
      </w:r>
    </w:p>
    <w:p>
      <w:pPr>
        <w:pStyle w:val="DefinedTerms"/>
      </w:pPr>
      <w:r>
        <w:t>court</w:t>
      </w:r>
      <w:r>
        <w:tab/>
        <w:t>3(1)</w:t>
      </w:r>
    </w:p>
    <w:p>
      <w:pPr>
        <w:pStyle w:val="DefinedTerms"/>
      </w:pPr>
      <w:r>
        <w:t>court custody centre</w:t>
      </w:r>
      <w:r>
        <w:tab/>
        <w:t>3(1)</w:t>
      </w:r>
    </w:p>
    <w:p>
      <w:pPr>
        <w:pStyle w:val="DefinedTerms"/>
      </w:pPr>
      <w:r>
        <w:t>designated family relationship</w:t>
      </w:r>
      <w:r>
        <w:tab/>
        <w:t>3(1)</w:t>
      </w:r>
    </w:p>
    <w:p>
      <w:pPr>
        <w:pStyle w:val="DefinedTerms"/>
      </w:pPr>
      <w:r>
        <w:t>Director of Public Prosecutions</w:t>
      </w:r>
      <w:r>
        <w:tab/>
        <w:t>3(1)</w:t>
      </w:r>
    </w:p>
    <w:p>
      <w:pPr>
        <w:pStyle w:val="DefinedTerms"/>
      </w:pPr>
      <w:r>
        <w:t>early release order</w:t>
      </w:r>
      <w:r>
        <w:tab/>
        <w:t>3(1)</w:t>
      </w:r>
    </w:p>
    <w:p>
      <w:pPr>
        <w:pStyle w:val="DefinedTerms"/>
      </w:pPr>
      <w:r>
        <w:t>family relationship</w:t>
      </w:r>
      <w:r>
        <w:tab/>
        <w:t>3(1)</w:t>
      </w:r>
    </w:p>
    <w:p>
      <w:pPr>
        <w:pStyle w:val="DefinedTerms"/>
      </w:pPr>
      <w:r>
        <w:t>family violence offence</w:t>
      </w:r>
      <w:r>
        <w:tab/>
        <w:t>3(1)</w:t>
      </w:r>
    </w:p>
    <w:p>
      <w:pPr>
        <w:pStyle w:val="DefinedTerms"/>
      </w:pPr>
      <w:r>
        <w:t>home detention condition</w:t>
      </w:r>
      <w:r>
        <w:tab/>
        <w:t>3(1)</w:t>
      </w:r>
    </w:p>
    <w:p>
      <w:pPr>
        <w:pStyle w:val="DefinedTerms"/>
      </w:pPr>
      <w:r>
        <w:t>interim control order</w:t>
      </w:r>
      <w:r>
        <w:tab/>
        <w:t>3(1)</w:t>
      </w:r>
    </w:p>
    <w:p>
      <w:pPr>
        <w:pStyle w:val="DefinedTerms"/>
      </w:pPr>
      <w:r>
        <w:t>intimate personal relationship</w:t>
      </w:r>
      <w:r>
        <w:tab/>
        <w:t>3(1A)</w:t>
      </w:r>
    </w:p>
    <w:p>
      <w:pPr>
        <w:pStyle w:val="DefinedTerms"/>
      </w:pPr>
      <w:r>
        <w:t>judge</w:t>
      </w:r>
      <w:r>
        <w:tab/>
        <w:t>7B(1), Sch. 1 cl. 1(1)</w:t>
      </w:r>
    </w:p>
    <w:p>
      <w:pPr>
        <w:pStyle w:val="DefinedTerms"/>
      </w:pPr>
      <w:r>
        <w:t>judge of appeal</w:t>
      </w:r>
      <w:r>
        <w:tab/>
        <w:t>3(1)</w:t>
      </w:r>
    </w:p>
    <w:p>
      <w:pPr>
        <w:pStyle w:val="DefinedTerms"/>
      </w:pPr>
      <w:r>
        <w:t>judicial officer</w:t>
      </w:r>
      <w:r>
        <w:tab/>
        <w:t>3(1)</w:t>
      </w:r>
    </w:p>
    <w:p>
      <w:pPr>
        <w:pStyle w:val="DefinedTerms"/>
      </w:pPr>
      <w:r>
        <w:t>lock</w:t>
      </w:r>
      <w:r>
        <w:noBreakHyphen/>
        <w:t>up</w:t>
      </w:r>
      <w:r>
        <w:tab/>
        <w:t>3(1)</w:t>
      </w:r>
    </w:p>
    <w:p>
      <w:pPr>
        <w:pStyle w:val="DefinedTerms"/>
      </w:pPr>
      <w:r>
        <w:t>medical practitioner</w:t>
      </w:r>
      <w:r>
        <w:tab/>
        <w:t>Sch. 1 cl. 2(7)</w:t>
      </w:r>
    </w:p>
    <w:p>
      <w:pPr>
        <w:pStyle w:val="DefinedTerms"/>
      </w:pPr>
      <w:r>
        <w:t>offence</w:t>
      </w:r>
      <w:r>
        <w:tab/>
        <w:t>3(1)</w:t>
      </w:r>
    </w:p>
    <w:p>
      <w:pPr>
        <w:pStyle w:val="DefinedTerms"/>
      </w:pPr>
      <w:r>
        <w:lastRenderedPageBreak/>
        <w:t>person linked to terrorism</w:t>
      </w:r>
      <w:r>
        <w:tab/>
        <w:t>3(1)</w:t>
      </w:r>
    </w:p>
    <w:p>
      <w:pPr>
        <w:pStyle w:val="DefinedTerms"/>
      </w:pPr>
      <w:r>
        <w:t>proceedings for an offence</w:t>
      </w:r>
      <w:r>
        <w:tab/>
        <w:t>Sch. 1 cl. 7</w:t>
      </w:r>
    </w:p>
    <w:p>
      <w:pPr>
        <w:pStyle w:val="DefinedTerms"/>
      </w:pPr>
      <w:r>
        <w:t>proposed surety</w:t>
      </w:r>
      <w:r>
        <w:tab/>
        <w:t>43A(1)</w:t>
      </w:r>
    </w:p>
    <w:p>
      <w:pPr>
        <w:pStyle w:val="DefinedTerms"/>
      </w:pPr>
      <w:r>
        <w:t>prosecutor</w:t>
      </w:r>
      <w:r>
        <w:tab/>
        <w:t>3(1)</w:t>
      </w:r>
    </w:p>
    <w:p>
      <w:pPr>
        <w:pStyle w:val="DefinedTerms"/>
      </w:pPr>
      <w:r>
        <w:t>protected information</w:t>
      </w:r>
      <w:r>
        <w:tab/>
        <w:t>66D(1)</w:t>
      </w:r>
    </w:p>
    <w:p>
      <w:pPr>
        <w:pStyle w:val="DefinedTerms"/>
      </w:pPr>
      <w:r>
        <w:t>protective condition or order</w:t>
      </w:r>
      <w:r>
        <w:tab/>
        <w:t>Sch. 1 cl. 3B(6)</w:t>
      </w:r>
    </w:p>
    <w:p>
      <w:pPr>
        <w:pStyle w:val="DefinedTerms"/>
      </w:pPr>
      <w:r>
        <w:t>psychiatrist</w:t>
      </w:r>
      <w:r>
        <w:tab/>
        <w:t>Sch. 1 cl. 2(7)</w:t>
      </w:r>
    </w:p>
    <w:p>
      <w:pPr>
        <w:pStyle w:val="DefinedTerms"/>
      </w:pPr>
      <w:r>
        <w:t>registrar</w:t>
      </w:r>
      <w:r>
        <w:tab/>
        <w:t>3(1)</w:t>
      </w:r>
    </w:p>
    <w:p>
      <w:pPr>
        <w:pStyle w:val="DefinedTerms"/>
      </w:pPr>
      <w:r>
        <w:t>released</w:t>
      </w:r>
      <w:r>
        <w:tab/>
        <w:t>6A(1)</w:t>
      </w:r>
    </w:p>
    <w:p>
      <w:pPr>
        <w:pStyle w:val="DefinedTerms"/>
      </w:pPr>
      <w:r>
        <w:t>relevant officer</w:t>
      </w:r>
      <w:r>
        <w:tab/>
        <w:t>54(1a), 59A(1)</w:t>
      </w:r>
    </w:p>
    <w:p>
      <w:pPr>
        <w:pStyle w:val="DefinedTerms"/>
      </w:pPr>
      <w:r>
        <w:t>relevant official</w:t>
      </w:r>
      <w:r>
        <w:tab/>
        <w:t>43A(1)</w:t>
      </w:r>
    </w:p>
    <w:p>
      <w:pPr>
        <w:pStyle w:val="DefinedTerms"/>
      </w:pPr>
      <w:r>
        <w:t>relevant papers</w:t>
      </w:r>
      <w:r>
        <w:tab/>
        <w:t>27(2)</w:t>
      </w:r>
    </w:p>
    <w:p>
      <w:pPr>
        <w:pStyle w:val="DefinedTerms"/>
      </w:pPr>
      <w:r>
        <w:t>relevant person</w:t>
      </w:r>
      <w:r>
        <w:tab/>
        <w:t>Sch. 1 cl. 3B(3)</w:t>
      </w:r>
    </w:p>
    <w:p>
      <w:pPr>
        <w:pStyle w:val="DefinedTerms"/>
      </w:pPr>
      <w:r>
        <w:t>reportable information</w:t>
      </w:r>
      <w:r>
        <w:tab/>
        <w:t>66D(2)</w:t>
      </w:r>
    </w:p>
    <w:p>
      <w:pPr>
        <w:pStyle w:val="DefinedTerms"/>
      </w:pPr>
      <w:r>
        <w:t>responsible person</w:t>
      </w:r>
      <w:r>
        <w:tab/>
        <w:t>Sch. 1 cl. 2(1)</w:t>
      </w:r>
    </w:p>
    <w:p>
      <w:pPr>
        <w:pStyle w:val="DefinedTerms"/>
      </w:pPr>
      <w:r>
        <w:t>section 80 offence</w:t>
      </w:r>
      <w:r>
        <w:tab/>
        <w:t>Sch. 1 cl. 3D(1)</w:t>
      </w:r>
    </w:p>
    <w:p>
      <w:pPr>
        <w:pStyle w:val="DefinedTerms"/>
      </w:pPr>
      <w:r>
        <w:t>sensitive information</w:t>
      </w:r>
      <w:r>
        <w:tab/>
        <w:t>66D(1)</w:t>
      </w:r>
    </w:p>
    <w:p>
      <w:pPr>
        <w:pStyle w:val="DefinedTerms"/>
      </w:pPr>
      <w:r>
        <w:t>serial family violence offender</w:t>
      </w:r>
      <w:r>
        <w:tab/>
        <w:t>3(1)</w:t>
      </w:r>
    </w:p>
    <w:p>
      <w:pPr>
        <w:pStyle w:val="DefinedTerms"/>
      </w:pPr>
      <w:r>
        <w:t>serious offence</w:t>
      </w:r>
      <w:r>
        <w:tab/>
        <w:t>3(1), 6A(1)</w:t>
      </w:r>
    </w:p>
    <w:p>
      <w:pPr>
        <w:pStyle w:val="DefinedTerms"/>
      </w:pPr>
      <w:r>
        <w:t>statute</w:t>
      </w:r>
      <w:r>
        <w:tab/>
        <w:t>66(3)</w:t>
      </w:r>
    </w:p>
    <w:p>
      <w:pPr>
        <w:pStyle w:val="DefinedTerms"/>
      </w:pPr>
      <w:r>
        <w:t>summary court</w:t>
      </w:r>
      <w:r>
        <w:tab/>
        <w:t>6A(1)</w:t>
      </w:r>
    </w:p>
    <w:p>
      <w:pPr>
        <w:pStyle w:val="DefinedTerms"/>
      </w:pPr>
      <w:r>
        <w:t>surety</w:t>
      </w:r>
      <w:r>
        <w:tab/>
        <w:t>3(1)</w:t>
      </w:r>
    </w:p>
    <w:p>
      <w:pPr>
        <w:pStyle w:val="DefinedTerms"/>
      </w:pPr>
      <w:r>
        <w:t>surety approval officer</w:t>
      </w:r>
      <w:r>
        <w:tab/>
        <w:t>3(1)</w:t>
      </w:r>
    </w:p>
    <w:p>
      <w:pPr>
        <w:pStyle w:val="DefinedTerms"/>
      </w:pPr>
      <w:r>
        <w:t>surety undertaking</w:t>
      </w:r>
      <w:r>
        <w:tab/>
        <w:t>3(1)</w:t>
      </w:r>
    </w:p>
    <w:p>
      <w:pPr>
        <w:pStyle w:val="DefinedTerms"/>
      </w:pPr>
      <w:r>
        <w:t>terrorism offence</w:t>
      </w:r>
      <w:r>
        <w:tab/>
        <w:t>3(1)</w:t>
      </w:r>
    </w:p>
    <w:p>
      <w:pPr>
        <w:pStyle w:val="DefinedTerms"/>
      </w:pPr>
      <w:r>
        <w:t>terrorist act</w:t>
      </w:r>
      <w:r>
        <w:tab/>
        <w:t>3(1)</w:t>
      </w:r>
    </w:p>
    <w:p>
      <w:pPr>
        <w:pStyle w:val="DefinedTerms"/>
      </w:pPr>
      <w:r>
        <w:t>terrorist intelligence information</w:t>
      </w:r>
      <w:r>
        <w:tab/>
        <w:t>3(1)</w:t>
      </w:r>
    </w:p>
    <w:p>
      <w:pPr>
        <w:pStyle w:val="DefinedTerms"/>
      </w:pPr>
      <w:r>
        <w:t>trial</w:t>
      </w:r>
      <w:r>
        <w:tab/>
        <w:t>3(1), 7E(2), 31A(1), 44(3)</w:t>
      </w:r>
    </w:p>
    <w:p>
      <w:pPr>
        <w:pStyle w:val="DefinedTerms"/>
      </w:pPr>
      <w:r>
        <w:t>urban area</w:t>
      </w:r>
      <w:r>
        <w:tab/>
        <w:t>16A(4)</w:t>
      </w:r>
    </w:p>
    <w:p>
      <w:pPr>
        <w:pStyle w:val="DefinedTerms"/>
      </w:pPr>
      <w:r>
        <w:t>victim</w:t>
      </w:r>
      <w:r>
        <w:tab/>
        <w:t>Sch. 1 cl. 3D(1)</w:t>
      </w:r>
    </w:p>
    <w:p>
      <w:pPr>
        <w:pStyle w:val="DefinedTerms"/>
      </w:pPr>
      <w:r>
        <w:t>video link</w:t>
      </w:r>
      <w:r>
        <w:tab/>
        <w:t>43A(1), 66B(1)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cr/>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cr/>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65" w:name="Schedule"/>
    <w:bookmarkEnd w:id="16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Jurisdiction as to bail and related matters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Jurisdiction as to bail and related matters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4" w:name="Compilation"/>
    <w:bookmarkEnd w:id="174"/>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77" w:name="DefinedTerms"/>
    <w:bookmarkEnd w:id="177"/>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8" w:name="Coversheet"/>
    <w:bookmarkEnd w:id="178"/>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Bail Act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Bail Act 1982</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4151443"/>
    <w:docVar w:name="WAFER_20140113093422" w:val="RemoveTocBookmarks,RemoveUnusedBookmarks,RemoveLanguageTags,UsedStyles,ResetPageSize,UpdateArrangement"/>
    <w:docVar w:name="WAFER_20140113093422_GUID" w:val="a2bcafcb-bfe5-4f4a-9886-01699db943ba"/>
    <w:docVar w:name="WAFER_20140113094247" w:val="RemoveTocBookmarks,RunningHeaders"/>
    <w:docVar w:name="WAFER_20140113094247_GUID" w:val="6e6132f5-07a0-4ec2-8ac2-6c9e5edc25e6"/>
    <w:docVar w:name="WAFER_20141104173004" w:val="RemoveTocBookmarks,RemoveUnusedBookmarks,RemoveLanguageTags,UsedStyles,ResetPageSize,UpdateArrangement"/>
    <w:docVar w:name="WAFER_20141104173004_GUID" w:val="55780413-754e-4a9d-b19d-5ad5a17d3b6b"/>
    <w:docVar w:name="WAFER_20150225140535" w:val="ResetPageSize,UpdateArrangement,UpdateNTable"/>
    <w:docVar w:name="WAFER_20150225140535_GUID" w:val="7fef8ea6-06ff-47d0-986f-b3e4674a02f8"/>
    <w:docVar w:name="WAFER_20150225141902" w:val="ResetPageSize,UpdateArrangement,UpdateNTable"/>
    <w:docVar w:name="WAFER_20150225141902_GUID" w:val="c5124223-d264-451e-925c-817a634de5fa"/>
    <w:docVar w:name="WAFER_20150421091417" w:val="RemoveTocBookmarks,RemoveUnusedBookmarks,RemoveLanguageTags,UsedStyles,RemoveTrackChanges"/>
    <w:docVar w:name="WAFER_20150421091417_GUID" w:val="2aefb94e-3c06-4c75-ae8e-b51958132c76"/>
    <w:docVar w:name="WAFER_20150421091440" w:val="RemoveTocBookmarks,RemoveLanguageTags,RemoveTrackChanges,RunningHeaders"/>
    <w:docVar w:name="WAFER_20150421091440_GUID" w:val="ecc4972a-91fa-4cda-8d6f-43d80deacffb"/>
    <w:docVar w:name="WAFER_20151102120256" w:val="UpdateStyles,UsedStyles"/>
    <w:docVar w:name="WAFER_20151102120256_GUID" w:val="3626022b-ffd5-4e75-855c-2f05066aa437"/>
    <w:docVar w:name="WAFER_20151119120748" w:val="RemoveTocBookmarks,RemoveUnusedBookmarks,RemoveLanguageTags,UsedStyles,ResetPageSize"/>
    <w:docVar w:name="WAFER_20151119120748_GUID" w:val="31952d45-05ca-4a29-a608-a42a437784bc"/>
    <w:docVar w:name="WAFER_20161130112851" w:val="RemoveTocBookmarks,RemoveUnusedBookmarks,RemoveLanguageTags,UsedStyles,ResetPageSize"/>
    <w:docVar w:name="WAFER_20161130112851_GUID" w:val="dfb09ae8-0848-46ee-a01e-963acce4ceb8"/>
    <w:docVar w:name="WAFER_20180315113353" w:val="RemoveTocBookmarks,RemoveUnusedBookmarks,RemoveLanguageTags,UsedStyles,ResetPageSize"/>
    <w:docVar w:name="WAFER_20180315113353_GUID" w:val="0a52a854-a1eb-4849-9c2c-f7e86464bacf"/>
    <w:docVar w:name="WAFER_20191114152206" w:val="RemoveTocBookmarks,RemoveUnusedBookmarks,RemoveLanguageTags,ResetPageSize,RunningHeaders,UpdateStyles,UsedStyles"/>
    <w:docVar w:name="WAFER_20191114152206_GUID" w:val="61c0b18e-4487-4b2d-b150-7159f79bb305"/>
    <w:docVar w:name="WAFER_20191203091754" w:val="RemoveTocBookmarks,RemoveUnusedBookmarks,RemoveLanguageTags,ResetPageSize,RunningHeaders,UpdateStyles,UsedStyles"/>
    <w:docVar w:name="WAFER_20191203091754_GUID" w:val="98ea27c3-2b80-4e75-970d-71bdb1153193"/>
    <w:docVar w:name="WAFER_2020021013004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0048_GUID" w:val="89639e3a-7964-49a7-ac9a-afc49ac527be"/>
    <w:docVar w:name="WAFER_20200407093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093046_GUID" w:val="8f93f8f2-b04e-434c-bff2-7027f0f353bd"/>
    <w:docVar w:name="WAFER_202007100908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806_GUID" w:val="d91ea5b8-76b9-4b88-8850-2895677e45b6"/>
    <w:docVar w:name="WAFER_202007281441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8144102_GUID" w:val="e00239bd-3e3e-46b8-9542-6abe8b490be6"/>
    <w:docVar w:name="WAFER_202008121128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817_GUID" w:val="f89f1113-518f-4081-a71f-be33454933c2"/>
    <w:docVar w:name="WAFER_202008260851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85132_GUID" w:val="6143aeab-7cb5-4bb9-81e5-47af816a76ba"/>
    <w:docVar w:name="WAFER_202009110935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1093520_GUID" w:val="a5311d0d-181c-4946-9f9d-71bc6547a546"/>
    <w:docVar w:name="WAFER_202009300901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90104_GUID" w:val="f9793e81-6092-40d8-a638-1672f47871c7"/>
    <w:docVar w:name="WAFER_202011260934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6093448_GUID" w:val="891931d6-6c5d-4b38-b7e1-1b58cf548923"/>
    <w:docVar w:name="WAFER_202206241514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4151443_GUID" w:val="f6f74a56-abcc-4525-9f7a-c76740cf62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09"/>
    <o:shapelayout v:ext="edit">
      <o:idmap v:ext="edit" data="1"/>
    </o:shapelayout>
  </w:shapeDefaults>
  <w:decimalSymbol w:val="."/>
  <w:listSeparator w:val=","/>
  <w15:docId w15:val="{0D8E5280-E605-48CD-9983-EB4B987A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qFormat/>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7342">
      <w:bodyDiv w:val="1"/>
      <w:marLeft w:val="0"/>
      <w:marRight w:val="0"/>
      <w:marTop w:val="0"/>
      <w:marBottom w:val="0"/>
      <w:divBdr>
        <w:top w:val="none" w:sz="0" w:space="0" w:color="auto"/>
        <w:left w:val="none" w:sz="0" w:space="0" w:color="auto"/>
        <w:bottom w:val="none" w:sz="0" w:space="0" w:color="auto"/>
        <w:right w:val="none" w:sz="0" w:space="0" w:color="auto"/>
      </w:divBdr>
    </w:div>
    <w:div w:id="50347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C4FE-E7C5-4E06-9D7E-B0D483459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38736</Words>
  <Characters>177803</Characters>
  <Application>Microsoft Office Word</Application>
  <DocSecurity>0</DocSecurity>
  <Lines>5080</Lines>
  <Paragraphs>2706</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213833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1982 - 09-o0-00</dc:title>
  <dc:subject/>
  <dc:creator/>
  <cp:keywords/>
  <dc:description/>
  <cp:lastModifiedBy>Master Repository Process</cp:lastModifiedBy>
  <cp:revision>4</cp:revision>
  <cp:lastPrinted>2019-12-03T08:23:00Z</cp:lastPrinted>
  <dcterms:created xsi:type="dcterms:W3CDTF">2022-06-24T09:08:00Z</dcterms:created>
  <dcterms:modified xsi:type="dcterms:W3CDTF">2022-06-24T09:08:00Z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DocumentType">
    <vt:lpwstr>Act</vt:lpwstr>
  </property>
  <property fmtid="{D5CDD505-2E9C-101B-9397-08002B2CF9AE}" pid="4" name="OwlsUID">
    <vt:i4>62</vt:i4>
  </property>
  <property fmtid="{D5CDD505-2E9C-101B-9397-08002B2CF9AE}" pid="5" name="ReprintedAsAt">
    <vt:filetime>2015-04-30T16:00:00Z</vt:filetime>
  </property>
  <property fmtid="{D5CDD505-2E9C-101B-9397-08002B2CF9AE}" pid="6" name="ReprintNo">
    <vt:lpwstr>9</vt:lpwstr>
  </property>
  <property fmtid="{D5CDD505-2E9C-101B-9397-08002B2CF9AE}" pid="7" name="AsAtDate">
    <vt:lpwstr>24 Jun 2022</vt:lpwstr>
  </property>
  <property fmtid="{D5CDD505-2E9C-101B-9397-08002B2CF9AE}" pid="8" name="Suffix">
    <vt:lpwstr>09-o0-00</vt:lpwstr>
  </property>
  <property fmtid="{D5CDD505-2E9C-101B-9397-08002B2CF9AE}" pid="9" name="CommencementDate">
    <vt:lpwstr>20220624</vt:lpwstr>
  </property>
</Properties>
</file>