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_Toc106984133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_Toc106984134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_Toc106984135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_Toc106984136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_Toc106984137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_Toc106984138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_Toc106984139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_Toc106984140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_Toc106984141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_Toc106984144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_Toc106984146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_Toc106984147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_Toc106984148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_Toc106984149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_Toc106984150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_Toc106984151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_Toc106984152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_Toc106984153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_Toc106984156 \h </w:instrText>
      </w:r>
      <w:r>
        <w:fldChar w:fldCharType="separate"/>
      </w:r>
      <w:r>
        <w:t>16</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_Toc106984157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_Toc106984158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_Toc106984159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_Toc106984160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_Toc106984161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_Toc106984163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_Toc106984164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_Toc106984166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_Toc106984167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_Toc106984168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_Toc106984170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_Toc106984171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_Toc106984172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_Toc106984173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_Toc106984174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_Toc106984175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_Toc106984176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_Toc106984177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_Toc106984180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_Toc106984182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_Toc106984183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_Toc106984184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_Toc106984185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_Toc106984186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_Toc106984187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_Toc106984189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_Toc106984190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_Toc106984193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_Toc106984194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_Toc106984195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_Toc106984196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_Toc106984198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_Toc106984199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_Toc106984200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_Toc106984201 \h </w:instrText>
      </w:r>
      <w:r>
        <w:fldChar w:fldCharType="separate"/>
      </w:r>
      <w:r>
        <w:t>53</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_Toc106984202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_Toc106984203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_Toc106984204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_Toc106984205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_Toc106984206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_Toc106984207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_Toc106984210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_Toc106984211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_Toc106984213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_Toc106984214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_Toc106984216 \h </w:instrText>
      </w:r>
      <w:r>
        <w:fldChar w:fldCharType="separate"/>
      </w:r>
      <w:r>
        <w:t>62</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_Toc106984217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_Toc106984218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_Toc106984219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_Toc106984220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_Toc106984221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_Toc106984223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_Toc106984224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_Toc106984225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_Toc106984226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_Toc106984227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_Toc106984228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_Toc106984230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_Toc106984231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_Toc106984232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_Toc106984233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_Toc106984235 \h </w:instrText>
      </w:r>
      <w:r>
        <w:fldChar w:fldCharType="separate"/>
      </w:r>
      <w:r>
        <w:t>75</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_Toc106984236 \h </w:instrText>
      </w:r>
      <w:r>
        <w:fldChar w:fldCharType="separate"/>
      </w:r>
      <w:r>
        <w:t>75</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_Toc106984237 \h </w:instrText>
      </w:r>
      <w:r>
        <w:fldChar w:fldCharType="separate"/>
      </w:r>
      <w:r>
        <w:t>77</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_Toc106984238 \h </w:instrText>
      </w:r>
      <w:r>
        <w:fldChar w:fldCharType="separate"/>
      </w:r>
      <w:r>
        <w:t>77</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_Toc106984239 \h </w:instrText>
      </w:r>
      <w:r>
        <w:fldChar w:fldCharType="separate"/>
      </w:r>
      <w:r>
        <w:t>78</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_Toc106984240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_Toc106984242 \h </w:instrText>
      </w:r>
      <w:r>
        <w:fldChar w:fldCharType="separate"/>
      </w:r>
      <w:r>
        <w:t>79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_Toc106984243 \h </w:instrText>
      </w:r>
      <w:r>
        <w:fldChar w:fldCharType="separate"/>
      </w:r>
      <w:r>
        <w:t>82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_Toc106984244 \h </w:instrText>
      </w:r>
      <w:r>
        <w:fldChar w:fldCharType="separate"/>
      </w:r>
      <w:r>
        <w:t>82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_Toc106984245 \h </w:instrText>
      </w:r>
      <w:r>
        <w:fldChar w:fldCharType="separate"/>
      </w:r>
      <w:r>
        <w:t>82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_Toc106984246 \h </w:instrText>
      </w:r>
      <w:r>
        <w:fldChar w:fldCharType="separate"/>
      </w:r>
      <w:r>
        <w:t>82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_Toc106984247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_Toc106984249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_Toc106984251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_Toc106984252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_Toc106984253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06984009"/>
      <w:bookmarkStart w:id="4" w:name="_Toc10698413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106984133"/>
      <w:r>
        <w:rPr>
          <w:rStyle w:val="CharSectno"/>
        </w:rPr>
        <w:t>1</w:t>
      </w:r>
      <w:r>
        <w:rPr>
          <w:snapToGrid w:val="0"/>
        </w:rPr>
        <w:t>.</w:t>
      </w:r>
      <w:r>
        <w:rPr>
          <w:snapToGrid w:val="0"/>
        </w:rPr>
        <w:tab/>
        <w:t>Short title</w:t>
      </w:r>
      <w:bookmarkEnd w:id="5"/>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6" w:name="_Toc106984134"/>
      <w:r>
        <w:rPr>
          <w:rStyle w:val="CharSectno"/>
        </w:rPr>
        <w:t>2</w:t>
      </w:r>
      <w:r>
        <w:rPr>
          <w:snapToGrid w:val="0"/>
        </w:rPr>
        <w:t>.</w:t>
      </w:r>
      <w:r>
        <w:rPr>
          <w:snapToGrid w:val="0"/>
        </w:rPr>
        <w:tab/>
        <w:t>Commencement</w:t>
      </w:r>
      <w:bookmarkEnd w:id="6"/>
    </w:p>
    <w:p>
      <w:pPr>
        <w:pStyle w:val="Subsection"/>
      </w:pPr>
      <w:r>
        <w:tab/>
      </w:r>
      <w:r>
        <w:tab/>
        <w:t>This Act comes into operation on 1 July 2000.</w:t>
      </w:r>
    </w:p>
    <w:p>
      <w:pPr>
        <w:pStyle w:val="Heading5"/>
      </w:pPr>
      <w:bookmarkStart w:id="7" w:name="_Toc106984135"/>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8" w:name="_Toc106984136"/>
      <w:r>
        <w:rPr>
          <w:rStyle w:val="CharSectno"/>
        </w:rPr>
        <w:t>4</w:t>
      </w:r>
      <w:r>
        <w:t>.</w:t>
      </w:r>
      <w:r>
        <w:tab/>
        <w:t>Term used: home</w:t>
      </w:r>
      <w:bookmarkEnd w:id="8"/>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9" w:name="_Toc106984137"/>
      <w:r>
        <w:rPr>
          <w:rStyle w:val="CharSectno"/>
        </w:rPr>
        <w:lastRenderedPageBreak/>
        <w:t>5</w:t>
      </w:r>
      <w:r>
        <w:t>.</w:t>
      </w:r>
      <w:r>
        <w:tab/>
        <w:t>Terms used: owner, home owner</w:t>
      </w:r>
      <w:bookmarkEnd w:id="9"/>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0" w:name="_Toc106984138"/>
      <w:r>
        <w:rPr>
          <w:rStyle w:val="CharSectno"/>
        </w:rPr>
        <w:t>6</w:t>
      </w:r>
      <w:r>
        <w:t>.</w:t>
      </w:r>
      <w:r>
        <w:tab/>
        <w:t>Term used: relevant interest</w:t>
      </w:r>
      <w:bookmarkEnd w:id="1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1" w:name="_Toc106984139"/>
      <w:r>
        <w:rPr>
          <w:rStyle w:val="CharSectno"/>
        </w:rPr>
        <w:t>7</w:t>
      </w:r>
      <w:r>
        <w:t>.</w:t>
      </w:r>
      <w:r>
        <w:tab/>
        <w:t>Term used: spouse</w:t>
      </w:r>
      <w:bookmarkEnd w:id="1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2" w:name="_Toc106984140"/>
      <w:r>
        <w:rPr>
          <w:rStyle w:val="CharSectno"/>
        </w:rPr>
        <w:t>7A</w:t>
      </w:r>
      <w:r>
        <w:t>.</w:t>
      </w:r>
      <w:r>
        <w:tab/>
        <w:t>Term used: Australian citizen</w:t>
      </w:r>
      <w:bookmarkEnd w:id="1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3" w:name="_Toc106984141"/>
      <w:r>
        <w:rPr>
          <w:rStyle w:val="CharSectno"/>
        </w:rPr>
        <w:t>7B</w:t>
      </w:r>
      <w:r>
        <w:t>.</w:t>
      </w:r>
      <w:r>
        <w:tab/>
        <w:t>Term used: permanent resident</w:t>
      </w:r>
      <w:bookmarkEnd w:id="1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lastRenderedPageBreak/>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4" w:name="_Toc106984019"/>
      <w:bookmarkStart w:id="15" w:name="_Toc106984142"/>
      <w:r>
        <w:rPr>
          <w:rStyle w:val="CharPartNo"/>
        </w:rPr>
        <w:lastRenderedPageBreak/>
        <w:t>Part 2</w:t>
      </w:r>
      <w:r>
        <w:t xml:space="preserve"> — </w:t>
      </w:r>
      <w:r>
        <w:rPr>
          <w:rStyle w:val="CharPartText"/>
        </w:rPr>
        <w:t>First home owner grant</w:t>
      </w:r>
      <w:bookmarkEnd w:id="14"/>
      <w:bookmarkEnd w:id="15"/>
    </w:p>
    <w:p>
      <w:pPr>
        <w:pStyle w:val="Heading3"/>
        <w:spacing w:before="200"/>
      </w:pPr>
      <w:bookmarkStart w:id="16" w:name="_Toc106984020"/>
      <w:bookmarkStart w:id="17" w:name="_Toc106984143"/>
      <w:r>
        <w:rPr>
          <w:rStyle w:val="CharDivNo"/>
        </w:rPr>
        <w:t>Division 1</w:t>
      </w:r>
      <w:r>
        <w:t xml:space="preserve"> — </w:t>
      </w:r>
      <w:r>
        <w:rPr>
          <w:rStyle w:val="CharDivText"/>
        </w:rPr>
        <w:t>Entitlement to grant</w:t>
      </w:r>
      <w:bookmarkEnd w:id="16"/>
      <w:bookmarkEnd w:id="17"/>
    </w:p>
    <w:p>
      <w:pPr>
        <w:pStyle w:val="Heading5"/>
        <w:spacing w:before="180"/>
      </w:pPr>
      <w:bookmarkStart w:id="18" w:name="_Toc106984144"/>
      <w:r>
        <w:rPr>
          <w:rStyle w:val="CharSectno"/>
        </w:rPr>
        <w:t>8</w:t>
      </w:r>
      <w:r>
        <w:t>.</w:t>
      </w:r>
      <w:r>
        <w:tab/>
        <w:t>Entitlement to grant</w:t>
      </w:r>
      <w:bookmarkEnd w:id="18"/>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19" w:name="_Toc106984022"/>
      <w:bookmarkStart w:id="20" w:name="_Toc106984145"/>
      <w:r>
        <w:rPr>
          <w:rStyle w:val="CharDivNo"/>
        </w:rPr>
        <w:t>Division 2</w:t>
      </w:r>
      <w:r>
        <w:rPr>
          <w:snapToGrid w:val="0"/>
        </w:rPr>
        <w:t xml:space="preserve"> — </w:t>
      </w:r>
      <w:r>
        <w:rPr>
          <w:rStyle w:val="CharDivText"/>
        </w:rPr>
        <w:t>Eligibility criteria (applicants)</w:t>
      </w:r>
      <w:bookmarkEnd w:id="19"/>
      <w:bookmarkEnd w:id="20"/>
    </w:p>
    <w:p>
      <w:pPr>
        <w:pStyle w:val="Heading5"/>
        <w:spacing w:before="180"/>
      </w:pPr>
      <w:bookmarkStart w:id="21" w:name="_Toc106984146"/>
      <w:r>
        <w:rPr>
          <w:rStyle w:val="CharSectno"/>
        </w:rPr>
        <w:t>9</w:t>
      </w:r>
      <w:r>
        <w:rPr>
          <w:snapToGrid w:val="0"/>
        </w:rPr>
        <w:t>.</w:t>
      </w:r>
      <w:r>
        <w:rPr>
          <w:snapToGrid w:val="0"/>
        </w:rPr>
        <w:tab/>
        <w:t>Criterion 1 — applicant to be a natural person</w:t>
      </w:r>
      <w:bookmarkEnd w:id="2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2" w:name="_Toc106984147"/>
      <w:r>
        <w:rPr>
          <w:rStyle w:val="CharSectno"/>
        </w:rPr>
        <w:t>9A</w:t>
      </w:r>
      <w:r>
        <w:t>.</w:t>
      </w:r>
      <w:r>
        <w:tab/>
        <w:t>Criterion 1A — applicant to be at least 18 years of age</w:t>
      </w:r>
      <w:bookmarkEnd w:id="2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lastRenderedPageBreak/>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3" w:name="_Toc106984148"/>
      <w:r>
        <w:rPr>
          <w:rStyle w:val="CharSectno"/>
        </w:rPr>
        <w:t>10</w:t>
      </w:r>
      <w:r>
        <w:t>.</w:t>
      </w:r>
      <w:r>
        <w:tab/>
        <w:t>Criterion 2 — applicant to be Australian citizen or permanent resident</w:t>
      </w:r>
      <w:bookmarkEnd w:id="2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4" w:name="_Toc106984149"/>
      <w:r>
        <w:rPr>
          <w:rStyle w:val="CharSectno"/>
        </w:rPr>
        <w:t>11</w:t>
      </w:r>
      <w:r>
        <w:t>.</w:t>
      </w:r>
      <w:r>
        <w:tab/>
        <w:t>Criterion 3 — except in certain circumstances, applicant or applicant’s spouse or de facto partner must not have received another grant</w:t>
      </w:r>
      <w:bookmarkEnd w:id="24"/>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lastRenderedPageBreak/>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5" w:name="_Toc106984150"/>
      <w:r>
        <w:rPr>
          <w:rStyle w:val="CharSectno"/>
        </w:rPr>
        <w:t>12</w:t>
      </w:r>
      <w:r>
        <w:t>.</w:t>
      </w:r>
      <w:r>
        <w:tab/>
        <w:t>Criterion 4 — applicant or applicant’s spouse or de facto partner must not have had relevant interest in residential property</w:t>
      </w:r>
      <w:bookmarkEnd w:id="2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26" w:name="_Toc106984151"/>
      <w:r>
        <w:rPr>
          <w:rStyle w:val="CharSectno"/>
        </w:rPr>
        <w:t>13</w:t>
      </w:r>
      <w:r>
        <w:t>.</w:t>
      </w:r>
      <w:r>
        <w:tab/>
        <w:t>Criterion 5 — residence requirements</w:t>
      </w:r>
      <w:bookmarkEnd w:id="2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lastRenderedPageBreak/>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27" w:name="_Toc106984152"/>
      <w:r>
        <w:rPr>
          <w:rStyle w:val="CharSectno"/>
        </w:rPr>
        <w:t>13A</w:t>
      </w:r>
      <w:r>
        <w:t>.</w:t>
      </w:r>
      <w:r>
        <w:tab/>
        <w:t>Criterion 6 — applicant must not have been convicted of an offence under this Act</w:t>
      </w:r>
      <w:bookmarkEnd w:id="27"/>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28" w:name="_Toc106984153"/>
      <w:r>
        <w:rPr>
          <w:rStyle w:val="CharSectno"/>
        </w:rPr>
        <w:t>13B</w:t>
      </w:r>
      <w:r>
        <w:t>.</w:t>
      </w:r>
      <w:r>
        <w:tab/>
        <w:t>Criterion 7 — applicant must not hold relevant interest as trustee</w:t>
      </w:r>
      <w:bookmarkEnd w:id="28"/>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29" w:name="_Toc106984031"/>
      <w:bookmarkStart w:id="30" w:name="_Toc106984154"/>
      <w:r>
        <w:rPr>
          <w:rStyle w:val="CharDivNo"/>
        </w:rPr>
        <w:t>Division 3</w:t>
      </w:r>
      <w:r>
        <w:t xml:space="preserve"> — </w:t>
      </w:r>
      <w:r>
        <w:rPr>
          <w:rStyle w:val="CharDivText"/>
        </w:rPr>
        <w:t>Eligible transactions</w:t>
      </w:r>
      <w:bookmarkEnd w:id="29"/>
      <w:bookmarkEnd w:id="30"/>
    </w:p>
    <w:p>
      <w:pPr>
        <w:pStyle w:val="Heading4"/>
      </w:pPr>
      <w:bookmarkStart w:id="31" w:name="_Toc106984032"/>
      <w:bookmarkStart w:id="32" w:name="_Toc106984155"/>
      <w:r>
        <w:t>Subdivision 1 — Eligible transactions</w:t>
      </w:r>
      <w:bookmarkEnd w:id="31"/>
      <w:bookmarkEnd w:id="32"/>
    </w:p>
    <w:p>
      <w:pPr>
        <w:pStyle w:val="Footnoteheading"/>
      </w:pPr>
      <w:r>
        <w:tab/>
        <w:t>[Heading inserted: No. 14 of 2001 s. 4.]</w:t>
      </w:r>
    </w:p>
    <w:p>
      <w:pPr>
        <w:pStyle w:val="Heading5"/>
      </w:pPr>
      <w:bookmarkStart w:id="33" w:name="_Toc106984156"/>
      <w:r>
        <w:rPr>
          <w:rStyle w:val="CharSectno"/>
        </w:rPr>
        <w:t>14</w:t>
      </w:r>
      <w:r>
        <w:t>.</w:t>
      </w:r>
      <w:r>
        <w:tab/>
        <w:t>Eligible transaction</w:t>
      </w:r>
      <w:bookmarkEnd w:id="3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lastRenderedPageBreak/>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34" w:name="_Toc106984157"/>
      <w:r>
        <w:rPr>
          <w:rStyle w:val="CharSectno"/>
        </w:rPr>
        <w:lastRenderedPageBreak/>
        <w:t>14AA</w:t>
      </w:r>
      <w:r>
        <w:t>.</w:t>
      </w:r>
      <w:r>
        <w:tab/>
        <w:t>Commencement and completion of transaction</w:t>
      </w:r>
      <w:bookmarkEnd w:id="3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35" w:name="_Toc106984158"/>
      <w:r>
        <w:rPr>
          <w:rStyle w:val="CharSectno"/>
        </w:rPr>
        <w:t>14AB</w:t>
      </w:r>
      <w:r>
        <w:t>.</w:t>
      </w:r>
      <w:r>
        <w:tab/>
        <w:t>Term used: consideration</w:t>
      </w:r>
      <w:bookmarkEnd w:id="35"/>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36" w:name="_Toc106984159"/>
      <w:r>
        <w:rPr>
          <w:rStyle w:val="CharSectno"/>
        </w:rPr>
        <w:t>14AC</w:t>
      </w:r>
      <w:r>
        <w:t>.</w:t>
      </w:r>
      <w:r>
        <w:tab/>
        <w:t>Term used: total value</w:t>
      </w:r>
      <w:bookmarkEnd w:id="36"/>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lastRenderedPageBreak/>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37" w:name="_Toc106984160"/>
      <w:r>
        <w:rPr>
          <w:rStyle w:val="CharSectno"/>
        </w:rPr>
        <w:t>14AD</w:t>
      </w:r>
      <w:r>
        <w:t>.</w:t>
      </w:r>
      <w:r>
        <w:tab/>
        <w:t>Term used: cap amount</w:t>
      </w:r>
      <w:bookmarkEnd w:id="37"/>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38" w:name="_Toc106984161"/>
      <w:r>
        <w:rPr>
          <w:rStyle w:val="CharSectno"/>
        </w:rPr>
        <w:t>14AE</w:t>
      </w:r>
      <w:r>
        <w:t>.</w:t>
      </w:r>
      <w:r>
        <w:tab/>
        <w:t>Term used: unencumbered value</w:t>
      </w:r>
      <w:bookmarkEnd w:id="3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lastRenderedPageBreak/>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39" w:name="_Toc106984039"/>
      <w:bookmarkStart w:id="40" w:name="_Toc106984162"/>
      <w:r>
        <w:t>Subdivision 2 — Special eligible transactions</w:t>
      </w:r>
      <w:bookmarkEnd w:id="39"/>
      <w:bookmarkEnd w:id="40"/>
    </w:p>
    <w:p>
      <w:pPr>
        <w:pStyle w:val="Footnoteheading"/>
        <w:keepNext/>
        <w:keepLines/>
      </w:pPr>
      <w:r>
        <w:tab/>
        <w:t>[Heading inserted: No. 14 of 2001 s. 5.]</w:t>
      </w:r>
    </w:p>
    <w:p>
      <w:pPr>
        <w:pStyle w:val="Heading5"/>
      </w:pPr>
      <w:bookmarkStart w:id="41" w:name="_Toc106984163"/>
      <w:r>
        <w:rPr>
          <w:rStyle w:val="CharSectno"/>
        </w:rPr>
        <w:t>14A</w:t>
      </w:r>
      <w:r>
        <w:t>.</w:t>
      </w:r>
      <w:r>
        <w:tab/>
        <w:t>Terms used</w:t>
      </w:r>
      <w:bookmarkEnd w:id="4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lastRenderedPageBreak/>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2" w:name="_Toc106984164"/>
      <w:r>
        <w:rPr>
          <w:rStyle w:val="CharSectno"/>
        </w:rPr>
        <w:t>14B</w:t>
      </w:r>
      <w:r>
        <w:t>.</w:t>
      </w:r>
      <w:r>
        <w:tab/>
        <w:t>Special eligible transactions</w:t>
      </w:r>
      <w:bookmarkEnd w:id="42"/>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lastRenderedPageBreak/>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43" w:name="_Toc106984042"/>
      <w:bookmarkStart w:id="44" w:name="_Toc106984165"/>
      <w:r>
        <w:rPr>
          <w:rStyle w:val="CharDivNo"/>
        </w:rPr>
        <w:lastRenderedPageBreak/>
        <w:t>Division 4</w:t>
      </w:r>
      <w:r>
        <w:t xml:space="preserve"> — </w:t>
      </w:r>
      <w:r>
        <w:rPr>
          <w:rStyle w:val="CharDivText"/>
        </w:rPr>
        <w:t>Application for the grant</w:t>
      </w:r>
      <w:bookmarkEnd w:id="43"/>
      <w:bookmarkEnd w:id="44"/>
    </w:p>
    <w:p>
      <w:pPr>
        <w:pStyle w:val="Heading5"/>
      </w:pPr>
      <w:bookmarkStart w:id="45" w:name="_Toc106984166"/>
      <w:r>
        <w:rPr>
          <w:rStyle w:val="CharSectno"/>
        </w:rPr>
        <w:t>15</w:t>
      </w:r>
      <w:r>
        <w:t>.</w:t>
      </w:r>
      <w:r>
        <w:tab/>
        <w:t>Application for grant</w:t>
      </w:r>
      <w:bookmarkEnd w:id="45"/>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46" w:name="_Toc106984167"/>
      <w:r>
        <w:rPr>
          <w:rStyle w:val="CharSectno"/>
        </w:rPr>
        <w:t>16</w:t>
      </w:r>
      <w:r>
        <w:t>.</w:t>
      </w:r>
      <w:r>
        <w:tab/>
        <w:t>Interested persons</w:t>
      </w:r>
      <w:bookmarkEnd w:id="46"/>
    </w:p>
    <w:p>
      <w:pPr>
        <w:pStyle w:val="Subsection"/>
      </w:pPr>
      <w:r>
        <w:tab/>
        <w:t>(1)</w:t>
      </w:r>
      <w:r>
        <w:tab/>
        <w:t>All interested persons must be applicants, unless such a person is excluded from the operation of this subsection by the regulations.</w:t>
      </w:r>
    </w:p>
    <w:p>
      <w:pPr>
        <w:pStyle w:val="Subsection"/>
      </w:pPr>
      <w:r>
        <w:lastRenderedPageBreak/>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47" w:name="_Toc106984168"/>
      <w:r>
        <w:rPr>
          <w:rStyle w:val="CharSectno"/>
        </w:rPr>
        <w:t>17</w:t>
      </w:r>
      <w:r>
        <w:t>.</w:t>
      </w:r>
      <w:r>
        <w:tab/>
        <w:t>Application on behalf of person under legal disability</w:t>
      </w:r>
      <w:bookmarkEnd w:id="47"/>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8" w:name="_Toc106984046"/>
      <w:bookmarkStart w:id="49" w:name="_Toc106984169"/>
      <w:r>
        <w:rPr>
          <w:rStyle w:val="CharDivNo"/>
        </w:rPr>
        <w:t>Division 5</w:t>
      </w:r>
      <w:r>
        <w:t xml:space="preserve"> — </w:t>
      </w:r>
      <w:r>
        <w:rPr>
          <w:rStyle w:val="CharDivText"/>
        </w:rPr>
        <w:t>Decision on application</w:t>
      </w:r>
      <w:bookmarkEnd w:id="48"/>
      <w:bookmarkEnd w:id="49"/>
    </w:p>
    <w:p>
      <w:pPr>
        <w:pStyle w:val="Heading5"/>
      </w:pPr>
      <w:bookmarkStart w:id="50" w:name="_Toc106984170"/>
      <w:r>
        <w:rPr>
          <w:rStyle w:val="CharSectno"/>
        </w:rPr>
        <w:t>18</w:t>
      </w:r>
      <w:r>
        <w:t>.</w:t>
      </w:r>
      <w:r>
        <w:tab/>
        <w:t>Commissioner to authorise payment of grant</w:t>
      </w:r>
      <w:bookmarkEnd w:id="50"/>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51" w:name="_Toc106984171"/>
      <w:r>
        <w:rPr>
          <w:rStyle w:val="CharSectno"/>
        </w:rPr>
        <w:t>19</w:t>
      </w:r>
      <w:r>
        <w:t>.</w:t>
      </w:r>
      <w:r>
        <w:tab/>
        <w:t>Amount of grant</w:t>
      </w:r>
      <w:bookmarkEnd w:id="51"/>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lastRenderedPageBreak/>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52" w:name="_Toc106984172"/>
      <w:r>
        <w:rPr>
          <w:rStyle w:val="CharSectno"/>
        </w:rPr>
        <w:lastRenderedPageBreak/>
        <w:t>20</w:t>
      </w:r>
      <w:r>
        <w:t>.</w:t>
      </w:r>
      <w:r>
        <w:tab/>
        <w:t>Payment of grant</w:t>
      </w:r>
      <w:bookmarkEnd w:id="52"/>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53" w:name="_Toc106984173"/>
      <w:r>
        <w:rPr>
          <w:rStyle w:val="CharSectno"/>
        </w:rPr>
        <w:t>21</w:t>
      </w:r>
      <w:r>
        <w:t>.</w:t>
      </w:r>
      <w:r>
        <w:tab/>
        <w:t>Payment in anticipation of compliance with residence requirement</w:t>
      </w:r>
      <w:bookmarkEnd w:id="5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lastRenderedPageBreak/>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lastRenderedPageBreak/>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54" w:name="_Toc106984174"/>
      <w:r>
        <w:rPr>
          <w:rStyle w:val="CharSectno"/>
        </w:rPr>
        <w:t>22</w:t>
      </w:r>
      <w:r>
        <w:t>.</w:t>
      </w:r>
      <w:r>
        <w:tab/>
        <w:t>Commissioner may impose conditions</w:t>
      </w:r>
      <w:bookmarkEnd w:id="5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55" w:name="_Toc106984175"/>
      <w:r>
        <w:rPr>
          <w:rStyle w:val="CharSectno"/>
        </w:rPr>
        <w:lastRenderedPageBreak/>
        <w:t>23</w:t>
      </w:r>
      <w:r>
        <w:t>.</w:t>
      </w:r>
      <w:r>
        <w:tab/>
        <w:t>Death of applicant</w:t>
      </w:r>
      <w:bookmarkEnd w:id="5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56" w:name="_Toc106984176"/>
      <w:r>
        <w:rPr>
          <w:rStyle w:val="CharSectno"/>
        </w:rPr>
        <w:t>24</w:t>
      </w:r>
      <w:r>
        <w:rPr>
          <w:snapToGrid w:val="0"/>
        </w:rPr>
        <w:t>.</w:t>
      </w:r>
      <w:r>
        <w:rPr>
          <w:snapToGrid w:val="0"/>
        </w:rPr>
        <w:tab/>
        <w:t>Power to correct decision</w:t>
      </w:r>
      <w:bookmarkEnd w:id="5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lastRenderedPageBreak/>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57" w:name="_Toc106984177"/>
      <w:r>
        <w:rPr>
          <w:rStyle w:val="CharSectno"/>
        </w:rPr>
        <w:t>25</w:t>
      </w:r>
      <w:r>
        <w:rPr>
          <w:snapToGrid w:val="0"/>
        </w:rPr>
        <w:t>.</w:t>
      </w:r>
      <w:r>
        <w:rPr>
          <w:snapToGrid w:val="0"/>
        </w:rPr>
        <w:tab/>
        <w:t>Notice of decision</w:t>
      </w:r>
      <w:bookmarkEnd w:id="57"/>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58" w:name="_Toc106984055"/>
      <w:bookmarkStart w:id="59" w:name="_Toc106984178"/>
      <w:r>
        <w:rPr>
          <w:rStyle w:val="CharDivNo"/>
        </w:rPr>
        <w:t>Division 6</w:t>
      </w:r>
      <w:r>
        <w:t xml:space="preserve"> — </w:t>
      </w:r>
      <w:r>
        <w:rPr>
          <w:rStyle w:val="CharDivText"/>
        </w:rPr>
        <w:t>Objections and review</w:t>
      </w:r>
      <w:bookmarkEnd w:id="58"/>
      <w:bookmarkEnd w:id="59"/>
    </w:p>
    <w:p>
      <w:pPr>
        <w:pStyle w:val="Footnoteheading"/>
      </w:pPr>
      <w:r>
        <w:tab/>
        <w:t>[Heading amended: No. 55 of 2004 s. 374.]</w:t>
      </w:r>
    </w:p>
    <w:p>
      <w:pPr>
        <w:pStyle w:val="Heading4"/>
      </w:pPr>
      <w:bookmarkStart w:id="60" w:name="_Toc106984056"/>
      <w:bookmarkStart w:id="61" w:name="_Toc106984179"/>
      <w:r>
        <w:t>Subdivision 1 — Definitions</w:t>
      </w:r>
      <w:bookmarkEnd w:id="60"/>
      <w:bookmarkEnd w:id="61"/>
    </w:p>
    <w:p>
      <w:pPr>
        <w:pStyle w:val="Heading5"/>
      </w:pPr>
      <w:bookmarkStart w:id="62" w:name="_Toc106984180"/>
      <w:r>
        <w:rPr>
          <w:rStyle w:val="CharSectno"/>
        </w:rPr>
        <w:t>26</w:t>
      </w:r>
      <w:r>
        <w:t>.</w:t>
      </w:r>
      <w:r>
        <w:tab/>
        <w:t>Terms used</w:t>
      </w:r>
      <w:bookmarkEnd w:id="6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lastRenderedPageBreak/>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63" w:name="_Toc106984058"/>
      <w:bookmarkStart w:id="64" w:name="_Toc106984181"/>
      <w:r>
        <w:t>Subdivision 2 — Objections</w:t>
      </w:r>
      <w:bookmarkEnd w:id="63"/>
      <w:bookmarkEnd w:id="64"/>
    </w:p>
    <w:p>
      <w:pPr>
        <w:pStyle w:val="Heading5"/>
        <w:spacing w:before="180"/>
      </w:pPr>
      <w:bookmarkStart w:id="65" w:name="_Toc106984182"/>
      <w:r>
        <w:rPr>
          <w:rStyle w:val="CharSectno"/>
        </w:rPr>
        <w:t>27</w:t>
      </w:r>
      <w:r>
        <w:t>.</w:t>
      </w:r>
      <w:r>
        <w:tab/>
        <w:t>Right to object and procedure for making objections</w:t>
      </w:r>
      <w:bookmarkEnd w:id="65"/>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66" w:name="_Toc106984183"/>
      <w:r>
        <w:rPr>
          <w:rStyle w:val="CharSectno"/>
        </w:rPr>
        <w:t>28</w:t>
      </w:r>
      <w:r>
        <w:t>.</w:t>
      </w:r>
      <w:r>
        <w:tab/>
        <w:t>Time for lodging objection</w:t>
      </w:r>
      <w:bookmarkEnd w:id="66"/>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67" w:name="_Toc106984184"/>
      <w:r>
        <w:rPr>
          <w:rStyle w:val="CharSectno"/>
        </w:rPr>
        <w:t>29A</w:t>
      </w:r>
      <w:r>
        <w:t>.</w:t>
      </w:r>
      <w:r>
        <w:tab/>
        <w:t xml:space="preserve">Relationship with </w:t>
      </w:r>
      <w:r>
        <w:rPr>
          <w:i/>
        </w:rPr>
        <w:t>Duties Act 2008</w:t>
      </w:r>
      <w:r>
        <w:t xml:space="preserve"> and </w:t>
      </w:r>
      <w:r>
        <w:rPr>
          <w:i/>
        </w:rPr>
        <w:t>Taxation Administration Act 2003</w:t>
      </w:r>
      <w:bookmarkEnd w:id="67"/>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lastRenderedPageBreak/>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68" w:name="_Toc106984185"/>
      <w:r>
        <w:rPr>
          <w:rStyle w:val="CharSectno"/>
        </w:rPr>
        <w:t>29</w:t>
      </w:r>
      <w:r>
        <w:rPr>
          <w:snapToGrid w:val="0"/>
        </w:rPr>
        <w:t>.</w:t>
      </w:r>
      <w:r>
        <w:rPr>
          <w:snapToGrid w:val="0"/>
        </w:rPr>
        <w:tab/>
        <w:t>Consideration of objection</w:t>
      </w:r>
      <w:bookmarkEnd w:id="68"/>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69" w:name="_Toc106984186"/>
      <w:r>
        <w:rPr>
          <w:rStyle w:val="CharSectno"/>
        </w:rPr>
        <w:lastRenderedPageBreak/>
        <w:t>30A</w:t>
      </w:r>
      <w:r>
        <w:t>.</w:t>
      </w:r>
      <w:r>
        <w:tab/>
        <w:t>Time limit for making decision on objection</w:t>
      </w:r>
      <w:bookmarkEnd w:id="69"/>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70" w:name="_Toc106984187"/>
      <w:r>
        <w:rPr>
          <w:rStyle w:val="CharSectno"/>
        </w:rPr>
        <w:t>30</w:t>
      </w:r>
      <w:r>
        <w:rPr>
          <w:snapToGrid w:val="0"/>
        </w:rPr>
        <w:t>.</w:t>
      </w:r>
      <w:r>
        <w:rPr>
          <w:snapToGrid w:val="0"/>
        </w:rPr>
        <w:tab/>
        <w:t>Decision on objection</w:t>
      </w:r>
      <w:bookmarkEnd w:id="70"/>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pPr>
        <w:pStyle w:val="Footnotesection"/>
      </w:pPr>
      <w:r>
        <w:tab/>
        <w:t>[Section 30 amended: No. 27 of 2009 s. 17; No. 16 of 2017 s. 14.]</w:t>
      </w:r>
    </w:p>
    <w:p>
      <w:pPr>
        <w:pStyle w:val="Heading4"/>
        <w:spacing w:before="200"/>
      </w:pPr>
      <w:bookmarkStart w:id="71" w:name="_Toc106984065"/>
      <w:bookmarkStart w:id="72" w:name="_Toc106984188"/>
      <w:r>
        <w:rPr>
          <w:snapToGrid w:val="0"/>
        </w:rPr>
        <w:t xml:space="preserve">Subdivision 3 — </w:t>
      </w:r>
      <w:r>
        <w:t>Review</w:t>
      </w:r>
      <w:bookmarkEnd w:id="71"/>
      <w:bookmarkEnd w:id="72"/>
    </w:p>
    <w:p>
      <w:pPr>
        <w:pStyle w:val="Footnoteheading"/>
        <w:spacing w:before="100"/>
      </w:pPr>
      <w:r>
        <w:tab/>
        <w:t>[Heading amended: No. 55 of 2004 s. 375.]</w:t>
      </w:r>
    </w:p>
    <w:p>
      <w:pPr>
        <w:pStyle w:val="Heading5"/>
      </w:pPr>
      <w:bookmarkStart w:id="73" w:name="_Toc106984189"/>
      <w:r>
        <w:rPr>
          <w:rStyle w:val="CharSectno"/>
        </w:rPr>
        <w:t>31</w:t>
      </w:r>
      <w:r>
        <w:t>.</w:t>
      </w:r>
      <w:r>
        <w:tab/>
        <w:t>Right of review</w:t>
      </w:r>
      <w:bookmarkEnd w:id="73"/>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74" w:name="_Toc106984190"/>
      <w:r>
        <w:rPr>
          <w:rStyle w:val="CharSectno"/>
        </w:rPr>
        <w:t>32</w:t>
      </w:r>
      <w:r>
        <w:t>.</w:t>
      </w:r>
      <w:r>
        <w:tab/>
        <w:t>Payment following determination of review</w:t>
      </w:r>
      <w:bookmarkEnd w:id="74"/>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75" w:name="_Toc106984068"/>
      <w:bookmarkStart w:id="76" w:name="_Toc106984191"/>
      <w:r>
        <w:rPr>
          <w:rStyle w:val="CharPartNo"/>
        </w:rPr>
        <w:lastRenderedPageBreak/>
        <w:t>Part 3</w:t>
      </w:r>
      <w:r>
        <w:t xml:space="preserve"> — </w:t>
      </w:r>
      <w:r>
        <w:rPr>
          <w:rStyle w:val="CharPartText"/>
        </w:rPr>
        <w:t>Administration</w:t>
      </w:r>
      <w:bookmarkEnd w:id="75"/>
      <w:bookmarkEnd w:id="76"/>
    </w:p>
    <w:p>
      <w:pPr>
        <w:pStyle w:val="Heading3"/>
      </w:pPr>
      <w:bookmarkStart w:id="77" w:name="_Toc106984069"/>
      <w:bookmarkStart w:id="78" w:name="_Toc106984192"/>
      <w:r>
        <w:rPr>
          <w:rStyle w:val="CharDivNo"/>
        </w:rPr>
        <w:t>Division 1</w:t>
      </w:r>
      <w:r>
        <w:t xml:space="preserve"> — </w:t>
      </w:r>
      <w:r>
        <w:rPr>
          <w:rStyle w:val="CharDivText"/>
        </w:rPr>
        <w:t>Administration generally</w:t>
      </w:r>
      <w:bookmarkEnd w:id="77"/>
      <w:bookmarkEnd w:id="78"/>
    </w:p>
    <w:p>
      <w:pPr>
        <w:pStyle w:val="Heading5"/>
        <w:spacing w:before="180"/>
      </w:pPr>
      <w:bookmarkStart w:id="79" w:name="_Toc106984193"/>
      <w:r>
        <w:rPr>
          <w:rStyle w:val="CharSectno"/>
        </w:rPr>
        <w:t>34</w:t>
      </w:r>
      <w:r>
        <w:t>.</w:t>
      </w:r>
      <w:r>
        <w:tab/>
        <w:t>Administration of Act</w:t>
      </w:r>
      <w:bookmarkEnd w:id="79"/>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80" w:name="_Toc106984194"/>
      <w:r>
        <w:rPr>
          <w:rStyle w:val="CharSectno"/>
        </w:rPr>
        <w:t>35</w:t>
      </w:r>
      <w:r>
        <w:t>.</w:t>
      </w:r>
      <w:r>
        <w:tab/>
        <w:t>Delegation</w:t>
      </w:r>
      <w:bookmarkEnd w:id="80"/>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lastRenderedPageBreak/>
        <w:tab/>
        <w:t>(6)</w:t>
      </w:r>
      <w:r>
        <w:tab/>
        <w:t>Nothing in this section or section 37 limits the ability of the Commissioner to act through the Commissioner’s officers and agents in the normal course of business.</w:t>
      </w:r>
    </w:p>
    <w:p>
      <w:pPr>
        <w:pStyle w:val="Heading5"/>
      </w:pPr>
      <w:bookmarkStart w:id="81" w:name="_Toc106984195"/>
      <w:r>
        <w:rPr>
          <w:rStyle w:val="CharSectno"/>
        </w:rPr>
        <w:t>36</w:t>
      </w:r>
      <w:r>
        <w:t>.</w:t>
      </w:r>
      <w:r>
        <w:tab/>
        <w:t>Authorised investigators</w:t>
      </w:r>
      <w:bookmarkEnd w:id="8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82" w:name="_Toc106984196"/>
      <w:r>
        <w:rPr>
          <w:rStyle w:val="CharSectno"/>
        </w:rPr>
        <w:t>37</w:t>
      </w:r>
      <w:r>
        <w:t>.</w:t>
      </w:r>
      <w:r>
        <w:tab/>
        <w:t>Administration agreements</w:t>
      </w:r>
      <w:bookmarkEnd w:id="82"/>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lastRenderedPageBreak/>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83" w:name="_Toc106984074"/>
      <w:bookmarkStart w:id="84" w:name="_Toc106984197"/>
      <w:r>
        <w:rPr>
          <w:rStyle w:val="CharDivNo"/>
        </w:rPr>
        <w:t>Division 2</w:t>
      </w:r>
      <w:r>
        <w:t xml:space="preserve"> — </w:t>
      </w:r>
      <w:r>
        <w:rPr>
          <w:rStyle w:val="CharDivText"/>
        </w:rPr>
        <w:t>Investigations</w:t>
      </w:r>
      <w:bookmarkEnd w:id="83"/>
      <w:bookmarkEnd w:id="84"/>
    </w:p>
    <w:p>
      <w:pPr>
        <w:pStyle w:val="Heading5"/>
      </w:pPr>
      <w:bookmarkStart w:id="85" w:name="_Toc106984198"/>
      <w:r>
        <w:rPr>
          <w:rStyle w:val="CharSectno"/>
        </w:rPr>
        <w:t>38</w:t>
      </w:r>
      <w:r>
        <w:t>.</w:t>
      </w:r>
      <w:r>
        <w:tab/>
        <w:t>Investigations</w:t>
      </w:r>
      <w:bookmarkEnd w:id="85"/>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86" w:name="_Toc106984199"/>
      <w:r>
        <w:rPr>
          <w:rStyle w:val="CharSectno"/>
        </w:rPr>
        <w:lastRenderedPageBreak/>
        <w:t>39</w:t>
      </w:r>
      <w:r>
        <w:rPr>
          <w:snapToGrid w:val="0"/>
        </w:rPr>
        <w:t>.</w:t>
      </w:r>
      <w:r>
        <w:rPr>
          <w:snapToGrid w:val="0"/>
        </w:rPr>
        <w:tab/>
        <w:t>Cross</w:t>
      </w:r>
      <w:r>
        <w:rPr>
          <w:snapToGrid w:val="0"/>
        </w:rPr>
        <w:noBreakHyphen/>
        <w:t>border investigations</w:t>
      </w:r>
      <w:bookmarkEnd w:id="8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7" w:name="_Toc106984200"/>
      <w:r>
        <w:rPr>
          <w:rStyle w:val="CharSectno"/>
        </w:rPr>
        <w:t>40</w:t>
      </w:r>
      <w:r>
        <w:rPr>
          <w:snapToGrid w:val="0"/>
        </w:rPr>
        <w:t>.</w:t>
      </w:r>
      <w:r>
        <w:rPr>
          <w:snapToGrid w:val="0"/>
        </w:rPr>
        <w:tab/>
        <w:t>Power of investigation</w:t>
      </w:r>
      <w:bookmarkEnd w:id="8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8" w:name="_Toc106984201"/>
      <w:r>
        <w:rPr>
          <w:rStyle w:val="CharSectno"/>
        </w:rPr>
        <w:lastRenderedPageBreak/>
        <w:t>41A.</w:t>
      </w:r>
      <w:r>
        <w:rPr>
          <w:rStyle w:val="CharSectno"/>
        </w:rPr>
        <w:tab/>
        <w:t>P</w:t>
      </w:r>
      <w:r>
        <w:t>ower to have valuation made</w:t>
      </w:r>
      <w:bookmarkEnd w:id="88"/>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89" w:name="_Toc106984202"/>
      <w:r>
        <w:rPr>
          <w:rStyle w:val="CharSectno"/>
        </w:rPr>
        <w:t>41</w:t>
      </w:r>
      <w:r>
        <w:t>.</w:t>
      </w:r>
      <w:r>
        <w:tab/>
        <w:t>Power to require person to attend for examination</w:t>
      </w:r>
      <w:bookmarkEnd w:id="8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90" w:name="_Toc106984203"/>
      <w:r>
        <w:rPr>
          <w:rStyle w:val="CharSectno"/>
        </w:rPr>
        <w:t>42</w:t>
      </w:r>
      <w:r>
        <w:t>.</w:t>
      </w:r>
      <w:r>
        <w:tab/>
        <w:t>Entry of premises</w:t>
      </w:r>
      <w:bookmarkEnd w:id="90"/>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lastRenderedPageBreak/>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91" w:name="_Toc106984204"/>
      <w:r>
        <w:rPr>
          <w:rStyle w:val="CharSectno"/>
        </w:rPr>
        <w:t>43</w:t>
      </w:r>
      <w:r>
        <w:t>.</w:t>
      </w:r>
      <w:r>
        <w:tab/>
        <w:t>Powers of authorised investigator on entry of premises</w:t>
      </w:r>
      <w:bookmarkEnd w:id="91"/>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92" w:name="_Toc106984205"/>
      <w:r>
        <w:rPr>
          <w:rStyle w:val="CharSectno"/>
        </w:rPr>
        <w:t>44</w:t>
      </w:r>
      <w:r>
        <w:t>.</w:t>
      </w:r>
      <w:r>
        <w:tab/>
        <w:t>Warrants</w:t>
      </w:r>
      <w:bookmarkEnd w:id="92"/>
    </w:p>
    <w:p>
      <w:pPr>
        <w:pStyle w:val="Subsection"/>
      </w:pPr>
      <w:r>
        <w:tab/>
        <w:t>(1)</w:t>
      </w:r>
      <w:r>
        <w:tab/>
        <w:t xml:space="preserve">If a justice is satisfied on an application supported by evidence on oath that it is reasonably necessary for an authorised investigator to enter premises for the purposes of an </w:t>
      </w:r>
      <w:r>
        <w:lastRenderedPageBreak/>
        <w:t>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93" w:name="_Toc106984206"/>
      <w:r>
        <w:rPr>
          <w:rStyle w:val="CharSectno"/>
        </w:rPr>
        <w:t>45</w:t>
      </w:r>
      <w:r>
        <w:t>.</w:t>
      </w:r>
      <w:r>
        <w:tab/>
        <w:t>Use of force</w:t>
      </w:r>
      <w:bookmarkEnd w:id="93"/>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94" w:name="_Toc106984207"/>
      <w:r>
        <w:rPr>
          <w:rStyle w:val="CharSectno"/>
        </w:rPr>
        <w:t>46</w:t>
      </w:r>
      <w:r>
        <w:t>.</w:t>
      </w:r>
      <w:r>
        <w:tab/>
        <w:t>Self incrimination</w:t>
      </w:r>
      <w:bookmarkEnd w:id="94"/>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lastRenderedPageBreak/>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95" w:name="_Toc106984085"/>
      <w:bookmarkStart w:id="96" w:name="_Toc106984208"/>
      <w:r>
        <w:rPr>
          <w:rStyle w:val="CharPartNo"/>
        </w:rPr>
        <w:lastRenderedPageBreak/>
        <w:t>Part 4</w:t>
      </w:r>
      <w:r>
        <w:t xml:space="preserve"> — </w:t>
      </w:r>
      <w:r>
        <w:rPr>
          <w:rStyle w:val="CharPartText"/>
        </w:rPr>
        <w:t>Miscellaneous</w:t>
      </w:r>
      <w:bookmarkEnd w:id="95"/>
      <w:bookmarkEnd w:id="96"/>
    </w:p>
    <w:p>
      <w:pPr>
        <w:pStyle w:val="Heading3"/>
      </w:pPr>
      <w:bookmarkStart w:id="97" w:name="_Toc106984086"/>
      <w:bookmarkStart w:id="98" w:name="_Toc106984209"/>
      <w:r>
        <w:rPr>
          <w:rStyle w:val="CharDivNo"/>
        </w:rPr>
        <w:t>Division 1</w:t>
      </w:r>
      <w:r>
        <w:t xml:space="preserve"> — </w:t>
      </w:r>
      <w:r>
        <w:rPr>
          <w:rStyle w:val="CharDivText"/>
        </w:rPr>
        <w:t>Offences</w:t>
      </w:r>
      <w:bookmarkEnd w:id="97"/>
      <w:bookmarkEnd w:id="98"/>
    </w:p>
    <w:p>
      <w:pPr>
        <w:pStyle w:val="Heading5"/>
        <w:spacing w:before="180"/>
      </w:pPr>
      <w:bookmarkStart w:id="99" w:name="_Toc106984210"/>
      <w:r>
        <w:rPr>
          <w:rStyle w:val="CharSectno"/>
        </w:rPr>
        <w:t>47</w:t>
      </w:r>
      <w:r>
        <w:t>.</w:t>
      </w:r>
      <w:r>
        <w:tab/>
        <w:t>False or misleading information and documents</w:t>
      </w:r>
      <w:bookmarkEnd w:id="99"/>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00" w:name="_Toc106984211"/>
      <w:r>
        <w:rPr>
          <w:rStyle w:val="CharSectno"/>
        </w:rPr>
        <w:lastRenderedPageBreak/>
        <w:t>48</w:t>
      </w:r>
      <w:r>
        <w:t>.</w:t>
      </w:r>
      <w:r>
        <w:tab/>
        <w:t>Obstructing or misleading Commissioner or authorised investigator</w:t>
      </w:r>
      <w:bookmarkEnd w:id="100"/>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01" w:name="_Toc106984089"/>
      <w:bookmarkStart w:id="102" w:name="_Toc106984212"/>
      <w:r>
        <w:rPr>
          <w:rStyle w:val="CharDivNo"/>
        </w:rPr>
        <w:t>Division 2</w:t>
      </w:r>
      <w:r>
        <w:t xml:space="preserve"> — </w:t>
      </w:r>
      <w:r>
        <w:rPr>
          <w:rStyle w:val="CharDivText"/>
        </w:rPr>
        <w:t>Evidentiary provisions</w:t>
      </w:r>
      <w:bookmarkEnd w:id="101"/>
      <w:bookmarkEnd w:id="102"/>
    </w:p>
    <w:p>
      <w:pPr>
        <w:pStyle w:val="Heading5"/>
      </w:pPr>
      <w:bookmarkStart w:id="103" w:name="_Toc106984213"/>
      <w:r>
        <w:rPr>
          <w:rStyle w:val="CharSectno"/>
        </w:rPr>
        <w:t>49</w:t>
      </w:r>
      <w:r>
        <w:t>.</w:t>
      </w:r>
      <w:r>
        <w:tab/>
        <w:t>Evidence</w:t>
      </w:r>
      <w:bookmarkEnd w:id="10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04" w:name="_Toc106984214"/>
      <w:r>
        <w:rPr>
          <w:rStyle w:val="CharSectno"/>
        </w:rPr>
        <w:t>50</w:t>
      </w:r>
      <w:r>
        <w:t>.</w:t>
      </w:r>
      <w:r>
        <w:tab/>
        <w:t>Presumption of regularity</w:t>
      </w:r>
      <w:bookmarkEnd w:id="104"/>
    </w:p>
    <w:p>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05" w:name="_Toc106984092"/>
      <w:bookmarkStart w:id="106" w:name="_Toc106984215"/>
      <w:r>
        <w:rPr>
          <w:rStyle w:val="CharDivNo"/>
        </w:rPr>
        <w:t>Division 3</w:t>
      </w:r>
      <w:r>
        <w:t xml:space="preserve"> — </w:t>
      </w:r>
      <w:r>
        <w:rPr>
          <w:rStyle w:val="CharDivText"/>
        </w:rPr>
        <w:t>Repayments and penalties</w:t>
      </w:r>
      <w:bookmarkEnd w:id="105"/>
      <w:bookmarkEnd w:id="106"/>
    </w:p>
    <w:p>
      <w:pPr>
        <w:pStyle w:val="Heading5"/>
      </w:pPr>
      <w:bookmarkStart w:id="107" w:name="_Toc106984216"/>
      <w:r>
        <w:rPr>
          <w:rStyle w:val="CharSectno"/>
        </w:rPr>
        <w:t>51</w:t>
      </w:r>
      <w:r>
        <w:t>.</w:t>
      </w:r>
      <w:r>
        <w:tab/>
        <w:t>Commissioner may require repayment and impose penalty</w:t>
      </w:r>
      <w:bookmarkEnd w:id="10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08" w:name="_Toc106984217"/>
      <w:r>
        <w:rPr>
          <w:rStyle w:val="CharSectno"/>
        </w:rPr>
        <w:t>52</w:t>
      </w:r>
      <w:r>
        <w:t>.</w:t>
      </w:r>
      <w:r>
        <w:tab/>
        <w:t>Arrangements for instalments and extensions of time</w:t>
      </w:r>
      <w:bookmarkEnd w:id="10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09" w:name="_Toc106984218"/>
      <w:r>
        <w:rPr>
          <w:rStyle w:val="CharSectno"/>
        </w:rPr>
        <w:t>52A</w:t>
      </w:r>
      <w:r>
        <w:t>.</w:t>
      </w:r>
      <w:r>
        <w:tab/>
        <w:t>Commissioner may recover legal costs</w:t>
      </w:r>
      <w:bookmarkEnd w:id="10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110" w:name="_Toc106984219"/>
      <w:r>
        <w:rPr>
          <w:rStyle w:val="CharSectno"/>
        </w:rPr>
        <w:lastRenderedPageBreak/>
        <w:t>53</w:t>
      </w:r>
      <w:r>
        <w:t>.</w:t>
      </w:r>
      <w:r>
        <w:tab/>
        <w:t>Recovery of certain amounts</w:t>
      </w:r>
      <w:bookmarkEnd w:id="11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11" w:name="_Toc106984220"/>
      <w:r>
        <w:rPr>
          <w:rStyle w:val="CharSectno"/>
        </w:rPr>
        <w:t>54A</w:t>
      </w:r>
      <w:r>
        <w:t>.</w:t>
      </w:r>
      <w:r>
        <w:tab/>
        <w:t>Recovery from garnishee</w:t>
      </w:r>
      <w:bookmarkEnd w:id="11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12" w:name="_Toc106984221"/>
      <w:r>
        <w:rPr>
          <w:rStyle w:val="CharSectno"/>
        </w:rPr>
        <w:t>54</w:t>
      </w:r>
      <w:r>
        <w:t>.</w:t>
      </w:r>
      <w:r>
        <w:tab/>
        <w:t>Writing off liability</w:t>
      </w:r>
      <w:bookmarkEnd w:id="11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13" w:name="_Toc106984099"/>
      <w:bookmarkStart w:id="114" w:name="_Toc106984222"/>
      <w:r>
        <w:rPr>
          <w:rStyle w:val="CharDivNo"/>
        </w:rPr>
        <w:t>Division 4</w:t>
      </w:r>
      <w:r>
        <w:t xml:space="preserve"> — </w:t>
      </w:r>
      <w:r>
        <w:rPr>
          <w:rStyle w:val="CharDivText"/>
        </w:rPr>
        <w:t>Charge on interest in home</w:t>
      </w:r>
      <w:bookmarkEnd w:id="113"/>
      <w:bookmarkEnd w:id="114"/>
    </w:p>
    <w:p>
      <w:pPr>
        <w:pStyle w:val="Heading5"/>
      </w:pPr>
      <w:bookmarkStart w:id="115" w:name="_Toc106984223"/>
      <w:r>
        <w:rPr>
          <w:rStyle w:val="CharSectno"/>
        </w:rPr>
        <w:t>55</w:t>
      </w:r>
      <w:r>
        <w:t>.</w:t>
      </w:r>
      <w:r>
        <w:tab/>
        <w:t>Lodgement of memorial and creation of charge</w:t>
      </w:r>
      <w:bookmarkEnd w:id="11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16" w:name="_Toc106984224"/>
      <w:r>
        <w:rPr>
          <w:rStyle w:val="CharSectno"/>
        </w:rPr>
        <w:t>56</w:t>
      </w:r>
      <w:r>
        <w:t>.</w:t>
      </w:r>
      <w:r>
        <w:tab/>
        <w:t>Priority of charge</w:t>
      </w:r>
      <w:bookmarkEnd w:id="116"/>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17" w:name="_Toc106984225"/>
      <w:r>
        <w:rPr>
          <w:rStyle w:val="CharSectno"/>
        </w:rPr>
        <w:t>57</w:t>
      </w:r>
      <w:r>
        <w:t>.</w:t>
      </w:r>
      <w:r>
        <w:tab/>
        <w:t>Release of relevant interest from charge</w:t>
      </w:r>
      <w:bookmarkEnd w:id="117"/>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18" w:name="_Toc106984226"/>
      <w:r>
        <w:rPr>
          <w:rStyle w:val="CharSectno"/>
        </w:rPr>
        <w:t>58</w:t>
      </w:r>
      <w:r>
        <w:t>.</w:t>
      </w:r>
      <w:r>
        <w:tab/>
        <w:t>Order for sale of relevant interest</w:t>
      </w:r>
      <w:bookmarkEnd w:id="118"/>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19" w:name="_Toc106984227"/>
      <w:r>
        <w:rPr>
          <w:rStyle w:val="CharSectno"/>
        </w:rPr>
        <w:t>59</w:t>
      </w:r>
      <w:r>
        <w:t>.</w:t>
      </w:r>
      <w:r>
        <w:tab/>
        <w:t>Charge not to limit other means of enforcing payment</w:t>
      </w:r>
      <w:bookmarkEnd w:id="119"/>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20" w:name="_Toc106984228"/>
      <w:r>
        <w:rPr>
          <w:rStyle w:val="CharSectno"/>
        </w:rPr>
        <w:lastRenderedPageBreak/>
        <w:t>60</w:t>
      </w:r>
      <w:r>
        <w:t>.</w:t>
      </w:r>
      <w:r>
        <w:tab/>
        <w:t>Commissioner may require fees to be reimbursed</w:t>
      </w:r>
      <w:bookmarkEnd w:id="12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21" w:name="_Toc106984106"/>
      <w:bookmarkStart w:id="122" w:name="_Toc106984229"/>
      <w:r>
        <w:rPr>
          <w:rStyle w:val="CharDivNo"/>
        </w:rPr>
        <w:t>Division 5</w:t>
      </w:r>
      <w:r>
        <w:t xml:space="preserve"> — </w:t>
      </w:r>
      <w:r>
        <w:rPr>
          <w:rStyle w:val="CharDivText"/>
        </w:rPr>
        <w:t>Service of documents</w:t>
      </w:r>
      <w:bookmarkEnd w:id="121"/>
      <w:bookmarkEnd w:id="122"/>
    </w:p>
    <w:p>
      <w:pPr>
        <w:pStyle w:val="Heading5"/>
      </w:pPr>
      <w:bookmarkStart w:id="123" w:name="_Toc106984230"/>
      <w:r>
        <w:rPr>
          <w:rStyle w:val="CharSectno"/>
        </w:rPr>
        <w:t>61</w:t>
      </w:r>
      <w:r>
        <w:t>.</w:t>
      </w:r>
      <w:r>
        <w:tab/>
        <w:t>Service on joint applicants or agent or representative</w:t>
      </w:r>
      <w:bookmarkEnd w:id="123"/>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24" w:name="_Toc106984231"/>
      <w:r>
        <w:rPr>
          <w:rStyle w:val="CharSectno"/>
        </w:rPr>
        <w:t>62</w:t>
      </w:r>
      <w:r>
        <w:t>.</w:t>
      </w:r>
      <w:r>
        <w:tab/>
        <w:t>Method of service by Commissioner</w:t>
      </w:r>
      <w:bookmarkEnd w:id="124"/>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25" w:name="_Toc106984232"/>
      <w:r>
        <w:rPr>
          <w:rStyle w:val="CharSectno"/>
        </w:rPr>
        <w:t>63</w:t>
      </w:r>
      <w:r>
        <w:t>.</w:t>
      </w:r>
      <w:r>
        <w:tab/>
        <w:t>Service of court process</w:t>
      </w:r>
      <w:bookmarkEnd w:id="125"/>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lastRenderedPageBreak/>
        <w:tab/>
        <w:t>(b)</w:t>
      </w:r>
      <w:r>
        <w:tab/>
        <w:t>if notice of the document is given in accordance with the court’s directions.</w:t>
      </w:r>
    </w:p>
    <w:p>
      <w:pPr>
        <w:pStyle w:val="Heading5"/>
      </w:pPr>
      <w:bookmarkStart w:id="126" w:name="_Toc106984233"/>
      <w:r>
        <w:rPr>
          <w:rStyle w:val="CharSectno"/>
        </w:rPr>
        <w:t>64</w:t>
      </w:r>
      <w:r>
        <w:t>.</w:t>
      </w:r>
      <w:r>
        <w:tab/>
        <w:t>Other enactments not limited</w:t>
      </w:r>
      <w:bookmarkEnd w:id="126"/>
    </w:p>
    <w:p>
      <w:pPr>
        <w:pStyle w:val="Subsection"/>
      </w:pPr>
      <w:r>
        <w:tab/>
      </w:r>
      <w:r>
        <w:tab/>
        <w:t>This Division does not limit any other enactment that provides for the service of documents.</w:t>
      </w:r>
    </w:p>
    <w:p>
      <w:pPr>
        <w:pStyle w:val="Heading3"/>
      </w:pPr>
      <w:bookmarkStart w:id="127" w:name="_Toc106984111"/>
      <w:bookmarkStart w:id="128" w:name="_Toc106984234"/>
      <w:r>
        <w:rPr>
          <w:rStyle w:val="CharDivNo"/>
        </w:rPr>
        <w:t>Division 5A</w:t>
      </w:r>
      <w:r>
        <w:t> — </w:t>
      </w:r>
      <w:r>
        <w:rPr>
          <w:rStyle w:val="CharDivText"/>
        </w:rPr>
        <w:t>Emergency grant relief measures</w:t>
      </w:r>
      <w:bookmarkEnd w:id="127"/>
      <w:bookmarkEnd w:id="128"/>
    </w:p>
    <w:p>
      <w:pPr>
        <w:pStyle w:val="Footnoteheading"/>
      </w:pPr>
      <w:r>
        <w:tab/>
        <w:t>[Header inserted: No. 1 of 2022 r. 12.]</w:t>
      </w:r>
    </w:p>
    <w:p>
      <w:pPr>
        <w:pStyle w:val="Heading5"/>
      </w:pPr>
      <w:bookmarkStart w:id="129" w:name="_Toc106984235"/>
      <w:r>
        <w:rPr>
          <w:rStyle w:val="CharSectno"/>
        </w:rPr>
        <w:t>64A</w:t>
      </w:r>
      <w:r>
        <w:t>.</w:t>
      </w:r>
      <w:r>
        <w:tab/>
        <w:t>Grant relief measures</w:t>
      </w:r>
      <w:bookmarkEnd w:id="129"/>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30" w:name="_Toc106984236"/>
      <w:r>
        <w:rPr>
          <w:rStyle w:val="CharSectno"/>
        </w:rPr>
        <w:t>64B</w:t>
      </w:r>
      <w:r>
        <w:t>.</w:t>
      </w:r>
      <w:r>
        <w:tab/>
        <w:t>Treasurer may declare grant relief measure due to emergency</w:t>
      </w:r>
      <w:bookmarkEnd w:id="130"/>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lastRenderedPageBreak/>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 xml:space="preserve">is not limited by reference to the period for which the relevant emergency declaration is in </w:t>
      </w:r>
      <w:r>
        <w:lastRenderedPageBreak/>
        <w:t>force, except that it must not be a period that is wholly before that period.</w:t>
      </w:r>
    </w:p>
    <w:p>
      <w:pPr>
        <w:pStyle w:val="Footnotesection"/>
      </w:pPr>
      <w:r>
        <w:tab/>
        <w:t>[Section 64B inserted: No. 1 of 2022 s. 12.]</w:t>
      </w:r>
    </w:p>
    <w:p>
      <w:pPr>
        <w:pStyle w:val="Heading5"/>
      </w:pPr>
      <w:bookmarkStart w:id="131" w:name="_Toc106984237"/>
      <w:r>
        <w:rPr>
          <w:rStyle w:val="CharSectno"/>
        </w:rPr>
        <w:t>64C</w:t>
      </w:r>
      <w:r>
        <w:t>.</w:t>
      </w:r>
      <w:r>
        <w:tab/>
        <w:t>Amendment and revocation of grant relief declaration</w:t>
      </w:r>
      <w:bookmarkEnd w:id="131"/>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132" w:name="_Toc106984238"/>
      <w:r>
        <w:rPr>
          <w:rStyle w:val="CharSectno"/>
        </w:rPr>
        <w:t>64D</w:t>
      </w:r>
      <w:r>
        <w:t>.</w:t>
      </w:r>
      <w:r>
        <w:tab/>
        <w:t>Provisions about grant relief declarations and instruments of amendment or revocation</w:t>
      </w:r>
      <w:bookmarkEnd w:id="132"/>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33" w:name="_Toc106984239"/>
      <w:r>
        <w:rPr>
          <w:rStyle w:val="CharSectno"/>
        </w:rPr>
        <w:lastRenderedPageBreak/>
        <w:t>64E</w:t>
      </w:r>
      <w:r>
        <w:t>.</w:t>
      </w:r>
      <w:r>
        <w:tab/>
        <w:t>Procedural requirements for declared grant relief measure</w:t>
      </w:r>
      <w:bookmarkEnd w:id="133"/>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34" w:name="_Toc106984240"/>
      <w:r>
        <w:rPr>
          <w:rStyle w:val="CharSectno"/>
        </w:rPr>
        <w:t>64F</w:t>
      </w:r>
      <w:r>
        <w:t>.</w:t>
      </w:r>
      <w:r>
        <w:tab/>
        <w:t>Effect of grant relief declaration</w:t>
      </w:r>
      <w:bookmarkEnd w:id="134"/>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 xml:space="preserve">Despite any other provision of this Act, the Commissioner must do everything necessary to give effect to the grant relief measure, including authorising the payment of any amount or </w:t>
      </w:r>
      <w:r>
        <w:lastRenderedPageBreak/>
        <w:t>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135" w:name="_Toc106984118"/>
      <w:bookmarkStart w:id="136" w:name="_Toc106984241"/>
      <w:r>
        <w:rPr>
          <w:rStyle w:val="CharDivNo"/>
        </w:rPr>
        <w:t>Division 6</w:t>
      </w:r>
      <w:r>
        <w:t xml:space="preserve"> — </w:t>
      </w:r>
      <w:r>
        <w:rPr>
          <w:rStyle w:val="CharDivText"/>
        </w:rPr>
        <w:t>General</w:t>
      </w:r>
      <w:bookmarkEnd w:id="135"/>
      <w:bookmarkEnd w:id="136"/>
    </w:p>
    <w:p>
      <w:pPr>
        <w:pStyle w:val="Heading5"/>
      </w:pPr>
      <w:bookmarkStart w:id="137" w:name="_Toc106984242"/>
      <w:r>
        <w:rPr>
          <w:rStyle w:val="CharSectno"/>
        </w:rPr>
        <w:t>65</w:t>
      </w:r>
      <w:r>
        <w:t>.</w:t>
      </w:r>
      <w:r>
        <w:tab/>
        <w:t>Confidentiality</w:t>
      </w:r>
      <w:bookmarkEnd w:id="13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lastRenderedPageBreak/>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lastRenderedPageBreak/>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lastRenderedPageBreak/>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38" w:name="_Toc106984243"/>
      <w:r>
        <w:rPr>
          <w:rStyle w:val="CharSectno"/>
        </w:rPr>
        <w:t>66</w:t>
      </w:r>
      <w:r>
        <w:t>.</w:t>
      </w:r>
      <w:r>
        <w:tab/>
        <w:t>Time for commencing prosecutions</w:t>
      </w:r>
      <w:bookmarkEnd w:id="138"/>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39" w:name="_Toc106984244"/>
      <w:r>
        <w:rPr>
          <w:rStyle w:val="CharSectno"/>
        </w:rPr>
        <w:t>67</w:t>
      </w:r>
      <w:r>
        <w:t>.</w:t>
      </w:r>
      <w:r>
        <w:tab/>
        <w:t>Protection from liability for wrongdoing</w:t>
      </w:r>
      <w:bookmarkEnd w:id="13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0" w:name="_Toc106984245"/>
      <w:r>
        <w:rPr>
          <w:rStyle w:val="CharSectno"/>
        </w:rPr>
        <w:t>68</w:t>
      </w:r>
      <w:r>
        <w:t>.</w:t>
      </w:r>
      <w:r>
        <w:tab/>
        <w:t xml:space="preserve">Appropriation of </w:t>
      </w:r>
      <w:r>
        <w:rPr>
          <w:snapToGrid w:val="0"/>
        </w:rPr>
        <w:t>Consolidated Account</w:t>
      </w:r>
      <w:bookmarkEnd w:id="140"/>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41" w:name="_Toc106984246"/>
      <w:r>
        <w:rPr>
          <w:rStyle w:val="CharSectno"/>
        </w:rPr>
        <w:t>69</w:t>
      </w:r>
      <w:r>
        <w:t>.</w:t>
      </w:r>
      <w:r>
        <w:tab/>
        <w:t>Regulations</w:t>
      </w:r>
      <w:bookmarkEnd w:id="1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42" w:name="_Toc106984247"/>
      <w:r>
        <w:rPr>
          <w:rStyle w:val="CharSectno"/>
        </w:rPr>
        <w:t>70</w:t>
      </w:r>
      <w:r>
        <w:t>.</w:t>
      </w:r>
      <w:r>
        <w:tab/>
        <w:t>Review of Act</w:t>
      </w:r>
      <w:bookmarkEnd w:id="14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43" w:name="_Toc106984125"/>
      <w:bookmarkStart w:id="144" w:name="_Toc106984248"/>
      <w:r>
        <w:rPr>
          <w:rStyle w:val="CharPartNo"/>
        </w:rPr>
        <w:lastRenderedPageBreak/>
        <w:t>Part 5</w:t>
      </w:r>
      <w:r>
        <w:rPr>
          <w:rStyle w:val="CharDivNo"/>
        </w:rPr>
        <w:t> </w:t>
      </w:r>
      <w:r>
        <w:t>—</w:t>
      </w:r>
      <w:r>
        <w:rPr>
          <w:rStyle w:val="CharDivText"/>
        </w:rPr>
        <w:t> </w:t>
      </w:r>
      <w:r>
        <w:rPr>
          <w:rStyle w:val="CharPartText"/>
        </w:rPr>
        <w:t>Transitional provisions</w:t>
      </w:r>
      <w:bookmarkEnd w:id="143"/>
      <w:bookmarkEnd w:id="144"/>
    </w:p>
    <w:p>
      <w:pPr>
        <w:pStyle w:val="Footnoteheading"/>
      </w:pPr>
      <w:r>
        <w:tab/>
        <w:t>[Heading inserted: No. 1 of 2022 s. 13.]</w:t>
      </w:r>
    </w:p>
    <w:p>
      <w:pPr>
        <w:pStyle w:val="Heading5"/>
      </w:pPr>
      <w:bookmarkStart w:id="145" w:name="_Toc106984249"/>
      <w:r>
        <w:rPr>
          <w:rStyle w:val="CharSectno"/>
        </w:rPr>
        <w:t>71</w:t>
      </w:r>
      <w:r>
        <w:t>.</w:t>
      </w:r>
      <w:r>
        <w:tab/>
        <w:t xml:space="preserve">Transitional provision for </w:t>
      </w:r>
      <w:r>
        <w:rPr>
          <w:i/>
        </w:rPr>
        <w:t>Finance Legislation Amendment (Emergency Relief) Act 2022</w:t>
      </w:r>
      <w:bookmarkEnd w:id="1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6" w:name="_Toc106984127"/>
      <w:bookmarkStart w:id="147" w:name="_Toc106984250"/>
      <w:r>
        <w:lastRenderedPageBreak/>
        <w:t>Notes</w:t>
      </w:r>
      <w:bookmarkEnd w:id="146"/>
      <w:bookmarkEnd w:id="147"/>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48" w:name="_Toc106984251"/>
      <w:r>
        <w:t>Compilation table</w:t>
      </w:r>
      <w:bookmarkEnd w:id="14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lastRenderedPageBreak/>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single" w:sz="4" w:space="0" w:color="auto"/>
            </w:tcBorders>
          </w:tcPr>
          <w:p>
            <w:pPr>
              <w:pStyle w:val="nTable"/>
              <w:spacing w:after="40"/>
            </w:pPr>
            <w:r>
              <w:rPr>
                <w:i/>
              </w:rPr>
              <w:t>Finance Legislation Amendment (Emergency Relief) Act 2022</w:t>
            </w:r>
            <w:r>
              <w:t xml:space="preserve"> Pt. 3</w:t>
            </w:r>
          </w:p>
        </w:tc>
        <w:tc>
          <w:tcPr>
            <w:tcW w:w="1134" w:type="dxa"/>
            <w:tcBorders>
              <w:top w:val="nil"/>
              <w:bottom w:val="single" w:sz="4" w:space="0" w:color="auto"/>
            </w:tcBorders>
          </w:tcPr>
          <w:p>
            <w:pPr>
              <w:pStyle w:val="nTable"/>
              <w:spacing w:after="40"/>
            </w:pPr>
            <w:r>
              <w:t>1 of 2022</w:t>
            </w:r>
          </w:p>
        </w:tc>
        <w:tc>
          <w:tcPr>
            <w:tcW w:w="1134" w:type="dxa"/>
            <w:tcBorders>
              <w:top w:val="nil"/>
              <w:bottom w:val="single" w:sz="4" w:space="0" w:color="auto"/>
            </w:tcBorders>
          </w:tcPr>
          <w:p>
            <w:pPr>
              <w:pStyle w:val="nTable"/>
              <w:spacing w:after="40"/>
            </w:pPr>
            <w:r>
              <w:t>21 Feb 2022</w:t>
            </w:r>
          </w:p>
        </w:tc>
        <w:tc>
          <w:tcPr>
            <w:tcW w:w="2552" w:type="dxa"/>
            <w:tcBorders>
              <w:top w:val="nil"/>
              <w:bottom w:val="single" w:sz="4" w:space="0" w:color="auto"/>
            </w:tcBorders>
          </w:tcPr>
          <w:p>
            <w:pPr>
              <w:pStyle w:val="nTable"/>
              <w:spacing w:after="40"/>
            </w:pPr>
            <w:r>
              <w:t>22 Feb 2022 (see s. 2(b))</w:t>
            </w:r>
          </w:p>
        </w:tc>
      </w:tr>
    </w:tbl>
    <w:p>
      <w:pPr>
        <w:pStyle w:val="nHeading3"/>
      </w:pPr>
      <w:bookmarkStart w:id="149" w:name="_Toc106984252"/>
      <w:r>
        <w:t>Uncommenced provisions table</w:t>
      </w:r>
      <w:bookmarkEnd w:id="14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Legal Profession Uniform Law Application Act 2022</w:t>
            </w:r>
            <w:r>
              <w:t xml:space="preserve"> s. 424</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To be proclaimed (see s. 2(c))</w:t>
            </w:r>
          </w:p>
        </w:tc>
      </w:tr>
      <w:tr>
        <w:tc>
          <w:tcPr>
            <w:tcW w:w="2268" w:type="dxa"/>
            <w:tcBorders>
              <w:top w:val="nil"/>
            </w:tcBorders>
          </w:tcPr>
          <w:p>
            <w:pPr>
              <w:pStyle w:val="nTable"/>
              <w:spacing w:after="40"/>
            </w:pPr>
            <w:r>
              <w:rPr>
                <w:i/>
              </w:rPr>
              <w:t>Transfer of Land Amendment Act 2022</w:t>
            </w:r>
            <w:r>
              <w:t xml:space="preserve"> Pt. 3 Div. 5</w:t>
            </w:r>
          </w:p>
        </w:tc>
        <w:tc>
          <w:tcPr>
            <w:tcW w:w="1134" w:type="dxa"/>
            <w:tcBorders>
              <w:top w:val="nil"/>
            </w:tcBorders>
          </w:tcPr>
          <w:p>
            <w:pPr>
              <w:pStyle w:val="nTable"/>
              <w:spacing w:after="40"/>
            </w:pPr>
            <w:r>
              <w:t>21 of 2022</w:t>
            </w:r>
          </w:p>
        </w:tc>
        <w:tc>
          <w:tcPr>
            <w:tcW w:w="1134" w:type="dxa"/>
            <w:tcBorders>
              <w:top w:val="nil"/>
            </w:tcBorders>
          </w:tcPr>
          <w:p>
            <w:pPr>
              <w:pStyle w:val="nTable"/>
              <w:spacing w:after="40"/>
            </w:pPr>
            <w:r>
              <w:t>24 Jun 2022</w:t>
            </w:r>
          </w:p>
        </w:tc>
        <w:tc>
          <w:tcPr>
            <w:tcW w:w="2552" w:type="dxa"/>
            <w:tcBorders>
              <w:top w:val="nil"/>
            </w:tcBorders>
          </w:tcPr>
          <w:p>
            <w:pPr>
              <w:pStyle w:val="nTable"/>
              <w:spacing w:after="40"/>
            </w:pPr>
            <w:r>
              <w:t>To be proclaimed (see s. 2(b))</w:t>
            </w:r>
          </w:p>
        </w:tc>
      </w:tr>
    </w:tbl>
    <w:p>
      <w:pPr>
        <w:pStyle w:val="nHeading3"/>
      </w:pPr>
      <w:bookmarkStart w:id="150" w:name="_Toc106984253"/>
      <w:r>
        <w:t>Other notes</w:t>
      </w:r>
      <w:bookmarkEnd w:id="150"/>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lastRenderedPageBreak/>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lastRenderedPageBreak/>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52" w:name="_Toc106984131"/>
      <w:bookmarkStart w:id="153" w:name="_Toc106984254"/>
      <w:r>
        <w:rPr>
          <w:sz w:val="28"/>
        </w:rPr>
        <w:lastRenderedPageBreak/>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lastRenderedPageBreak/>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lastRenderedPageBreak/>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633"/>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23361</Words>
  <Characters>111904</Characters>
  <Application>Microsoft Office Word</Application>
  <DocSecurity>0</DocSecurity>
  <Lines>3108</Lines>
  <Paragraphs>1803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2000 - 03-g0-00</dc:title>
  <dc:subject/>
  <dc:creator/>
  <cp:keywords/>
  <dc:description/>
  <cp:lastModifiedBy>Master Repository Process</cp:lastModifiedBy>
  <cp:revision>4</cp:revision>
  <cp:lastPrinted>2018-11-21T03:28:00Z</cp:lastPrinted>
  <dcterms:created xsi:type="dcterms:W3CDTF">2022-06-24T09:42:00Z</dcterms:created>
  <dcterms:modified xsi:type="dcterms:W3CDTF">2022-06-24T09:42:00Z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24 Jun 2022</vt:lpwstr>
  </property>
  <property fmtid="{D5CDD505-2E9C-101B-9397-08002B2CF9AE}" pid="8" name="Suffix">
    <vt:lpwstr>03-g0-00</vt:lpwstr>
  </property>
  <property fmtid="{D5CDD505-2E9C-101B-9397-08002B2CF9AE}" pid="9" name="CommencementDate">
    <vt:lpwstr>20220624</vt:lpwstr>
  </property>
</Properties>
</file>