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_Toc106975859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_Toc106975860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_Toc106975861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_Toc106975863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_Toc106975864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Energy Coordination Act 1994</w:t>
      </w:r>
    </w:p>
    <w:p>
      <w:pPr>
        <w:pStyle w:val="NameofActReg"/>
      </w:pPr>
      <w:r>
        <w:t>Gas Marketing Code of Conduct 2022</w:t>
      </w:r>
    </w:p>
    <w:p>
      <w:pPr>
        <w:pStyle w:val="Heading2"/>
        <w:pageBreakBefore w:val="0"/>
        <w:spacing w:before="360"/>
      </w:pPr>
      <w:bookmarkStart w:id="3" w:name="_Toc101949151"/>
      <w:bookmarkStart w:id="4" w:name="_Toc101950490"/>
      <w:bookmarkStart w:id="5" w:name="_Toc101952990"/>
      <w:bookmarkStart w:id="6" w:name="_Toc102391261"/>
      <w:bookmarkStart w:id="7" w:name="_Toc102393613"/>
      <w:bookmarkStart w:id="8" w:name="_Toc106865357"/>
      <w:bookmarkStart w:id="9" w:name="_Toc106955031"/>
      <w:bookmarkStart w:id="10" w:name="_Toc106955239"/>
      <w:bookmarkStart w:id="11" w:name="_Toc106955467"/>
      <w:bookmarkStart w:id="12" w:name="_Toc106975548"/>
      <w:bookmarkStart w:id="13" w:name="_Toc10697585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Heading5"/>
      </w:pPr>
      <w:bookmarkStart w:id="14" w:name="_Toc102393614"/>
      <w:bookmarkStart w:id="15" w:name="_Toc106865358"/>
      <w:bookmarkStart w:id="16" w:name="_Toc106975859"/>
      <w:r>
        <w:rPr>
          <w:rStyle w:val="CharSectno"/>
        </w:rPr>
        <w:t>1</w:t>
      </w:r>
      <w:r>
        <w:t>.</w:t>
      </w:r>
      <w:r>
        <w:tab/>
        <w:t>Citation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</w:r>
      <w:bookmarkStart w:id="17" w:name="Start_Cursor"/>
      <w:bookmarkEnd w:id="17"/>
      <w:r>
        <w:t xml:space="preserve">This </w:t>
      </w:r>
      <w:r>
        <w:rPr>
          <w:spacing w:val="-2"/>
        </w:rPr>
        <w:t>code</w:t>
      </w:r>
      <w:r>
        <w:t xml:space="preserve"> is the </w:t>
      </w:r>
      <w:r>
        <w:rPr>
          <w:i/>
        </w:rPr>
        <w:t>Gas Marketing Code of Conduct 2022</w:t>
      </w:r>
      <w:r>
        <w:t>.</w:t>
      </w:r>
    </w:p>
    <w:p>
      <w:pPr>
        <w:pStyle w:val="Heading5"/>
        <w:rPr>
          <w:spacing w:val="-2"/>
        </w:rPr>
      </w:pPr>
      <w:bookmarkStart w:id="18" w:name="_Toc102393615"/>
      <w:bookmarkStart w:id="19" w:name="_Toc106865359"/>
      <w:bookmarkStart w:id="20" w:name="_Toc10697586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code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 1</w:t>
      </w:r>
      <w:r>
        <w:t xml:space="preserve"> — on the day on which this </w:t>
      </w:r>
      <w:r>
        <w:rPr>
          <w:spacing w:val="-2"/>
        </w:rPr>
        <w:t>code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code</w:t>
      </w:r>
      <w:r>
        <w:t> — on 1 July 2022.</w:t>
      </w:r>
    </w:p>
    <w:p>
      <w:pPr>
        <w:pStyle w:val="Heading5"/>
      </w:pPr>
      <w:bookmarkStart w:id="21" w:name="_Toc102393616"/>
      <w:bookmarkStart w:id="22" w:name="_Toc106865360"/>
      <w:bookmarkStart w:id="23" w:name="_Toc106975861"/>
      <w:r>
        <w:rPr>
          <w:rStyle w:val="CharSectno"/>
        </w:rPr>
        <w:t>3</w:t>
      </w:r>
      <w:r>
        <w:t>.</w:t>
      </w:r>
      <w:r>
        <w:tab/>
        <w:t>Terms used</w:t>
      </w:r>
      <w:bookmarkEnd w:id="21"/>
      <w:bookmarkEnd w:id="22"/>
      <w:bookmarkEnd w:id="23"/>
    </w:p>
    <w:p>
      <w:pPr>
        <w:pStyle w:val="Subsection"/>
      </w:pPr>
      <w:r>
        <w:tab/>
      </w:r>
      <w:r>
        <w:tab/>
        <w:t xml:space="preserve">In this code — </w:t>
      </w:r>
    </w:p>
    <w:p>
      <w:pPr>
        <w:pStyle w:val="Defstart"/>
      </w:pPr>
      <w:r>
        <w:tab/>
      </w:r>
      <w:r>
        <w:rPr>
          <w:rStyle w:val="CharDefText"/>
        </w:rPr>
        <w:t>alternative tariff</w:t>
      </w:r>
      <w:r>
        <w:t>, for a small use customer, means a tariff other than the tariff under which the customer is currently supplied gas;</w:t>
      </w:r>
    </w:p>
    <w:p>
      <w:pPr>
        <w:pStyle w:val="Defstart"/>
        <w:rPr>
          <w:bCs/>
          <w:iCs/>
        </w:rPr>
      </w:pPr>
      <w:r>
        <w:tab/>
      </w:r>
      <w:r>
        <w:rPr>
          <w:rStyle w:val="CharDefText"/>
        </w:rPr>
        <w:t>AS</w:t>
      </w:r>
      <w:r>
        <w:t>, followed by a designation, means an Australian Standard having that designation that is published by Standards Australia;</w:t>
      </w:r>
    </w:p>
    <w:p>
      <w:pPr>
        <w:pStyle w:val="Defstart"/>
      </w:pPr>
      <w:r>
        <w:tab/>
      </w:r>
      <w:r>
        <w:rPr>
          <w:rStyle w:val="CharDefText"/>
        </w:rPr>
        <w:t>Australian Consumer Law (WA)</w:t>
      </w:r>
      <w:r>
        <w:t xml:space="preserve"> has the meaning given in the </w:t>
      </w:r>
      <w:r>
        <w:rPr>
          <w:i/>
        </w:rPr>
        <w:t>Fair Trading Act 2010</w:t>
      </w:r>
      <w:r>
        <w:t xml:space="preserve"> section 17(1);</w:t>
      </w:r>
    </w:p>
    <w:p>
      <w:pPr>
        <w:pStyle w:val="Defstart"/>
        <w:rPr>
          <w:rFonts w:cs="Arial"/>
          <w:szCs w:val="22"/>
        </w:rPr>
      </w:pPr>
      <w:r>
        <w:tab/>
      </w:r>
      <w:r>
        <w:rPr>
          <w:rStyle w:val="CharDefText"/>
        </w:rPr>
        <w:t>business day</w:t>
      </w:r>
      <w:r>
        <w:rPr>
          <w:rFonts w:cs="Arial"/>
          <w:szCs w:val="22"/>
        </w:rPr>
        <w:t xml:space="preserve"> means</w:t>
      </w:r>
      <w:r>
        <w:t xml:space="preserve"> a day other than a Saturday, a Sunday or a public holiday throughout the State</w:t>
      </w:r>
      <w:r>
        <w:rPr>
          <w:rFonts w:cs="Arial"/>
          <w:szCs w:val="22"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Compendium</w:t>
      </w:r>
      <w:r>
        <w:t xml:space="preserve"> means the Compendium of Gas Customer Licence Obligations prepared and administered by the Authority;</w:t>
      </w:r>
    </w:p>
    <w:p>
      <w:pPr>
        <w:pStyle w:val="Defstart"/>
        <w:keepLines/>
      </w:pPr>
      <w:r>
        <w:lastRenderedPageBreak/>
        <w:tab/>
      </w:r>
      <w:r>
        <w:rPr>
          <w:rStyle w:val="CharDefText"/>
        </w:rPr>
        <w:t>complaint</w:t>
      </w:r>
      <w:r>
        <w:t xml:space="preserve"> means an expression of dissatisfaction made to or about an organisation, related to its products, services, staff or the handling of a complaint, where a response or resolution is explicitly or implicitly expected or legally required;</w:t>
      </w:r>
    </w:p>
    <w:p>
      <w:pPr>
        <w:pStyle w:val="Defstart"/>
      </w:pPr>
      <w:r>
        <w:tab/>
      </w:r>
      <w:r>
        <w:rPr>
          <w:rStyle w:val="CharDefText"/>
        </w:rPr>
        <w:t>concession</w:t>
      </w:r>
      <w:r>
        <w:t xml:space="preserve"> means a concession, rebate, subsidy or grant, available to residential customers only, in relation to the supply of gas;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contact</w:t>
      </w:r>
      <w:r>
        <w:t xml:space="preserve"> means contact that is </w:t>
      </w:r>
      <w:r>
        <w:rPr>
          <w:bCs/>
        </w:rPr>
        <w:t>—</w:t>
      </w:r>
    </w:p>
    <w:p>
      <w:pPr>
        <w:pStyle w:val="Defpara"/>
      </w:pPr>
      <w:r>
        <w:tab/>
        <w:t>(a)</w:t>
      </w:r>
      <w:r>
        <w:tab/>
        <w:t>face to face; or</w:t>
      </w:r>
    </w:p>
    <w:p>
      <w:pPr>
        <w:pStyle w:val="Defpara"/>
      </w:pPr>
      <w:r>
        <w:tab/>
        <w:t>(b)</w:t>
      </w:r>
      <w:r>
        <w:tab/>
        <w:t>by telephone; or</w:t>
      </w:r>
    </w:p>
    <w:p>
      <w:pPr>
        <w:pStyle w:val="Defpara"/>
      </w:pPr>
      <w:r>
        <w:tab/>
        <w:t>(c)</w:t>
      </w:r>
      <w:r>
        <w:tab/>
        <w:t>by post or facsimile; or</w:t>
      </w:r>
    </w:p>
    <w:p>
      <w:pPr>
        <w:pStyle w:val="Defpara"/>
      </w:pPr>
      <w:r>
        <w:tab/>
        <w:t>(d)</w:t>
      </w:r>
      <w:r>
        <w:tab/>
        <w:t>by email or other means of electronic communication;</w:t>
      </w:r>
    </w:p>
    <w:p>
      <w:pPr>
        <w:pStyle w:val="Defstart"/>
      </w:pPr>
      <w:r>
        <w:tab/>
      </w:r>
      <w:r>
        <w:rPr>
          <w:rStyle w:val="CharDefText"/>
        </w:rPr>
        <w:t>contract</w:t>
      </w:r>
      <w:r>
        <w:t xml:space="preserve"> means a standard form contract or a non</w:t>
      </w:r>
      <w:r>
        <w:noBreakHyphen/>
        <w:t>standard contract;</w:t>
      </w:r>
    </w:p>
    <w:p>
      <w:pPr>
        <w:pStyle w:val="Defstart"/>
      </w:pPr>
      <w:r>
        <w:tab/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>, in relation to a contract, means the period specified in the contract as the cooling</w:t>
      </w:r>
      <w:r>
        <w:noBreakHyphen/>
        <w:t>off period;</w:t>
      </w:r>
    </w:p>
    <w:p>
      <w:pPr>
        <w:pStyle w:val="Defstart"/>
      </w:pPr>
      <w:r>
        <w:tab/>
      </w:r>
      <w:r>
        <w:rPr>
          <w:rStyle w:val="CharDefText"/>
        </w:rPr>
        <w:t>distributor</w:t>
      </w:r>
      <w:r>
        <w:t>, in relation to a small</w:t>
      </w:r>
      <w:r>
        <w:noBreakHyphen/>
        <w:t>use customer who has entered into a contract, means the person who holds the distribution licence under Part 2A of the Act for the system through which gas is supplied to the customer under the contract;</w:t>
      </w:r>
    </w:p>
    <w:p>
      <w:pPr>
        <w:pStyle w:val="Defstart"/>
      </w:pPr>
      <w:r>
        <w:tab/>
      </w:r>
      <w:r>
        <w:rPr>
          <w:rStyle w:val="CharDefText"/>
        </w:rPr>
        <w:t>gas industry ombudsman</w:t>
      </w:r>
      <w:r>
        <w:t xml:space="preserve"> means the Energy and Water Ombudsman Western Australia performing the function of gas industry ombudsman under a scheme approved under Part 2D of the Act and an agreement under the </w:t>
      </w:r>
      <w:r>
        <w:rPr>
          <w:i/>
          <w:iCs/>
        </w:rPr>
        <w:t xml:space="preserve">Parliamentary Commissioner Act 1971 </w:t>
      </w:r>
      <w:r>
        <w:t>section 34;</w:t>
      </w:r>
    </w:p>
    <w:p>
      <w:pPr>
        <w:pStyle w:val="Defstart"/>
      </w:pPr>
      <w:r>
        <w:tab/>
      </w:r>
      <w:r>
        <w:rPr>
          <w:rStyle w:val="CharDefText"/>
        </w:rPr>
        <w:t>gas marketing agent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 xml:space="preserve">means a person who acts on behalf of a retailer — </w:t>
      </w:r>
    </w:p>
    <w:p>
      <w:pPr>
        <w:pStyle w:val="Defsubpara"/>
      </w:pPr>
      <w:r>
        <w:tab/>
        <w:t>(i)</w:t>
      </w:r>
      <w:r>
        <w:tab/>
        <w:t xml:space="preserve">for the purpose of obtaining new </w:t>
      </w:r>
      <w:r>
        <w:rPr>
          <w:bCs/>
          <w:iCs/>
        </w:rPr>
        <w:t>customers</w:t>
      </w:r>
      <w:r>
        <w:t xml:space="preserve"> for the retailer; or</w:t>
      </w:r>
    </w:p>
    <w:p>
      <w:pPr>
        <w:pStyle w:val="Defsubpara"/>
      </w:pPr>
      <w:r>
        <w:tab/>
        <w:t>(ii)</w:t>
      </w:r>
      <w:r>
        <w:tab/>
        <w:t xml:space="preserve">in dealings with existing </w:t>
      </w:r>
      <w:r>
        <w:rPr>
          <w:bCs/>
          <w:iCs/>
        </w:rPr>
        <w:t>customers</w:t>
      </w:r>
      <w:r>
        <w:t xml:space="preserve"> in relation to contracts for the supply of gas by the retailer;</w:t>
      </w:r>
    </w:p>
    <w:p>
      <w:pPr>
        <w:pStyle w:val="Defpara"/>
      </w:pPr>
      <w:r>
        <w:tab/>
      </w:r>
      <w:r>
        <w:tab/>
        <w:t>and</w:t>
      </w:r>
    </w:p>
    <w:p>
      <w:pPr>
        <w:pStyle w:val="Defpara"/>
      </w:pPr>
      <w:r>
        <w:lastRenderedPageBreak/>
        <w:tab/>
        <w:t>(b)</w:t>
      </w:r>
      <w:r>
        <w:tab/>
        <w:t>includes a representative, agent or employee of a person referred to in paragraph (a); but</w:t>
      </w:r>
    </w:p>
    <w:p>
      <w:pPr>
        <w:pStyle w:val="Defpara"/>
      </w:pPr>
      <w:r>
        <w:tab/>
        <w:t>(c)</w:t>
      </w:r>
      <w:r>
        <w:tab/>
        <w:t>does not include a customer representative;</w:t>
      </w:r>
    </w:p>
    <w:p>
      <w:pPr>
        <w:pStyle w:val="Defstart"/>
      </w:pPr>
      <w:r>
        <w:tab/>
      </w:r>
      <w:r>
        <w:rPr>
          <w:rStyle w:val="CharDefText"/>
        </w:rPr>
        <w:t>marketing identification number</w:t>
      </w:r>
      <w:r>
        <w:t xml:space="preserve"> means a unique number assigned by a retailer to each gas marketing agent </w:t>
      </w:r>
      <w:r>
        <w:rPr>
          <w:bCs/>
          <w:iCs/>
        </w:rPr>
        <w:t>acting</w:t>
      </w:r>
      <w:r>
        <w:t xml:space="preserve"> on its behalf;</w:t>
      </w:r>
    </w:p>
    <w:p>
      <w:pPr>
        <w:pStyle w:val="Defstart"/>
      </w:pPr>
      <w:r>
        <w:tab/>
      </w:r>
      <w:r>
        <w:rPr>
          <w:rStyle w:val="CharDefText"/>
        </w:rPr>
        <w:t>National Interpreter Symbol</w:t>
      </w:r>
      <w:r>
        <w:t xml:space="preserve"> means the national public information symbol “Interpreter Symbol” (with text) developed by the State of Victoria in partnership with the Commonwealth, State and Territory governments in accordance with AS 2342</w:t>
      </w:r>
      <w:r>
        <w:noBreakHyphen/>
        <w:t>1992;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standard contract</w:t>
      </w:r>
      <w:r>
        <w:t xml:space="preserve"> has the meaning given in section 11WB of the Act;</w:t>
      </w:r>
    </w:p>
    <w:p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small use </w:t>
      </w:r>
      <w:r>
        <w:rPr>
          <w:bCs/>
          <w:iCs/>
        </w:rPr>
        <w:t>customer</w:t>
      </w:r>
      <w:r>
        <w:t xml:space="preserve"> who consumes gas solely for domestic use;</w:t>
      </w:r>
    </w:p>
    <w:p>
      <w:pPr>
        <w:pStyle w:val="Defstart"/>
      </w:pPr>
      <w:r>
        <w:tab/>
      </w:r>
      <w:r>
        <w:rPr>
          <w:rStyle w:val="CharDefText"/>
        </w:rPr>
        <w:t>retailer</w:t>
      </w:r>
      <w:r>
        <w:rPr>
          <w:iCs/>
        </w:rPr>
        <w:t xml:space="preserve"> </w:t>
      </w:r>
      <w:r>
        <w:t>means a person who holds a trading licence under Part 2A of the Act;</w:t>
      </w:r>
    </w:p>
    <w:p>
      <w:pPr>
        <w:pStyle w:val="Defstart"/>
      </w:pPr>
      <w:r>
        <w:tab/>
      </w:r>
      <w:r>
        <w:rPr>
          <w:rStyle w:val="CharDefText"/>
        </w:rPr>
        <w:t>standard form contract</w:t>
      </w:r>
      <w:r>
        <w:t xml:space="preserve"> has the meaning given in section 11WB of the Act;</w:t>
      </w:r>
    </w:p>
    <w:p>
      <w:pPr>
        <w:pStyle w:val="Defstart"/>
      </w:pPr>
      <w:r>
        <w:tab/>
      </w:r>
      <w:r>
        <w:rPr>
          <w:rStyle w:val="CharDefText"/>
        </w:rPr>
        <w:t>unsolicited consumer agreement</w:t>
      </w:r>
      <w:r>
        <w:t xml:space="preserve"> has the meaning given in the </w:t>
      </w:r>
      <w:r>
        <w:rPr>
          <w:iCs/>
        </w:rPr>
        <w:t>Australian Consumer Law (WA)</w:t>
      </w:r>
      <w:r>
        <w:rPr>
          <w:bCs/>
          <w:iCs/>
        </w:rPr>
        <w:t xml:space="preserve"> section 69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verifiable confirmation</w:t>
      </w:r>
      <w:r>
        <w:t xml:space="preserve"> means confirmation that is given to a retailer or a gas marketing agent — </w:t>
      </w:r>
    </w:p>
    <w:p>
      <w:pPr>
        <w:pStyle w:val="Defpara"/>
      </w:pPr>
      <w:r>
        <w:tab/>
        <w:t>(a)</w:t>
      </w:r>
      <w:r>
        <w:tab/>
        <w:t>expressly; and</w:t>
      </w:r>
    </w:p>
    <w:p>
      <w:pPr>
        <w:pStyle w:val="Defpara"/>
      </w:pPr>
      <w:r>
        <w:tab/>
        <w:t>(b)</w:t>
      </w:r>
      <w:r>
        <w:tab/>
        <w:t>in writing or orally; and</w:t>
      </w:r>
    </w:p>
    <w:p>
      <w:pPr>
        <w:pStyle w:val="Defpara"/>
      </w:pPr>
      <w:r>
        <w:tab/>
        <w:t>(c)</w:t>
      </w:r>
      <w:r>
        <w:tab/>
        <w:t xml:space="preserve">by a small use </w:t>
      </w:r>
      <w:r>
        <w:rPr>
          <w:bCs/>
          <w:iCs/>
        </w:rPr>
        <w:t>customer</w:t>
      </w:r>
      <w:r>
        <w:t xml:space="preserve"> or a nominated person competent to give the confirmation on the </w:t>
      </w:r>
      <w:r>
        <w:rPr>
          <w:bCs/>
          <w:iCs/>
        </w:rPr>
        <w:t>customer’s</w:t>
      </w:r>
      <w:r>
        <w:t xml:space="preserve"> behalf;</w:t>
      </w:r>
    </w:p>
    <w:p>
      <w:pPr>
        <w:pStyle w:val="Defstart"/>
      </w:pPr>
      <w:r>
        <w:tab/>
      </w:r>
      <w:r>
        <w:rPr>
          <w:rStyle w:val="CharDefText"/>
        </w:rPr>
        <w:t>verifiable consent</w:t>
      </w:r>
      <w:r>
        <w:t xml:space="preserve"> means consent that is given to a retailer or a gas marketing agent — </w:t>
      </w:r>
    </w:p>
    <w:p>
      <w:pPr>
        <w:pStyle w:val="Defpara"/>
      </w:pPr>
      <w:r>
        <w:tab/>
        <w:t>(a)</w:t>
      </w:r>
      <w:r>
        <w:tab/>
        <w:t>expressly; and</w:t>
      </w:r>
    </w:p>
    <w:p>
      <w:pPr>
        <w:pStyle w:val="Defpara"/>
      </w:pPr>
      <w:r>
        <w:tab/>
        <w:t>(b)</w:t>
      </w:r>
      <w:r>
        <w:tab/>
        <w:t>in writing or orally; and</w:t>
      </w:r>
    </w:p>
    <w:p>
      <w:pPr>
        <w:pStyle w:val="Defpara"/>
      </w:pPr>
      <w:r>
        <w:lastRenderedPageBreak/>
        <w:tab/>
        <w:t>(c)</w:t>
      </w:r>
      <w:r>
        <w:tab/>
        <w:t xml:space="preserve">by a small use </w:t>
      </w:r>
      <w:r>
        <w:rPr>
          <w:bCs/>
          <w:iCs/>
        </w:rPr>
        <w:t>customer</w:t>
      </w:r>
      <w:r>
        <w:t xml:space="preserve"> or a nominated person competent to give the consent on the </w:t>
      </w:r>
      <w:r>
        <w:rPr>
          <w:bCs/>
          <w:iCs/>
        </w:rPr>
        <w:t>customer’s</w:t>
      </w:r>
      <w:r>
        <w:t xml:space="preserve"> behalf; and</w:t>
      </w:r>
    </w:p>
    <w:p>
      <w:pPr>
        <w:pStyle w:val="Defpara"/>
      </w:pPr>
      <w:r>
        <w:tab/>
        <w:t>(d)</w:t>
      </w:r>
      <w:r>
        <w:tab/>
        <w:t xml:space="preserve">after the retailer or gas marketing agent (whichever is relevant) has, in plain language appropriate to the </w:t>
      </w:r>
      <w:r>
        <w:rPr>
          <w:bCs/>
          <w:iCs/>
        </w:rPr>
        <w:t>customer,</w:t>
      </w:r>
      <w:r>
        <w:t xml:space="preserve"> disclosed all matters materially relevant to the giving of the consent, including each specific purpose for which the consent will be used.</w:t>
      </w:r>
    </w:p>
    <w:p>
      <w:pPr>
        <w:pStyle w:val="PermNoteHeading"/>
        <w:rPr>
          <w:rFonts w:cs="Arial"/>
          <w:szCs w:val="18"/>
        </w:rPr>
      </w:pPr>
      <w:r>
        <w:tab/>
        <w:t>Note for this clause</w:t>
      </w:r>
      <w:r>
        <w:rPr>
          <w:rFonts w:cs="Arial"/>
          <w:szCs w:val="18"/>
        </w:rPr>
        <w:t>:</w:t>
      </w:r>
    </w:p>
    <w:p>
      <w:pPr>
        <w:pStyle w:val="PermNoteText"/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 xml:space="preserve">A term used in this code has the same meaning as it has in the </w:t>
      </w:r>
      <w:r>
        <w:rPr>
          <w:rFonts w:cs="Arial"/>
          <w:i/>
          <w:iCs/>
          <w:szCs w:val="18"/>
        </w:rPr>
        <w:t>Energy Coordination Act 1994</w:t>
      </w:r>
      <w:r>
        <w:rPr>
          <w:rFonts w:cs="Arial"/>
          <w:iCs/>
          <w:szCs w:val="18"/>
        </w:rPr>
        <w:t xml:space="preserve">. </w:t>
      </w:r>
      <w:r>
        <w:rPr>
          <w:rFonts w:cs="Arial"/>
          <w:szCs w:val="18"/>
        </w:rPr>
        <w:t xml:space="preserve">See the </w:t>
      </w:r>
      <w:r>
        <w:rPr>
          <w:rFonts w:cs="Arial"/>
          <w:i/>
          <w:iCs/>
          <w:szCs w:val="18"/>
        </w:rPr>
        <w:t xml:space="preserve">Energy Coordination Act 1994 </w:t>
      </w:r>
      <w:r>
        <w:rPr>
          <w:rFonts w:cs="Arial"/>
          <w:szCs w:val="18"/>
        </w:rPr>
        <w:t xml:space="preserve">sections 3 and 11ZPL in particular, and the </w:t>
      </w:r>
      <w:r>
        <w:rPr>
          <w:rFonts w:cs="Arial"/>
          <w:i/>
          <w:iCs/>
          <w:szCs w:val="18"/>
        </w:rPr>
        <w:t xml:space="preserve">Interpretation Act 1984 </w:t>
      </w:r>
      <w:r>
        <w:rPr>
          <w:rFonts w:cs="Arial"/>
          <w:szCs w:val="18"/>
        </w:rPr>
        <w:t>section 44.</w:t>
      </w:r>
    </w:p>
    <w:p>
      <w:pPr>
        <w:pStyle w:val="Ednotepart"/>
      </w:pPr>
      <w:r>
        <w:t>[Parts 2 and 3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4" w:name="_Toc106955260"/>
      <w:bookmarkStart w:id="25" w:name="_Toc106955488"/>
      <w:bookmarkStart w:id="26" w:name="_Toc106975569"/>
      <w:bookmarkStart w:id="27" w:name="_Toc106975862"/>
      <w:r>
        <w:lastRenderedPageBreak/>
        <w:t>Notes</w:t>
      </w:r>
      <w:bookmarkEnd w:id="24"/>
      <w:bookmarkEnd w:id="25"/>
      <w:bookmarkEnd w:id="26"/>
      <w:bookmarkEnd w:id="2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Gas Marketing Code of Conduct 2022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8" w:name="_Toc106975863"/>
      <w:r>
        <w:t>Compilation table</w:t>
      </w:r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Gas Marketing Code of Conduct 2022 </w:t>
            </w:r>
            <w:r>
              <w:rPr>
                <w:noProof/>
              </w:rPr>
              <w:t>Pt.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2022/109</w:t>
            </w:r>
          </w:p>
          <w:p>
            <w:pPr>
              <w:pStyle w:val="nTable"/>
              <w:spacing w:after="40"/>
            </w:pPr>
            <w:r>
              <w:t>28 Jun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Jun 2022 (see cl. 2(a))</w:t>
            </w:r>
          </w:p>
        </w:tc>
      </w:tr>
    </w:tbl>
    <w:p/>
    <w:p>
      <w:pPr>
        <w:pStyle w:val="nHeading3"/>
      </w:pPr>
      <w:bookmarkStart w:id="29" w:name="_Toc106975864"/>
      <w:r>
        <w:t>Uncommenced provisions table</w:t>
      </w:r>
      <w:bookmarkEnd w:id="29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Gas Marketing Code of Conduct 2022 </w:t>
            </w:r>
            <w:r>
              <w:rPr>
                <w:noProof/>
              </w:rPr>
              <w:t>(other than Pt. 1)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2022/109</w:t>
            </w:r>
          </w:p>
          <w:p>
            <w:pPr>
              <w:pStyle w:val="nTable"/>
              <w:spacing w:after="40"/>
            </w:pPr>
            <w:r>
              <w:t>28 Jun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2022 (see cl. 2(b))</w:t>
            </w:r>
          </w:p>
        </w:tc>
      </w:tr>
    </w:tbl>
    <w:p>
      <w:pPr>
        <w:pStyle w:val="nHeading2"/>
        <w:pageBreakBefore/>
        <w:rPr>
          <w:sz w:val="28"/>
        </w:rPr>
      </w:pPr>
      <w:bookmarkStart w:id="30" w:name="_Toc106955262"/>
      <w:bookmarkStart w:id="31" w:name="_Toc106955490"/>
      <w:bookmarkStart w:id="32" w:name="_Toc106975571"/>
      <w:bookmarkStart w:id="33" w:name="_Toc106975865"/>
      <w:r>
        <w:rPr>
          <w:sz w:val="28"/>
        </w:rPr>
        <w:lastRenderedPageBreak/>
        <w:t>Defined terms</w:t>
      </w:r>
      <w:bookmarkEnd w:id="30"/>
      <w:bookmarkEnd w:id="31"/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alternative tariff</w:t>
      </w:r>
      <w:r>
        <w:tab/>
        <w:t>3</w:t>
      </w:r>
    </w:p>
    <w:p>
      <w:pPr>
        <w:pStyle w:val="DefinedTerms"/>
      </w:pPr>
      <w:r>
        <w:t>AS</w:t>
      </w:r>
      <w:r>
        <w:tab/>
        <w:t>3</w:t>
      </w:r>
    </w:p>
    <w:p>
      <w:pPr>
        <w:pStyle w:val="DefinedTerms"/>
      </w:pPr>
      <w:r>
        <w:t>Australian Consumer Law (WA)</w:t>
      </w:r>
      <w:r>
        <w:tab/>
        <w:t>3</w:t>
      </w:r>
    </w:p>
    <w:p>
      <w:pPr>
        <w:pStyle w:val="DefinedTerms"/>
      </w:pPr>
      <w:r>
        <w:t>business day</w:t>
      </w:r>
      <w:r>
        <w:tab/>
        <w:t>3</w:t>
      </w:r>
    </w:p>
    <w:p>
      <w:pPr>
        <w:pStyle w:val="DefinedTerms"/>
      </w:pPr>
      <w:r>
        <w:t>Compendium</w:t>
      </w:r>
      <w:r>
        <w:tab/>
        <w:t>3</w:t>
      </w:r>
    </w:p>
    <w:p>
      <w:pPr>
        <w:pStyle w:val="DefinedTerms"/>
      </w:pPr>
      <w:r>
        <w:t>complaint</w:t>
      </w:r>
      <w:r>
        <w:tab/>
        <w:t>3</w:t>
      </w:r>
    </w:p>
    <w:p>
      <w:pPr>
        <w:pStyle w:val="DefinedTerms"/>
      </w:pPr>
      <w:r>
        <w:t>concession</w:t>
      </w:r>
      <w:r>
        <w:tab/>
        <w:t>3</w:t>
      </w:r>
    </w:p>
    <w:p>
      <w:pPr>
        <w:pStyle w:val="DefinedTerms"/>
      </w:pPr>
      <w:r>
        <w:t>contact</w:t>
      </w:r>
      <w:r>
        <w:tab/>
        <w:t>3</w:t>
      </w:r>
    </w:p>
    <w:p>
      <w:pPr>
        <w:pStyle w:val="DefinedTerms"/>
      </w:pPr>
      <w:r>
        <w:t>contract</w:t>
      </w:r>
      <w:r>
        <w:tab/>
        <w:t>3</w:t>
      </w:r>
    </w:p>
    <w:p>
      <w:pPr>
        <w:pStyle w:val="DefinedTerms"/>
      </w:pPr>
      <w:r>
        <w:t>cooling-off period</w:t>
      </w:r>
      <w:r>
        <w:tab/>
        <w:t>3</w:t>
      </w:r>
    </w:p>
    <w:p>
      <w:pPr>
        <w:pStyle w:val="DefinedTerms"/>
      </w:pPr>
      <w:r>
        <w:t>distributor</w:t>
      </w:r>
      <w:r>
        <w:tab/>
        <w:t>3</w:t>
      </w:r>
    </w:p>
    <w:p>
      <w:pPr>
        <w:pStyle w:val="DefinedTerms"/>
      </w:pPr>
      <w:r>
        <w:t>gas industry ombudsman</w:t>
      </w:r>
      <w:r>
        <w:tab/>
        <w:t>3</w:t>
      </w:r>
    </w:p>
    <w:p>
      <w:pPr>
        <w:pStyle w:val="DefinedTerms"/>
      </w:pPr>
      <w:r>
        <w:t>gas marketing agent</w:t>
      </w:r>
      <w:r>
        <w:tab/>
        <w:t>3</w:t>
      </w:r>
    </w:p>
    <w:p>
      <w:pPr>
        <w:pStyle w:val="DefinedTerms"/>
      </w:pPr>
      <w:r>
        <w:t>marketing identification number</w:t>
      </w:r>
      <w:r>
        <w:tab/>
        <w:t>3</w:t>
      </w:r>
    </w:p>
    <w:p>
      <w:pPr>
        <w:pStyle w:val="DefinedTerms"/>
      </w:pPr>
      <w:r>
        <w:t>National Interpreter Symbol</w:t>
      </w:r>
      <w:r>
        <w:tab/>
        <w:t>3</w:t>
      </w:r>
    </w:p>
    <w:p>
      <w:pPr>
        <w:pStyle w:val="DefinedTerms"/>
      </w:pPr>
      <w:r>
        <w:t>non-standard contract</w:t>
      </w:r>
      <w:r>
        <w:tab/>
        <w:t>3</w:t>
      </w:r>
    </w:p>
    <w:p>
      <w:pPr>
        <w:pStyle w:val="DefinedTerms"/>
      </w:pPr>
      <w:r>
        <w:t>residential customer</w:t>
      </w:r>
      <w:r>
        <w:tab/>
        <w:t>3</w:t>
      </w:r>
    </w:p>
    <w:p>
      <w:pPr>
        <w:pStyle w:val="DefinedTerms"/>
      </w:pPr>
      <w:r>
        <w:t>retailer</w:t>
      </w:r>
      <w:r>
        <w:tab/>
        <w:t>3</w:t>
      </w:r>
    </w:p>
    <w:p>
      <w:pPr>
        <w:pStyle w:val="DefinedTerms"/>
      </w:pPr>
      <w:r>
        <w:t>standard form contract</w:t>
      </w:r>
      <w:r>
        <w:tab/>
        <w:t>3</w:t>
      </w:r>
    </w:p>
    <w:p>
      <w:pPr>
        <w:pStyle w:val="DefinedTerms"/>
      </w:pPr>
      <w:r>
        <w:t>unsolicited consumer agreement</w:t>
      </w:r>
      <w:r>
        <w:tab/>
        <w:t>3</w:t>
      </w:r>
    </w:p>
    <w:p>
      <w:pPr>
        <w:pStyle w:val="DefinedTerms"/>
      </w:pPr>
      <w:r>
        <w:t>verifiable confirmation</w:t>
      </w:r>
      <w:r>
        <w:tab/>
        <w:t>3</w:t>
      </w:r>
    </w:p>
    <w:p>
      <w:pPr>
        <w:pStyle w:val="DefinedTerms"/>
      </w:pPr>
      <w:r>
        <w:t>verifiable consent</w:t>
      </w:r>
      <w:r>
        <w:tab/>
        <w:t>3</w:t>
      </w:r>
    </w:p>
    <w:p/>
    <w:p>
      <w:pPr>
        <w:sectPr>
          <w:headerReference w:type="even" r:id="rId25"/>
          <w:headerReference w:type="defaul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13"/>
  </w:num>
  <w:num w:numId="5">
    <w:abstractNumId w:val="14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42710042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11121459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112145917_GUID" w:val="e0d74cc2-7203-4b18-b7c2-b3e045675a76"/>
    <w:docVar w:name="WAFER_2022042710042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427100428_GUID" w:val="640afbcc-c92d-4830-a89e-daa7310264b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4F01C11F-64B6-49BD-A038-5FFE39C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9244-9870-43AC-B547-41DB3178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5464</Characters>
  <Application>Microsoft Office Word</Application>
  <DocSecurity>0</DocSecurity>
  <Lines>202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Marketing Code of Conduct 2022 - 00-a0-00</dc:title>
  <dc:subject/>
  <dc:creator/>
  <cp:keywords/>
  <dc:description/>
  <cp:lastModifiedBy>Master Repository Process</cp:lastModifiedBy>
  <cp:revision>4</cp:revision>
  <cp:lastPrinted>2021-11-18T03:34:00Z</cp:lastPrinted>
  <dcterms:created xsi:type="dcterms:W3CDTF">2022-06-27T06:59:00Z</dcterms:created>
  <dcterms:modified xsi:type="dcterms:W3CDTF">2022-06-27T06:59:00Z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53281</vt:lpwstr>
  </property>
  <property fmtid="{D5CDD505-2E9C-101B-9397-08002B2CF9AE}" pid="3" name="DocumentType">
    <vt:lpwstr>Reg</vt:lpwstr>
  </property>
  <property fmtid="{D5CDD505-2E9C-101B-9397-08002B2CF9AE}" pid="4" name="AsAtDate">
    <vt:lpwstr>28 Jun 2022</vt:lpwstr>
  </property>
  <property fmtid="{D5CDD505-2E9C-101B-9397-08002B2CF9AE}" pid="5" name="Suffix">
    <vt:lpwstr>00-a0-00</vt:lpwstr>
  </property>
  <property fmtid="{D5CDD505-2E9C-101B-9397-08002B2CF9AE}" pid="6" name="CommencementDate">
    <vt:lpwstr>20220628</vt:lpwstr>
  </property>
</Properties>
</file>