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Curriculum and Standards Authority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_Toc106888209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_Toc106888210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_Toc106888211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Student records, unique reference number for each student and information prescribed (Act s. 19E)</w:t>
      </w:r>
      <w:r>
        <w:tab/>
      </w:r>
      <w:r>
        <w:fldChar w:fldCharType="begin"/>
      </w:r>
      <w:r>
        <w:instrText xml:space="preserve"> PAGEREF _Toc106888213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_Toc106888214 \h </w:instrText>
      </w:r>
      <w:r>
        <w:fldChar w:fldCharType="separate"/>
      </w:r>
      <w:r>
        <w:t>3</w:t>
      </w:r>
      <w:r>
        <w:fldChar w:fldCharType="end"/>
      </w:r>
    </w:p>
    <w:p>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_Toc106888215 \h </w:instrText>
      </w:r>
      <w:r>
        <w:fldChar w:fldCharType="separate"/>
      </w:r>
      <w:r>
        <w:t>4</w:t>
      </w:r>
      <w:r>
        <w:fldChar w:fldCharType="end"/>
      </w:r>
    </w:p>
    <w:p>
      <w:pPr>
        <w:pStyle w:val="TOC8"/>
        <w:rPr>
          <w:rFonts w:asciiTheme="minorHAnsi" w:eastAsiaTheme="minorEastAsia" w:hAnsiTheme="minorHAnsi" w:cstheme="minorBidi"/>
          <w:szCs w:val="22"/>
        </w:rPr>
      </w:pPr>
      <w:r>
        <w:t>7.</w:t>
      </w:r>
      <w:r>
        <w:tab/>
        <w:t>When student record to be opened (Act s. 19C); when information to be given to Authority for Act Part 3A</w:t>
      </w:r>
      <w:r>
        <w:tab/>
      </w:r>
      <w:r>
        <w:fldChar w:fldCharType="begin"/>
      </w:r>
      <w:r>
        <w:instrText xml:space="preserve"> PAGEREF _Toc106888216 \h </w:instrText>
      </w:r>
      <w:r>
        <w:fldChar w:fldCharType="separate"/>
      </w:r>
      <w:r>
        <w:t>4</w:t>
      </w:r>
      <w:r>
        <w:fldChar w:fldCharType="end"/>
      </w:r>
    </w:p>
    <w:p>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_Toc106888217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charges</w:t>
      </w:r>
    </w:p>
    <w:p>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_Toc106888219 \h </w:instrText>
      </w:r>
      <w:r>
        <w:fldChar w:fldCharType="separate"/>
      </w:r>
      <w:r>
        <w:t>8</w:t>
      </w:r>
      <w:r>
        <w:fldChar w:fldCharType="end"/>
      </w:r>
    </w:p>
    <w:p>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_Toc106888220 \h </w:instrText>
      </w:r>
      <w:r>
        <w:fldChar w:fldCharType="separate"/>
      </w:r>
      <w:r>
        <w:t>8</w:t>
      </w:r>
      <w:r>
        <w:fldChar w:fldCharType="end"/>
      </w:r>
    </w:p>
    <w:p>
      <w:pPr>
        <w:pStyle w:val="TOC8"/>
        <w:rPr>
          <w:rFonts w:asciiTheme="minorHAnsi" w:eastAsiaTheme="minorEastAsia" w:hAnsiTheme="minorHAnsi" w:cstheme="minorBidi"/>
          <w:szCs w:val="22"/>
        </w:rPr>
      </w:pPr>
      <w:r>
        <w:t>12.</w:t>
      </w:r>
      <w:r>
        <w:tab/>
        <w:t>Publications supplied by Authority, charges for</w:t>
      </w:r>
      <w:r>
        <w:tab/>
      </w:r>
      <w:r>
        <w:fldChar w:fldCharType="begin"/>
      </w:r>
      <w:r>
        <w:instrText xml:space="preserve"> PAGEREF _Toc106888221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Examinations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_Toc106888223 \h </w:instrText>
      </w:r>
      <w:r>
        <w:fldChar w:fldCharType="separate"/>
      </w:r>
      <w:r>
        <w:t>10</w:t>
      </w:r>
      <w:r>
        <w:fldChar w:fldCharType="end"/>
      </w:r>
    </w:p>
    <w:p>
      <w:pPr>
        <w:pStyle w:val="TOC8"/>
        <w:rPr>
          <w:rFonts w:asciiTheme="minorHAnsi" w:eastAsiaTheme="minorEastAsia" w:hAnsiTheme="minorHAnsi" w:cstheme="minorBidi"/>
          <w:szCs w:val="22"/>
        </w:rPr>
      </w:pPr>
      <w:r>
        <w:t>14.</w:t>
      </w:r>
      <w:r>
        <w:tab/>
        <w:t>Prerequisites for taking, and who must take, examinations</w:t>
      </w:r>
      <w:r>
        <w:tab/>
      </w:r>
      <w:r>
        <w:fldChar w:fldCharType="begin"/>
      </w:r>
      <w:r>
        <w:instrText xml:space="preserve"> PAGEREF _Toc106888224 \h </w:instrText>
      </w:r>
      <w:r>
        <w:fldChar w:fldCharType="separate"/>
      </w:r>
      <w:r>
        <w:t>10</w:t>
      </w:r>
      <w:r>
        <w:fldChar w:fldCharType="end"/>
      </w:r>
    </w:p>
    <w:p>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_Toc106888225 \h </w:instrText>
      </w:r>
      <w:r>
        <w:fldChar w:fldCharType="separate"/>
      </w:r>
      <w:r>
        <w:t>11</w:t>
      </w:r>
      <w:r>
        <w:fldChar w:fldCharType="end"/>
      </w:r>
    </w:p>
    <w:p>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_Toc106888226 \h </w:instrText>
      </w:r>
      <w:r>
        <w:fldChar w:fldCharType="separate"/>
      </w:r>
      <w:r>
        <w:t>11</w:t>
      </w:r>
      <w:r>
        <w:fldChar w:fldCharType="end"/>
      </w:r>
    </w:p>
    <w:p>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_Toc106888227 \h </w:instrText>
      </w:r>
      <w:r>
        <w:fldChar w:fldCharType="separate"/>
      </w:r>
      <w:r>
        <w:t>12</w:t>
      </w:r>
      <w:r>
        <w:fldChar w:fldCharType="end"/>
      </w:r>
    </w:p>
    <w:p>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_Toc106888228 \h </w:instrText>
      </w:r>
      <w:r>
        <w:fldChar w:fldCharType="separate"/>
      </w:r>
      <w:r>
        <w:t>12</w:t>
      </w:r>
      <w:r>
        <w:fldChar w:fldCharType="end"/>
      </w:r>
    </w:p>
    <w:p>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_Toc106888229 \h </w:instrText>
      </w:r>
      <w:r>
        <w:fldChar w:fldCharType="separate"/>
      </w:r>
      <w:r>
        <w:t>12</w:t>
      </w:r>
      <w:r>
        <w:fldChar w:fldCharType="end"/>
      </w:r>
    </w:p>
    <w:p>
      <w:pPr>
        <w:pStyle w:val="TOC8"/>
        <w:rPr>
          <w:rFonts w:asciiTheme="minorHAnsi" w:eastAsiaTheme="minorEastAsia" w:hAnsiTheme="minorHAnsi" w:cstheme="minorBidi"/>
          <w:szCs w:val="22"/>
        </w:rPr>
      </w:pPr>
      <w:r>
        <w:t>20.</w:t>
      </w:r>
      <w:r>
        <w:tab/>
        <w:t>Consumption of food and drink</w:t>
      </w:r>
      <w:r>
        <w:tab/>
      </w:r>
      <w:r>
        <w:fldChar w:fldCharType="begin"/>
      </w:r>
      <w:r>
        <w:instrText xml:space="preserve"> PAGEREF _Toc106888230 \h </w:instrText>
      </w:r>
      <w:r>
        <w:fldChar w:fldCharType="separate"/>
      </w:r>
      <w:r>
        <w:t>13</w:t>
      </w:r>
      <w:r>
        <w:fldChar w:fldCharType="end"/>
      </w:r>
    </w:p>
    <w:p>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_Toc106888231 \h </w:instrText>
      </w:r>
      <w:r>
        <w:fldChar w:fldCharType="separate"/>
      </w:r>
      <w:r>
        <w:t>13</w:t>
      </w:r>
      <w:r>
        <w:fldChar w:fldCharType="end"/>
      </w:r>
    </w:p>
    <w:p>
      <w:pPr>
        <w:pStyle w:val="TOC8"/>
        <w:rPr>
          <w:rFonts w:asciiTheme="minorHAnsi" w:eastAsiaTheme="minorEastAsia" w:hAnsiTheme="minorHAnsi" w:cstheme="minorBidi"/>
          <w:szCs w:val="22"/>
        </w:rPr>
      </w:pPr>
      <w:r>
        <w:t>22.</w:t>
      </w:r>
      <w:r>
        <w:tab/>
        <w:t>Examination materials not to be taken from examination centre</w:t>
      </w:r>
      <w:r>
        <w:tab/>
      </w:r>
      <w:r>
        <w:fldChar w:fldCharType="begin"/>
      </w:r>
      <w:r>
        <w:instrText xml:space="preserve"> PAGEREF _Toc106888232 \h </w:instrText>
      </w:r>
      <w:r>
        <w:fldChar w:fldCharType="separate"/>
      </w:r>
      <w:r>
        <w:t>13</w:t>
      </w:r>
      <w:r>
        <w:fldChar w:fldCharType="end"/>
      </w:r>
    </w:p>
    <w:p>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_Toc106888233 \h </w:instrText>
      </w:r>
      <w:r>
        <w:fldChar w:fldCharType="separate"/>
      </w:r>
      <w:r>
        <w:t>13</w:t>
      </w:r>
      <w:r>
        <w:fldChar w:fldCharType="end"/>
      </w:r>
    </w:p>
    <w:p>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_Toc106888234 \h </w:instrText>
      </w:r>
      <w:r>
        <w:fldChar w:fldCharType="separate"/>
      </w:r>
      <w:r>
        <w:t>14</w:t>
      </w:r>
      <w:r>
        <w:fldChar w:fldCharType="end"/>
      </w:r>
    </w:p>
    <w:p>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_Toc106888235 \h </w:instrText>
      </w:r>
      <w:r>
        <w:fldChar w:fldCharType="separate"/>
      </w:r>
      <w:r>
        <w:t>14</w:t>
      </w:r>
      <w:r>
        <w:fldChar w:fldCharType="end"/>
      </w:r>
    </w:p>
    <w:p>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_Toc106888236 \h </w:instrText>
      </w:r>
      <w:r>
        <w:fldChar w:fldCharType="separate"/>
      </w:r>
      <w:r>
        <w:t>15</w:t>
      </w:r>
      <w:r>
        <w:fldChar w:fldCharType="end"/>
      </w:r>
    </w:p>
    <w:p>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_Toc106888237 \h </w:instrText>
      </w:r>
      <w:r>
        <w:fldChar w:fldCharType="separate"/>
      </w:r>
      <w:r>
        <w:t>16</w:t>
      </w:r>
      <w:r>
        <w:fldChar w:fldCharType="end"/>
      </w:r>
    </w:p>
    <w:p>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_Toc106888238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Procedures for disclosure of relevant information</w:t>
      </w:r>
    </w:p>
    <w:p>
      <w:pPr>
        <w:pStyle w:val="TOC8"/>
        <w:rPr>
          <w:rFonts w:asciiTheme="minorHAnsi" w:eastAsiaTheme="minorEastAsia" w:hAnsiTheme="minorHAnsi" w:cstheme="minorBidi"/>
          <w:szCs w:val="22"/>
        </w:rPr>
      </w:pPr>
      <w:r>
        <w:t>29.</w:t>
      </w:r>
      <w:r>
        <w:tab/>
        <w:t>Application of this Part</w:t>
      </w:r>
      <w:r>
        <w:tab/>
      </w:r>
      <w:r>
        <w:fldChar w:fldCharType="begin"/>
      </w:r>
      <w:r>
        <w:instrText xml:space="preserve"> PAGEREF _Toc106888240 \h </w:instrText>
      </w:r>
      <w:r>
        <w:fldChar w:fldCharType="separate"/>
      </w:r>
      <w:r>
        <w:t>18</w:t>
      </w:r>
      <w:r>
        <w:fldChar w:fldCharType="end"/>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_Toc106888241 \h </w:instrText>
      </w:r>
      <w:r>
        <w:fldChar w:fldCharType="separate"/>
      </w:r>
      <w:r>
        <w:t>18</w:t>
      </w:r>
      <w:r>
        <w:fldChar w:fldCharType="end"/>
      </w:r>
    </w:p>
    <w:p>
      <w:pPr>
        <w:pStyle w:val="TOC8"/>
        <w:rPr>
          <w:rFonts w:asciiTheme="minorHAnsi" w:eastAsiaTheme="minorEastAsia" w:hAnsiTheme="minorHAnsi" w:cstheme="minorBidi"/>
          <w:szCs w:val="22"/>
        </w:rPr>
      </w:pPr>
      <w:r>
        <w:t>31.</w:t>
      </w:r>
      <w:r>
        <w:tab/>
        <w:t>Form of request</w:t>
      </w:r>
      <w:r>
        <w:tab/>
      </w:r>
      <w:r>
        <w:fldChar w:fldCharType="begin"/>
      </w:r>
      <w:r>
        <w:instrText xml:space="preserve"> PAGEREF _Toc106888242 \h </w:instrText>
      </w:r>
      <w:r>
        <w:fldChar w:fldCharType="separate"/>
      </w:r>
      <w:r>
        <w:t>18</w:t>
      </w:r>
      <w:r>
        <w:fldChar w:fldCharType="end"/>
      </w:r>
    </w:p>
    <w:p>
      <w:pPr>
        <w:pStyle w:val="TOC8"/>
        <w:rPr>
          <w:rFonts w:asciiTheme="minorHAnsi" w:eastAsiaTheme="minorEastAsia" w:hAnsiTheme="minorHAnsi" w:cstheme="minorBidi"/>
          <w:szCs w:val="22"/>
        </w:rPr>
      </w:pPr>
      <w:r>
        <w:t>32.</w:t>
      </w:r>
      <w:r>
        <w:tab/>
        <w:t>Committee of Board to assist with non</w:t>
      </w:r>
      <w:r>
        <w:noBreakHyphen/>
        <w:t>government requests</w:t>
      </w:r>
      <w:r>
        <w:tab/>
      </w:r>
      <w:r>
        <w:fldChar w:fldCharType="begin"/>
      </w:r>
      <w:r>
        <w:instrText xml:space="preserve"> PAGEREF _Toc106888243 \h </w:instrText>
      </w:r>
      <w:r>
        <w:fldChar w:fldCharType="separate"/>
      </w:r>
      <w:r>
        <w:t>19</w:t>
      </w:r>
      <w:r>
        <w:fldChar w:fldCharType="end"/>
      </w:r>
    </w:p>
    <w:p>
      <w:pPr>
        <w:pStyle w:val="TOC8"/>
        <w:rPr>
          <w:rFonts w:asciiTheme="minorHAnsi" w:eastAsiaTheme="minorEastAsia" w:hAnsiTheme="minorHAnsi" w:cstheme="minorBidi"/>
          <w:szCs w:val="22"/>
        </w:rPr>
      </w:pPr>
      <w:r>
        <w:t>33.</w:t>
      </w:r>
      <w:r>
        <w:tab/>
        <w:t>Register of requests</w:t>
      </w:r>
      <w:r>
        <w:tab/>
      </w:r>
      <w:r>
        <w:fldChar w:fldCharType="begin"/>
      </w:r>
      <w:r>
        <w:instrText xml:space="preserve"> PAGEREF _Toc106888244 \h </w:instrText>
      </w:r>
      <w:r>
        <w:fldChar w:fldCharType="separate"/>
      </w:r>
      <w:r>
        <w:t>20</w:t>
      </w:r>
      <w:r>
        <w:fldChar w:fldCharType="end"/>
      </w:r>
    </w:p>
    <w:p>
      <w:pPr>
        <w:pStyle w:val="TOC8"/>
        <w:rPr>
          <w:rFonts w:asciiTheme="minorHAnsi" w:eastAsiaTheme="minorEastAsia" w:hAnsiTheme="minorHAnsi" w:cstheme="minorBidi"/>
          <w:szCs w:val="22"/>
        </w:rPr>
      </w:pPr>
      <w:r>
        <w:t>34.</w:t>
      </w:r>
      <w:r>
        <w:tab/>
        <w:t>Refusal of requests</w:t>
      </w:r>
      <w:r>
        <w:tab/>
      </w:r>
      <w:r>
        <w:fldChar w:fldCharType="begin"/>
      </w:r>
      <w:r>
        <w:instrText xml:space="preserve"> PAGEREF _Toc106888245 \h </w:instrText>
      </w:r>
      <w:r>
        <w:fldChar w:fldCharType="separate"/>
      </w:r>
      <w:r>
        <w:t>22</w:t>
      </w:r>
      <w:r>
        <w:fldChar w:fldCharType="end"/>
      </w:r>
    </w:p>
    <w:p>
      <w:pPr>
        <w:pStyle w:val="TOC8"/>
        <w:rPr>
          <w:rFonts w:asciiTheme="minorHAnsi" w:eastAsiaTheme="minorEastAsia" w:hAnsiTheme="minorHAnsi" w:cstheme="minorBidi"/>
          <w:szCs w:val="22"/>
        </w:rPr>
      </w:pPr>
      <w:r>
        <w:t>35.</w:t>
      </w:r>
      <w:r>
        <w:tab/>
        <w:t>Annual report</w:t>
      </w:r>
      <w:r>
        <w:tab/>
      </w:r>
      <w:r>
        <w:fldChar w:fldCharType="begin"/>
      </w:r>
      <w:r>
        <w:instrText xml:space="preserve"> PAGEREF _Toc106888246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 and charges for certification, assessment and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_Toc106888249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_Toc106888250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School Curriculum and Standards Authority Act 1997</w:t>
      </w:r>
    </w:p>
    <w:p>
      <w:pPr>
        <w:pStyle w:val="NameofActReg"/>
      </w:pPr>
      <w:r>
        <w:t>School Curriculum and Standards Authority Regulations 2005</w:t>
      </w:r>
    </w:p>
    <w:p>
      <w:pPr>
        <w:pStyle w:val="Heading2"/>
        <w:pageBreakBefore w:val="0"/>
        <w:spacing w:before="240"/>
      </w:pPr>
      <w:bookmarkStart w:id="3" w:name="_Toc106885411"/>
      <w:bookmarkStart w:id="4" w:name="_Toc106885711"/>
      <w:bookmarkStart w:id="5" w:name="_Toc106887871"/>
      <w:bookmarkStart w:id="6" w:name="_Toc1068882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Gazette 7 Dec 2012 p. 5984.]</w:t>
      </w:r>
    </w:p>
    <w:p>
      <w:pPr>
        <w:pStyle w:val="Heading5"/>
      </w:pPr>
      <w:bookmarkStart w:id="7" w:name="_Toc106888209"/>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t>.</w:t>
      </w:r>
    </w:p>
    <w:p>
      <w:pPr>
        <w:pStyle w:val="Footnotesection"/>
      </w:pPr>
      <w:r>
        <w:tab/>
        <w:t>[Regulation 1 amended: Gazette 14 Aug 2012 p. 3832.]</w:t>
      </w:r>
    </w:p>
    <w:p>
      <w:pPr>
        <w:pStyle w:val="Heading5"/>
        <w:rPr>
          <w:spacing w:val="-2"/>
        </w:rPr>
      </w:pPr>
      <w:bookmarkStart w:id="8" w:name="_Toc106888210"/>
      <w:r>
        <w:rPr>
          <w:rStyle w:val="CharSectno"/>
        </w:rPr>
        <w:t>2</w:t>
      </w:r>
      <w:r>
        <w:rPr>
          <w:spacing w:val="-2"/>
        </w:rPr>
        <w:t>.</w:t>
      </w:r>
      <w:r>
        <w:rPr>
          <w:spacing w:val="-2"/>
        </w:rPr>
        <w:tab/>
        <w:t>Commencement</w:t>
      </w:r>
      <w:bookmarkEnd w:id="8"/>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9" w:name="_Toc106888211"/>
      <w:r>
        <w:rPr>
          <w:rStyle w:val="CharSectno"/>
        </w:rPr>
        <w:t>3</w:t>
      </w:r>
      <w:r>
        <w:t>.</w:t>
      </w:r>
      <w:r>
        <w:tab/>
        <w:t>Terms used</w:t>
      </w:r>
      <w:bookmarkEnd w:id="9"/>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1</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keepNext/>
      </w:pPr>
      <w:r>
        <w:rPr>
          <w:b/>
        </w:rPr>
        <w:lastRenderedPageBreak/>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10" w:name="_Toc106885415"/>
      <w:bookmarkStart w:id="11" w:name="_Toc106885715"/>
      <w:bookmarkStart w:id="12" w:name="_Toc106887875"/>
      <w:bookmarkStart w:id="13" w:name="_Toc106888212"/>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bookmarkEnd w:id="13"/>
    </w:p>
    <w:p>
      <w:pPr>
        <w:pStyle w:val="Footnoteheading"/>
      </w:pPr>
      <w:r>
        <w:tab/>
        <w:t>[Heading inserted: Gazette 7 Dec 2012 p. 5984.]</w:t>
      </w:r>
    </w:p>
    <w:p>
      <w:pPr>
        <w:pStyle w:val="Heading5"/>
      </w:pPr>
      <w:bookmarkStart w:id="14" w:name="_Toc106888213"/>
      <w:r>
        <w:rPr>
          <w:rStyle w:val="CharSectno"/>
        </w:rPr>
        <w:t>4</w:t>
      </w:r>
      <w:r>
        <w:t>.</w:t>
      </w:r>
      <w:r>
        <w:tab/>
        <w:t>Student records, unique reference number for each student and information prescribed (Act s. 19E)</w:t>
      </w:r>
      <w:bookmarkEnd w:id="14"/>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15" w:name="_Toc106888214"/>
      <w:r>
        <w:rPr>
          <w:rStyle w:val="CharSectno"/>
        </w:rPr>
        <w:t>5</w:t>
      </w:r>
      <w:r>
        <w:t>.</w:t>
      </w:r>
      <w:r>
        <w:tab/>
        <w:t>Information prescribed to be given by school (Act s. 19G)</w:t>
      </w:r>
      <w:bookmarkEnd w:id="15"/>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16" w:name="_Toc106888215"/>
      <w:r>
        <w:rPr>
          <w:rStyle w:val="CharSectno"/>
        </w:rPr>
        <w:lastRenderedPageBreak/>
        <w:t>6</w:t>
      </w:r>
      <w:r>
        <w:t>.</w:t>
      </w:r>
      <w:r>
        <w:tab/>
        <w:t>Information prescribed to be given by provider other than school (Act s. 19G)</w:t>
      </w:r>
      <w:bookmarkEnd w:id="16"/>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17" w:name="_Toc106888216"/>
      <w:r>
        <w:rPr>
          <w:rStyle w:val="CharSectno"/>
        </w:rPr>
        <w:t>7</w:t>
      </w:r>
      <w:r>
        <w:t>.</w:t>
      </w:r>
      <w:r>
        <w:tab/>
        <w:t>When student record to be opened (Act s. 19C); when information to be given to Authority for Act Part 3A</w:t>
      </w:r>
      <w:bookmarkEnd w:id="17"/>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 xml:space="preserve">If a provider, in relation to a student in any school year from the first year of the relevant education period to the final year of the </w:t>
      </w:r>
      <w:r>
        <w:lastRenderedPageBreak/>
        <w:t>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18" w:name="_Toc106888217"/>
      <w:r>
        <w:rPr>
          <w:rStyle w:val="CharSectno"/>
        </w:rPr>
        <w:t>9</w:t>
      </w:r>
      <w:r>
        <w:t>.</w:t>
      </w:r>
      <w:r>
        <w:tab/>
        <w:t>Information and times for giving it prescribed (Act s. 19P)</w:t>
      </w:r>
      <w:bookmarkEnd w:id="18"/>
    </w:p>
    <w:p>
      <w:pPr>
        <w:pStyle w:val="Subsection"/>
        <w:keepNext/>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lastRenderedPageBreak/>
        <w:tab/>
        <w:t>(b)</w:t>
      </w:r>
      <w:r>
        <w:tab/>
        <w:t>the Association of Independent Schools of Western Australia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lastRenderedPageBreak/>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19" w:name="_Toc106885421"/>
      <w:bookmarkStart w:id="20" w:name="_Toc106885721"/>
      <w:bookmarkStart w:id="21" w:name="_Toc106887881"/>
      <w:bookmarkStart w:id="22" w:name="_Toc106888218"/>
      <w:r>
        <w:rPr>
          <w:rStyle w:val="CharPartNo"/>
        </w:rPr>
        <w:lastRenderedPageBreak/>
        <w:t>Part 3</w:t>
      </w:r>
      <w:r>
        <w:rPr>
          <w:rStyle w:val="CharSDivNo"/>
        </w:rPr>
        <w:t> </w:t>
      </w:r>
      <w:r>
        <w:t>—</w:t>
      </w:r>
      <w:r>
        <w:rPr>
          <w:rStyle w:val="CharDivText"/>
        </w:rPr>
        <w:t> </w:t>
      </w:r>
      <w:r>
        <w:rPr>
          <w:rStyle w:val="CharPartText"/>
        </w:rPr>
        <w:t>Fees and charges</w:t>
      </w:r>
      <w:bookmarkEnd w:id="19"/>
      <w:bookmarkEnd w:id="20"/>
      <w:bookmarkEnd w:id="21"/>
      <w:bookmarkEnd w:id="22"/>
    </w:p>
    <w:p>
      <w:pPr>
        <w:pStyle w:val="Footnoteheading"/>
      </w:pPr>
      <w:r>
        <w:tab/>
        <w:t>[Heading inserted: Gazette 7 Dec 2012 p. 5986.]</w:t>
      </w:r>
    </w:p>
    <w:p>
      <w:pPr>
        <w:pStyle w:val="Heading5"/>
      </w:pPr>
      <w:bookmarkStart w:id="23" w:name="_Toc106888219"/>
      <w:r>
        <w:rPr>
          <w:rStyle w:val="CharSectno"/>
        </w:rPr>
        <w:t>10</w:t>
      </w:r>
      <w:r>
        <w:t>.</w:t>
      </w:r>
      <w:r>
        <w:tab/>
        <w:t>Certification, assessment and examination fees and charges for students who are Australian residents (Sch. 1)</w:t>
      </w:r>
      <w:bookmarkEnd w:id="23"/>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24" w:name="_Toc106888220"/>
      <w:r>
        <w:rPr>
          <w:rStyle w:val="CharSectno"/>
        </w:rPr>
        <w:t>11</w:t>
      </w:r>
      <w:r>
        <w:t>.</w:t>
      </w:r>
      <w:r>
        <w:tab/>
        <w:t>Certification, assessment and examination fees and charges for students who are not Australian residents</w:t>
      </w:r>
      <w:bookmarkEnd w:id="24"/>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lastRenderedPageBreak/>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25" w:name="_Toc106888221"/>
      <w:r>
        <w:rPr>
          <w:rStyle w:val="CharSectno"/>
        </w:rPr>
        <w:t>12</w:t>
      </w:r>
      <w:r>
        <w:t>.</w:t>
      </w:r>
      <w:r>
        <w:tab/>
        <w:t>Publications supplied by Authority, charges for</w:t>
      </w:r>
      <w:bookmarkEnd w:id="25"/>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26" w:name="_Toc106885425"/>
      <w:bookmarkStart w:id="27" w:name="_Toc106885725"/>
      <w:bookmarkStart w:id="28" w:name="_Toc106887885"/>
      <w:bookmarkStart w:id="29" w:name="_Toc106888222"/>
      <w:r>
        <w:rPr>
          <w:rStyle w:val="CharPartNo"/>
        </w:rPr>
        <w:lastRenderedPageBreak/>
        <w:t>Part 4</w:t>
      </w:r>
      <w:r>
        <w:rPr>
          <w:rStyle w:val="CharDivNo"/>
        </w:rPr>
        <w:t> </w:t>
      </w:r>
      <w:r>
        <w:t>—</w:t>
      </w:r>
      <w:r>
        <w:rPr>
          <w:rStyle w:val="CharDivText"/>
        </w:rPr>
        <w:t> </w:t>
      </w:r>
      <w:r>
        <w:rPr>
          <w:rStyle w:val="CharPartText"/>
        </w:rPr>
        <w:t>Examinations</w:t>
      </w:r>
      <w:bookmarkEnd w:id="26"/>
      <w:bookmarkEnd w:id="27"/>
      <w:bookmarkEnd w:id="28"/>
      <w:bookmarkEnd w:id="29"/>
    </w:p>
    <w:p>
      <w:pPr>
        <w:pStyle w:val="Footnoteheading"/>
      </w:pPr>
      <w:r>
        <w:tab/>
        <w:t>[Heading inserted: Gazette 7 Dec 2012 p. 5986.]</w:t>
      </w:r>
    </w:p>
    <w:p>
      <w:pPr>
        <w:pStyle w:val="Heading5"/>
      </w:pPr>
      <w:bookmarkStart w:id="30" w:name="_Toc106888223"/>
      <w:r>
        <w:rPr>
          <w:rStyle w:val="CharSectno"/>
        </w:rPr>
        <w:t>13</w:t>
      </w:r>
      <w:r>
        <w:t>.</w:t>
      </w:r>
      <w:r>
        <w:tab/>
        <w:t>Terms used</w:t>
      </w:r>
      <w:bookmarkEnd w:id="30"/>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31" w:name="_Toc106888224"/>
      <w:r>
        <w:rPr>
          <w:rStyle w:val="CharSectno"/>
        </w:rPr>
        <w:t>14</w:t>
      </w:r>
      <w:r>
        <w:t>.</w:t>
      </w:r>
      <w:r>
        <w:tab/>
        <w:t>Prerequisites for taking, and who must take, examinations</w:t>
      </w:r>
      <w:bookmarkEnd w:id="31"/>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lastRenderedPageBreak/>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32" w:name="_Toc106888225"/>
      <w:r>
        <w:rPr>
          <w:rStyle w:val="CharSectno"/>
        </w:rPr>
        <w:t>15</w:t>
      </w:r>
      <w:r>
        <w:t>.</w:t>
      </w:r>
      <w:r>
        <w:tab/>
        <w:t>Examinations, candidates for to be notified of time and place of</w:t>
      </w:r>
      <w:bookmarkEnd w:id="32"/>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33" w:name="_Toc106888226"/>
      <w:r>
        <w:rPr>
          <w:rStyle w:val="CharSectno"/>
        </w:rPr>
        <w:t>16</w:t>
      </w:r>
      <w:r>
        <w:t>.</w:t>
      </w:r>
      <w:r>
        <w:tab/>
        <w:t>Identification documents for candidates, issue of etc.</w:t>
      </w:r>
      <w:bookmarkEnd w:id="33"/>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34" w:name="_Toc106888227"/>
      <w:r>
        <w:rPr>
          <w:rStyle w:val="CharSectno"/>
        </w:rPr>
        <w:lastRenderedPageBreak/>
        <w:t>17</w:t>
      </w:r>
      <w:r>
        <w:t>.</w:t>
      </w:r>
      <w:r>
        <w:tab/>
        <w:t>Supervisors, appointment of; security of examination papers etc.</w:t>
      </w:r>
      <w:bookmarkEnd w:id="34"/>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35" w:name="_Toc106888228"/>
      <w:r>
        <w:rPr>
          <w:rStyle w:val="CharSectno"/>
        </w:rPr>
        <w:t>18</w:t>
      </w:r>
      <w:r>
        <w:t>.</w:t>
      </w:r>
      <w:r>
        <w:tab/>
        <w:t>Conduct of examinations</w:t>
      </w:r>
      <w:bookmarkEnd w:id="35"/>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36" w:name="_Toc106888229"/>
      <w:r>
        <w:rPr>
          <w:rStyle w:val="CharSectno"/>
        </w:rPr>
        <w:t>19</w:t>
      </w:r>
      <w:r>
        <w:t>.</w:t>
      </w:r>
      <w:r>
        <w:tab/>
        <w:t>Examination answers to be in English</w:t>
      </w:r>
      <w:bookmarkEnd w:id="36"/>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37" w:name="_Toc106888230"/>
      <w:r>
        <w:rPr>
          <w:rStyle w:val="CharSectno"/>
        </w:rPr>
        <w:lastRenderedPageBreak/>
        <w:t>20</w:t>
      </w:r>
      <w:r>
        <w:t>.</w:t>
      </w:r>
      <w:r>
        <w:tab/>
        <w:t>Consumption of food and drink</w:t>
      </w:r>
      <w:bookmarkEnd w:id="37"/>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38" w:name="_Toc106888231"/>
      <w:r>
        <w:rPr>
          <w:rStyle w:val="CharSectno"/>
        </w:rPr>
        <w:t>21</w:t>
      </w:r>
      <w:r>
        <w:t>.</w:t>
      </w:r>
      <w:r>
        <w:tab/>
        <w:t>Communicating with other candidates etc.</w:t>
      </w:r>
      <w:bookmarkEnd w:id="38"/>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39" w:name="_Toc106888232"/>
      <w:r>
        <w:rPr>
          <w:rStyle w:val="CharSectno"/>
        </w:rPr>
        <w:t>22</w:t>
      </w:r>
      <w:r>
        <w:t>.</w:t>
      </w:r>
      <w:r>
        <w:tab/>
        <w:t>Examination materials not to be taken from examination centre</w:t>
      </w:r>
      <w:bookmarkEnd w:id="39"/>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40" w:name="_Toc106888233"/>
      <w:r>
        <w:rPr>
          <w:rStyle w:val="CharSectno"/>
        </w:rPr>
        <w:t>23</w:t>
      </w:r>
      <w:r>
        <w:t>.</w:t>
      </w:r>
      <w:r>
        <w:tab/>
        <w:t>Leaving examination centre during an examination</w:t>
      </w:r>
      <w:bookmarkEnd w:id="40"/>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41" w:name="_Toc106888234"/>
      <w:r>
        <w:rPr>
          <w:rStyle w:val="CharSectno"/>
        </w:rPr>
        <w:lastRenderedPageBreak/>
        <w:t>24</w:t>
      </w:r>
      <w:r>
        <w:t>.</w:t>
      </w:r>
      <w:r>
        <w:tab/>
        <w:t>Practical examinations</w:t>
      </w:r>
      <w:bookmarkEnd w:id="41"/>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keepNext w:val="0"/>
      </w:pPr>
      <w:bookmarkStart w:id="42" w:name="_Toc106888235"/>
      <w:r>
        <w:rPr>
          <w:rStyle w:val="CharSectno"/>
        </w:rPr>
        <w:t>25</w:t>
      </w:r>
      <w:r>
        <w:t>.</w:t>
      </w:r>
      <w:r>
        <w:tab/>
        <w:t>Disabled etc. candidates, special arrangements etc. for</w:t>
      </w:r>
      <w:bookmarkEnd w:id="42"/>
    </w:p>
    <w:p>
      <w:pPr>
        <w:pStyle w:val="Subsection"/>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lastRenderedPageBreak/>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43" w:name="_Toc106888236"/>
      <w:r>
        <w:rPr>
          <w:rStyle w:val="CharSectno"/>
        </w:rPr>
        <w:t>26</w:t>
      </w:r>
      <w:r>
        <w:t>.</w:t>
      </w:r>
      <w:r>
        <w:tab/>
        <w:t>Fraud, collusion and other misconduct</w:t>
      </w:r>
      <w:bookmarkEnd w:id="43"/>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lastRenderedPageBreak/>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44" w:name="_Toc106888237"/>
      <w:r>
        <w:rPr>
          <w:rStyle w:val="CharSectno"/>
        </w:rPr>
        <w:t>27</w:t>
      </w:r>
      <w:r>
        <w:t>.</w:t>
      </w:r>
      <w:r>
        <w:tab/>
        <w:t>Appeals committee</w:t>
      </w:r>
      <w:bookmarkEnd w:id="44"/>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lastRenderedPageBreak/>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45" w:name="_Toc106888238"/>
      <w:r>
        <w:rPr>
          <w:rStyle w:val="CharSectno"/>
        </w:rPr>
        <w:t>28</w:t>
      </w:r>
      <w:r>
        <w:t>.</w:t>
      </w:r>
      <w:r>
        <w:tab/>
        <w:t>Committee procedures</w:t>
      </w:r>
      <w:bookmarkEnd w:id="45"/>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pStyle w:val="Heading2"/>
      </w:pPr>
      <w:bookmarkStart w:id="46" w:name="_Toc106885442"/>
      <w:bookmarkStart w:id="47" w:name="_Toc106885742"/>
      <w:bookmarkStart w:id="48" w:name="_Toc106887902"/>
      <w:bookmarkStart w:id="49" w:name="_Toc106888239"/>
      <w:r>
        <w:rPr>
          <w:rStyle w:val="CharPartNo"/>
        </w:rPr>
        <w:lastRenderedPageBreak/>
        <w:t>Part 5</w:t>
      </w:r>
      <w:r>
        <w:rPr>
          <w:rStyle w:val="CharDivNo"/>
        </w:rPr>
        <w:t> </w:t>
      </w:r>
      <w:r>
        <w:t>—</w:t>
      </w:r>
      <w:r>
        <w:rPr>
          <w:rStyle w:val="CharDivText"/>
        </w:rPr>
        <w:t> </w:t>
      </w:r>
      <w:r>
        <w:rPr>
          <w:rStyle w:val="CharPartText"/>
        </w:rPr>
        <w:t>Procedures for disclosure of relevant information</w:t>
      </w:r>
      <w:bookmarkEnd w:id="46"/>
      <w:bookmarkEnd w:id="47"/>
      <w:bookmarkEnd w:id="48"/>
      <w:bookmarkEnd w:id="49"/>
    </w:p>
    <w:p>
      <w:pPr>
        <w:pStyle w:val="Footnoteheading"/>
      </w:pPr>
      <w:r>
        <w:tab/>
        <w:t>[Heading inserted: SL 2020/233 r. 4.]</w:t>
      </w:r>
    </w:p>
    <w:p>
      <w:pPr>
        <w:pStyle w:val="Heading5"/>
      </w:pPr>
      <w:bookmarkStart w:id="50" w:name="_Toc106888240"/>
      <w:r>
        <w:rPr>
          <w:rStyle w:val="CharSectno"/>
        </w:rPr>
        <w:t>29</w:t>
      </w:r>
      <w:r>
        <w:t>.</w:t>
      </w:r>
      <w:r>
        <w:tab/>
        <w:t>Application of this Part</w:t>
      </w:r>
      <w:bookmarkEnd w:id="50"/>
    </w:p>
    <w:p>
      <w:pPr>
        <w:pStyle w:val="Subsection"/>
      </w:pPr>
      <w:r>
        <w:tab/>
      </w:r>
      <w:r>
        <w:tab/>
        <w:t>This Part applies to the disclosure by the Board of relevant information under section 32B of the Act.</w:t>
      </w:r>
    </w:p>
    <w:p>
      <w:pPr>
        <w:pStyle w:val="Footnotesection"/>
        <w:ind w:left="890" w:hanging="890"/>
      </w:pPr>
      <w:r>
        <w:tab/>
        <w:t>[Regulation 29 inserted: SL 2020/233 r. 4.]</w:t>
      </w:r>
    </w:p>
    <w:p>
      <w:pPr>
        <w:pStyle w:val="Heading5"/>
      </w:pPr>
      <w:bookmarkStart w:id="51" w:name="_Toc106888241"/>
      <w:r>
        <w:rPr>
          <w:rStyle w:val="CharSectno"/>
        </w:rPr>
        <w:t>30</w:t>
      </w:r>
      <w:r>
        <w:t>.</w:t>
      </w:r>
      <w:r>
        <w:tab/>
        <w:t>Terms used</w:t>
      </w:r>
      <w:bookmarkEnd w:id="51"/>
    </w:p>
    <w:p>
      <w:pPr>
        <w:pStyle w:val="Subsection"/>
      </w:pPr>
      <w:r>
        <w:tab/>
      </w:r>
      <w:r>
        <w:tab/>
        <w:t xml:space="preserve">In this Part — </w:t>
      </w:r>
    </w:p>
    <w:p>
      <w:pPr>
        <w:pStyle w:val="Defstart"/>
      </w:pPr>
      <w:r>
        <w:tab/>
      </w:r>
      <w:r>
        <w:rPr>
          <w:rStyle w:val="CharDefText"/>
        </w:rPr>
        <w:t>applicant</w:t>
      </w:r>
      <w:r>
        <w:t xml:space="preserve"> means a person or body who has made a request;</w:t>
      </w:r>
    </w:p>
    <w:p>
      <w:pPr>
        <w:pStyle w:val="Defstart"/>
      </w:pPr>
      <w:r>
        <w:tab/>
      </w:r>
      <w:r>
        <w:rPr>
          <w:rStyle w:val="CharDefText"/>
        </w:rPr>
        <w:t>human research ethics committee</w:t>
      </w:r>
      <w:r>
        <w:t xml:space="preserve"> means a human research ethics committee constituted and acting in accordance with the National Ethical Statement as in effect from time to time;</w:t>
      </w:r>
    </w:p>
    <w:p>
      <w:pPr>
        <w:pStyle w:val="Defstart"/>
      </w:pPr>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p>
    <w:p>
      <w:pPr>
        <w:pStyle w:val="Defstart"/>
      </w:pPr>
      <w:r>
        <w:tab/>
      </w:r>
      <w:r>
        <w:rPr>
          <w:rStyle w:val="CharDefText"/>
        </w:rPr>
        <w:t>request</w:t>
      </w:r>
      <w:r>
        <w:t xml:space="preserve"> means a request to the Board for the disclosure of relevant information under section 32B of the Act to conduct research involving students.</w:t>
      </w:r>
    </w:p>
    <w:p>
      <w:pPr>
        <w:pStyle w:val="Footnotesection"/>
        <w:ind w:left="890" w:hanging="890"/>
      </w:pPr>
      <w:r>
        <w:tab/>
        <w:t>[Regulation 30 inserted: SL 2020/233 r. 4.]</w:t>
      </w:r>
    </w:p>
    <w:p>
      <w:pPr>
        <w:pStyle w:val="Heading5"/>
      </w:pPr>
      <w:bookmarkStart w:id="52" w:name="_Toc106888242"/>
      <w:r>
        <w:rPr>
          <w:rStyle w:val="CharSectno"/>
        </w:rPr>
        <w:t>31</w:t>
      </w:r>
      <w:r>
        <w:t>.</w:t>
      </w:r>
      <w:r>
        <w:tab/>
        <w:t>Form of request</w:t>
      </w:r>
      <w:bookmarkEnd w:id="52"/>
    </w:p>
    <w:p>
      <w:pPr>
        <w:pStyle w:val="Subsection"/>
      </w:pPr>
      <w:r>
        <w:tab/>
      </w:r>
      <w:r>
        <w:tab/>
        <w:t xml:space="preserve">The Board must not accept a request unless — </w:t>
      </w:r>
    </w:p>
    <w:p>
      <w:pPr>
        <w:pStyle w:val="Indenta"/>
      </w:pPr>
      <w:r>
        <w:tab/>
        <w:t>(a)</w:t>
      </w:r>
      <w:r>
        <w:tab/>
        <w:t xml:space="preserve">it is in writing; and </w:t>
      </w:r>
    </w:p>
    <w:p>
      <w:pPr>
        <w:pStyle w:val="Indenta"/>
      </w:pPr>
      <w:r>
        <w:tab/>
        <w:t>(b)</w:t>
      </w:r>
      <w:r>
        <w:tab/>
        <w:t>the Board is satisfied it contains sufficient information to enable the Board to —</w:t>
      </w:r>
    </w:p>
    <w:p>
      <w:pPr>
        <w:pStyle w:val="Indenti"/>
      </w:pPr>
      <w:r>
        <w:tab/>
        <w:t>(i)</w:t>
      </w:r>
      <w:r>
        <w:tab/>
        <w:t>understand the objectives and methodology of the research to which the request relates; and</w:t>
      </w:r>
    </w:p>
    <w:p>
      <w:pPr>
        <w:pStyle w:val="Indenti"/>
      </w:pPr>
      <w:r>
        <w:tab/>
        <w:t>(ii)</w:t>
      </w:r>
      <w:r>
        <w:tab/>
        <w:t xml:space="preserve">identify the relevant information requested; </w:t>
      </w:r>
    </w:p>
    <w:p>
      <w:pPr>
        <w:pStyle w:val="Indenta"/>
      </w:pPr>
      <w:r>
        <w:lastRenderedPageBreak/>
        <w:tab/>
      </w:r>
      <w:r>
        <w:tab/>
        <w:t>and</w:t>
      </w:r>
    </w:p>
    <w:p>
      <w:pPr>
        <w:pStyle w:val="Indenta"/>
      </w:pPr>
      <w:r>
        <w:tab/>
        <w:t>(c)</w:t>
      </w:r>
      <w:r>
        <w:tab/>
        <w:t xml:space="preserve">it indicates whether the research to which the request relates has been approved by a human research ethics committee. </w:t>
      </w:r>
    </w:p>
    <w:p>
      <w:pPr>
        <w:pStyle w:val="Footnotesection"/>
        <w:ind w:left="890" w:hanging="890"/>
      </w:pPr>
      <w:r>
        <w:tab/>
        <w:t>[Regulation 31 inserted: SL 2020/233 r. 4.]</w:t>
      </w:r>
    </w:p>
    <w:p>
      <w:pPr>
        <w:pStyle w:val="Heading5"/>
      </w:pPr>
      <w:bookmarkStart w:id="53" w:name="_Toc106888243"/>
      <w:r>
        <w:rPr>
          <w:rStyle w:val="CharSectno"/>
        </w:rPr>
        <w:t>32</w:t>
      </w:r>
      <w:r>
        <w:t>.</w:t>
      </w:r>
      <w:r>
        <w:tab/>
        <w:t>Committee of Board to assist with non</w:t>
      </w:r>
      <w:r>
        <w:noBreakHyphen/>
        <w:t>government requests</w:t>
      </w:r>
      <w:bookmarkEnd w:id="53"/>
    </w:p>
    <w:p>
      <w:pPr>
        <w:pStyle w:val="Subsection"/>
      </w:pPr>
      <w:r>
        <w:tab/>
        <w:t>(1)</w:t>
      </w:r>
      <w:r>
        <w:tab/>
        <w:t xml:space="preserve">In this regulation — </w:t>
      </w:r>
    </w:p>
    <w:p>
      <w:pPr>
        <w:pStyle w:val="Defstart"/>
      </w:pPr>
      <w:r>
        <w:tab/>
      </w:r>
      <w:r>
        <w:rPr>
          <w:rStyle w:val="CharDefText"/>
        </w:rPr>
        <w:t>committee</w:t>
      </w:r>
      <w:r>
        <w:t xml:space="preserve"> means a committee appointed under subregulation (2);</w:t>
      </w:r>
    </w:p>
    <w:p>
      <w:pPr>
        <w:pStyle w:val="Defstart"/>
      </w:pPr>
      <w:r>
        <w:tab/>
      </w:r>
      <w:r>
        <w:rPr>
          <w:rStyle w:val="CharDefText"/>
        </w:rPr>
        <w:t>non</w:t>
      </w:r>
      <w:r>
        <w:rPr>
          <w:rStyle w:val="CharDefText"/>
        </w:rPr>
        <w:noBreakHyphen/>
        <w:t>government request</w:t>
      </w:r>
      <w:r>
        <w:t xml:space="preserve"> means a request from a person or body who is neither — </w:t>
      </w:r>
    </w:p>
    <w:p>
      <w:pPr>
        <w:pStyle w:val="Defpara"/>
      </w:pPr>
      <w:r>
        <w:tab/>
        <w:t>(a)</w:t>
      </w:r>
      <w:r>
        <w:tab/>
        <w:t xml:space="preserve">an agency as defined in the </w:t>
      </w:r>
      <w:r>
        <w:rPr>
          <w:i/>
        </w:rPr>
        <w:t>Public Sector Management Act 1994</w:t>
      </w:r>
      <w:r>
        <w:t xml:space="preserve"> section 3(1); nor</w:t>
      </w:r>
    </w:p>
    <w:p>
      <w:pPr>
        <w:pStyle w:val="Defpara"/>
      </w:pPr>
      <w:r>
        <w:tab/>
        <w:t>(b)</w:t>
      </w:r>
      <w:r>
        <w:tab/>
        <w:t>a non</w:t>
      </w:r>
      <w:r>
        <w:noBreakHyphen/>
        <w:t xml:space="preserve">SES organisation as defined in the </w:t>
      </w:r>
      <w:r>
        <w:rPr>
          <w:i/>
        </w:rPr>
        <w:t>Public Sector Management Act 1994</w:t>
      </w:r>
      <w:r>
        <w:t xml:space="preserve"> section 3(1).</w:t>
      </w:r>
    </w:p>
    <w:p>
      <w:pPr>
        <w:pStyle w:val="Subsection"/>
      </w:pPr>
      <w:r>
        <w:tab/>
        <w:t>(2)</w:t>
      </w:r>
      <w:r>
        <w:tab/>
        <w:t>The Board must appoint at least 1 committee to review non</w:t>
      </w:r>
      <w:r>
        <w:noBreakHyphen/>
        <w:t>government requests.</w:t>
      </w:r>
    </w:p>
    <w:p>
      <w:pPr>
        <w:pStyle w:val="Subsection"/>
      </w:pPr>
      <w:r>
        <w:tab/>
        <w:t>(3)</w:t>
      </w:r>
      <w:r>
        <w:tab/>
        <w:t>The Board must refer a non</w:t>
      </w:r>
      <w:r>
        <w:noBreakHyphen/>
        <w:t xml:space="preserve">government request to a committee if the Board — </w:t>
      </w:r>
    </w:p>
    <w:p>
      <w:pPr>
        <w:pStyle w:val="Indenta"/>
      </w:pPr>
      <w:r>
        <w:tab/>
        <w:t>(a)</w:t>
      </w:r>
      <w:r>
        <w:tab/>
        <w:t>considers the request will require, or is likely to require, the disclosure of personal information; or</w:t>
      </w:r>
    </w:p>
    <w:p>
      <w:pPr>
        <w:pStyle w:val="Indenta"/>
      </w:pPr>
      <w:r>
        <w:tab/>
        <w:t>(b)</w:t>
      </w:r>
      <w:r>
        <w:tab/>
        <w:t>is unable to determine whether the request would require the disclosure of personal information.</w:t>
      </w:r>
    </w:p>
    <w:p>
      <w:pPr>
        <w:pStyle w:val="Subsection"/>
      </w:pPr>
      <w:r>
        <w:tab/>
        <w:t>(4)</w:t>
      </w:r>
      <w:r>
        <w:tab/>
        <w:t>The committee reviewing a non</w:t>
      </w:r>
      <w:r>
        <w:noBreakHyphen/>
        <w:t xml:space="preserve">government request referred under subregulation (3) must advise the Board — </w:t>
      </w:r>
    </w:p>
    <w:p>
      <w:pPr>
        <w:pStyle w:val="Indenta"/>
      </w:pPr>
      <w:r>
        <w:tab/>
        <w:t>(a)</w:t>
      </w:r>
      <w:r>
        <w:tab/>
        <w:t xml:space="preserve">whether the request would require the disclosure of personal information to the person or body requesting the information; and </w:t>
      </w:r>
    </w:p>
    <w:p>
      <w:pPr>
        <w:pStyle w:val="Indenta"/>
        <w:keepNext/>
      </w:pPr>
      <w:r>
        <w:lastRenderedPageBreak/>
        <w:tab/>
        <w:t>(b)</w:t>
      </w:r>
      <w:r>
        <w:tab/>
        <w:t xml:space="preserve">if the request requires the disclosure of personal information, whether — </w:t>
      </w:r>
    </w:p>
    <w:p>
      <w:pPr>
        <w:pStyle w:val="Indenti"/>
      </w:pPr>
      <w:r>
        <w:tab/>
        <w:t>(i)</w:t>
      </w:r>
      <w:r>
        <w:tab/>
        <w:t xml:space="preserve">the person or body who receives personal information is able to ensure the security of the personal information; and </w:t>
      </w:r>
    </w:p>
    <w:p>
      <w:pPr>
        <w:pStyle w:val="Indenti"/>
      </w:pPr>
      <w:r>
        <w:tab/>
        <w:t>(ii)</w:t>
      </w:r>
      <w:r>
        <w:tab/>
        <w:t xml:space="preserve">the person or body who receives personal information is able to comply with any condition that might be imposed under section 32B(4) of the Act; and </w:t>
      </w:r>
    </w:p>
    <w:p>
      <w:pPr>
        <w:pStyle w:val="Indenti"/>
      </w:pPr>
      <w:r>
        <w:tab/>
        <w:t>(iii)</w:t>
      </w:r>
      <w:r>
        <w:tab/>
        <w:t xml:space="preserve">the person or body who receives personal information is able to comply with any written law, guideline or policy that applies to the research; and </w:t>
      </w:r>
    </w:p>
    <w:p>
      <w:pPr>
        <w:pStyle w:val="Indenti"/>
      </w:pPr>
      <w:r>
        <w:tab/>
        <w:t>(iv)</w:t>
      </w:r>
      <w:r>
        <w:tab/>
        <w:t xml:space="preserve">harm might be caused to a person whose personal information is disclosed; and </w:t>
      </w:r>
    </w:p>
    <w:p>
      <w:pPr>
        <w:pStyle w:val="Indenti"/>
      </w:pPr>
      <w:r>
        <w:tab/>
        <w:t>(v)</w:t>
      </w:r>
      <w:r>
        <w:tab/>
        <w:t xml:space="preserve">there are benefits to the research. </w:t>
      </w:r>
    </w:p>
    <w:p>
      <w:pPr>
        <w:pStyle w:val="Subsection"/>
      </w:pPr>
      <w:r>
        <w:tab/>
        <w:t>(5)</w:t>
      </w:r>
      <w:r>
        <w:tab/>
        <w:t>If the Board reasonably considers it necessary, it may direct a committee to reconsider its advice given under subregulation (4) in relation to a non</w:t>
      </w:r>
      <w:r>
        <w:noBreakHyphen/>
        <w:t>government request.</w:t>
      </w:r>
    </w:p>
    <w:p>
      <w:pPr>
        <w:pStyle w:val="Footnotesection"/>
        <w:ind w:left="890" w:hanging="890"/>
      </w:pPr>
      <w:r>
        <w:tab/>
        <w:t>[Regulation 32 inserted: SL 2020/233 r. 4.]</w:t>
      </w:r>
    </w:p>
    <w:p>
      <w:pPr>
        <w:pStyle w:val="Heading5"/>
      </w:pPr>
      <w:bookmarkStart w:id="54" w:name="_Toc106888244"/>
      <w:r>
        <w:rPr>
          <w:rStyle w:val="CharSectno"/>
        </w:rPr>
        <w:t>33</w:t>
      </w:r>
      <w:r>
        <w:t>.</w:t>
      </w:r>
      <w:r>
        <w:tab/>
        <w:t>Register of requests</w:t>
      </w:r>
      <w:bookmarkEnd w:id="54"/>
    </w:p>
    <w:p>
      <w:pPr>
        <w:pStyle w:val="Subsection"/>
      </w:pPr>
      <w:r>
        <w:tab/>
        <w:t>(1)</w:t>
      </w:r>
      <w:r>
        <w:tab/>
        <w:t>The Board must set up and maintain a register of requests.</w:t>
      </w:r>
    </w:p>
    <w:p>
      <w:pPr>
        <w:pStyle w:val="Subsection"/>
      </w:pPr>
      <w:r>
        <w:tab/>
        <w:t>(2)</w:t>
      </w:r>
      <w:r>
        <w:tab/>
        <w:t xml:space="preserve">The register must contain the following details for each request — </w:t>
      </w:r>
    </w:p>
    <w:p>
      <w:pPr>
        <w:pStyle w:val="Indenta"/>
      </w:pPr>
      <w:r>
        <w:tab/>
        <w:t>(a)</w:t>
      </w:r>
      <w:r>
        <w:tab/>
        <w:t>the name of the applicant;</w:t>
      </w:r>
    </w:p>
    <w:p>
      <w:pPr>
        <w:pStyle w:val="Indenta"/>
      </w:pPr>
      <w:r>
        <w:tab/>
        <w:t>(b)</w:t>
      </w:r>
      <w:r>
        <w:tab/>
        <w:t>the date on which the request was submitted;</w:t>
      </w:r>
    </w:p>
    <w:p>
      <w:pPr>
        <w:pStyle w:val="Indenta"/>
      </w:pPr>
      <w:r>
        <w:tab/>
        <w:t>(c)</w:t>
      </w:r>
      <w:r>
        <w:tab/>
        <w:t>if the request was accepted under regulation 31 — whether the request was approved or refused by the Board;</w:t>
      </w:r>
    </w:p>
    <w:p>
      <w:pPr>
        <w:pStyle w:val="Indenta"/>
      </w:pPr>
      <w:r>
        <w:tab/>
        <w:t>(d)</w:t>
      </w:r>
      <w:r>
        <w:tab/>
        <w:t>if the request was approved — the type or types of relevant information disclosed by the Board.</w:t>
      </w:r>
    </w:p>
    <w:p>
      <w:pPr>
        <w:pStyle w:val="Subsection"/>
      </w:pPr>
      <w:r>
        <w:lastRenderedPageBreak/>
        <w:tab/>
        <w:t>(3)</w:t>
      </w:r>
      <w:r>
        <w:tab/>
        <w:t xml:space="preserve">Without limiting subregulation (2)(d), if the relevant information disclosed by the Board includes any personal information in relation to a student, the register must include whether any of the following types of personal information were disclosed — </w:t>
      </w:r>
    </w:p>
    <w:p>
      <w:pPr>
        <w:pStyle w:val="Indenta"/>
      </w:pPr>
      <w:r>
        <w:tab/>
        <w:t>(a)</w:t>
      </w:r>
      <w:r>
        <w:tab/>
        <w:t>the student’s name, address, date of birth, gender or unique reference number;</w:t>
      </w:r>
    </w:p>
    <w:p>
      <w:pPr>
        <w:pStyle w:val="Indenta"/>
      </w:pPr>
      <w:r>
        <w:tab/>
        <w:t>(b)</w:t>
      </w:r>
      <w:r>
        <w:tab/>
        <w:t>whether the student is an Aboriginal or Torres Strait Islander;</w:t>
      </w:r>
    </w:p>
    <w:p>
      <w:pPr>
        <w:pStyle w:val="Indenta"/>
      </w:pPr>
      <w:r>
        <w:tab/>
        <w:t>(c)</w:t>
      </w:r>
      <w:r>
        <w:tab/>
        <w:t xml:space="preserve">the main language spoken by the student at home; </w:t>
      </w:r>
    </w:p>
    <w:p>
      <w:pPr>
        <w:pStyle w:val="Indenta"/>
      </w:pPr>
      <w:r>
        <w:tab/>
        <w:t>(d)</w:t>
      </w:r>
      <w:r>
        <w:tab/>
        <w:t>the main language spoken by the student’s parents at home;</w:t>
      </w:r>
    </w:p>
    <w:p>
      <w:pPr>
        <w:pStyle w:val="Indenta"/>
      </w:pPr>
      <w:r>
        <w:tab/>
        <w:t>(e)</w:t>
      </w:r>
      <w:r>
        <w:tab/>
        <w:t>the educational programs or courses in or for which the student was most recently enrolled or receiving home education;</w:t>
      </w:r>
    </w:p>
    <w:p>
      <w:pPr>
        <w:pStyle w:val="Indenta"/>
      </w:pPr>
      <w:r>
        <w:tab/>
        <w:t>(f)</w:t>
      </w:r>
      <w:r>
        <w:tab/>
        <w:t>any educational programs or courses in or for which the student was previously enrolled or receiving home education;</w:t>
      </w:r>
    </w:p>
    <w:p>
      <w:pPr>
        <w:pStyle w:val="Indenta"/>
      </w:pPr>
      <w:r>
        <w:tab/>
        <w:t>(g)</w:t>
      </w:r>
      <w:r>
        <w:tab/>
        <w:t>the student’s educational achievement;</w:t>
      </w:r>
    </w:p>
    <w:p>
      <w:pPr>
        <w:pStyle w:val="Indenta"/>
      </w:pPr>
      <w:r>
        <w:tab/>
        <w:t>(h)</w:t>
      </w:r>
      <w:r>
        <w:tab/>
        <w:t xml:space="preserve">whether the student is or was participating in an option other than school in accordance with the </w:t>
      </w:r>
      <w:r>
        <w:rPr>
          <w:i/>
        </w:rPr>
        <w:t>School Education Act 1999</w:t>
      </w:r>
      <w:r>
        <w:t xml:space="preserve"> section 11B.</w:t>
      </w:r>
    </w:p>
    <w:p>
      <w:pPr>
        <w:pStyle w:val="Subsection"/>
      </w:pPr>
      <w:r>
        <w:tab/>
        <w:t>(4)</w:t>
      </w:r>
      <w:r>
        <w:tab/>
        <w:t xml:space="preserve">The register — </w:t>
      </w:r>
    </w:p>
    <w:p>
      <w:pPr>
        <w:pStyle w:val="Indenta"/>
      </w:pPr>
      <w:r>
        <w:tab/>
        <w:t>(a)</w:t>
      </w:r>
      <w:r>
        <w:tab/>
        <w:t>must not include personal information; but</w:t>
      </w:r>
    </w:p>
    <w:p>
      <w:pPr>
        <w:pStyle w:val="Indenta"/>
      </w:pPr>
      <w:r>
        <w:tab/>
        <w:t>(b)</w:t>
      </w:r>
      <w:r>
        <w:tab/>
        <w:t>may otherwise be kept in the manner that the Board considers appropriate.</w:t>
      </w:r>
    </w:p>
    <w:p>
      <w:pPr>
        <w:pStyle w:val="Footnotesection"/>
        <w:ind w:left="890" w:hanging="890"/>
      </w:pPr>
      <w:r>
        <w:tab/>
        <w:t>[Regulation 33 inserted: SL 2020/233 r. 4.]</w:t>
      </w:r>
    </w:p>
    <w:p>
      <w:pPr>
        <w:pStyle w:val="Heading5"/>
      </w:pPr>
      <w:bookmarkStart w:id="55" w:name="_Toc106888245"/>
      <w:r>
        <w:rPr>
          <w:rStyle w:val="CharSectno"/>
        </w:rPr>
        <w:lastRenderedPageBreak/>
        <w:t>34</w:t>
      </w:r>
      <w:r>
        <w:t>.</w:t>
      </w:r>
      <w:r>
        <w:tab/>
        <w:t>Refusal of requests</w:t>
      </w:r>
      <w:bookmarkEnd w:id="55"/>
    </w:p>
    <w:p>
      <w:pPr>
        <w:pStyle w:val="Subsection"/>
        <w:keepNext/>
        <w:keepLines/>
      </w:pPr>
      <w:r>
        <w:tab/>
      </w:r>
      <w:r>
        <w:tab/>
        <w:t>If the Board refuses a request it has accepted under regulation 31, it must give the applicant written notice of the refusal and the reasons for the refusal.</w:t>
      </w:r>
    </w:p>
    <w:p>
      <w:pPr>
        <w:pStyle w:val="Footnotesection"/>
        <w:ind w:left="890" w:hanging="890"/>
      </w:pPr>
      <w:r>
        <w:tab/>
        <w:t>[Regulation 34 inserted: SL 2020/233 r. 4.]</w:t>
      </w:r>
    </w:p>
    <w:p>
      <w:pPr>
        <w:pStyle w:val="Heading5"/>
      </w:pPr>
      <w:bookmarkStart w:id="56" w:name="_Toc106888246"/>
      <w:r>
        <w:rPr>
          <w:rStyle w:val="CharSectno"/>
        </w:rPr>
        <w:t>35</w:t>
      </w:r>
      <w:r>
        <w:t>.</w:t>
      </w:r>
      <w:r>
        <w:tab/>
        <w:t>Annual report</w:t>
      </w:r>
      <w:bookmarkEnd w:id="56"/>
    </w:p>
    <w:p>
      <w:pPr>
        <w:pStyle w:val="Subsection"/>
      </w:pPr>
      <w:r>
        <w:tab/>
      </w:r>
      <w:r>
        <w:tab/>
        <w:t xml:space="preserve">The annual report of the Authority prepared for the purposes of the </w:t>
      </w:r>
      <w:r>
        <w:rPr>
          <w:i/>
        </w:rPr>
        <w:t xml:space="preserve">Financial Management Act 2006 </w:t>
      </w:r>
      <w:r>
        <w:t>Part 5 must include a report on the number, nature and outcome of requests accepted by the Board under regulation 31.</w:t>
      </w:r>
    </w:p>
    <w:p>
      <w:pPr>
        <w:pStyle w:val="Footnotesection"/>
        <w:ind w:left="890" w:hanging="890"/>
      </w:pPr>
      <w:r>
        <w:tab/>
        <w:t>[Regulation 35 inserted: SL 2020/233 r. 4.]</w:t>
      </w:r>
    </w:p>
    <w:p>
      <w:pPr>
        <w:pStyle w:val="Footnote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 w:name="_Toc102986791"/>
      <w:bookmarkStart w:id="58" w:name="_Toc102988070"/>
      <w:bookmarkStart w:id="59" w:name="_Toc102989215"/>
      <w:bookmarkStart w:id="60" w:name="_Toc102989324"/>
      <w:bookmarkStart w:id="61" w:name="_Toc104889017"/>
      <w:bookmarkStart w:id="62" w:name="_Toc106885750"/>
      <w:bookmarkStart w:id="63" w:name="_Toc106887910"/>
      <w:bookmarkStart w:id="64" w:name="_Toc106888247"/>
      <w:bookmarkStart w:id="65" w:name="_Toc106885450"/>
      <w:r>
        <w:rPr>
          <w:rStyle w:val="CharSchNo"/>
        </w:rPr>
        <w:lastRenderedPageBreak/>
        <w:t>Schedule 1</w:t>
      </w:r>
      <w:r>
        <w:t> — </w:t>
      </w:r>
      <w:r>
        <w:rPr>
          <w:rStyle w:val="CharSchText"/>
        </w:rPr>
        <w:t>Fees and charges for certification, assessment and examination</w:t>
      </w:r>
      <w:bookmarkEnd w:id="57"/>
      <w:bookmarkEnd w:id="58"/>
      <w:bookmarkEnd w:id="59"/>
      <w:bookmarkEnd w:id="60"/>
      <w:bookmarkEnd w:id="61"/>
      <w:bookmarkEnd w:id="62"/>
      <w:bookmarkEnd w:id="63"/>
      <w:bookmarkEnd w:id="64"/>
    </w:p>
    <w:p>
      <w:pPr>
        <w:pStyle w:val="yShoulderClause"/>
      </w:pPr>
      <w:r>
        <w:t>[r. 10]</w:t>
      </w:r>
    </w:p>
    <w:p>
      <w:pPr>
        <w:pStyle w:val="yFootnoteheading"/>
        <w:spacing w:after="60"/>
      </w:pPr>
      <w:r>
        <w:tab/>
        <w:t>[Heading inserted: SL 2022/61 r. 6.]</w:t>
      </w:r>
    </w:p>
    <w:tbl>
      <w:tblPr>
        <w:tblW w:w="6662" w:type="dxa"/>
        <w:tblInd w:w="284" w:type="dxa"/>
        <w:tblLayout w:type="fixed"/>
        <w:tblLook w:val="0000" w:firstRow="0" w:lastRow="0" w:firstColumn="0" w:lastColumn="0" w:noHBand="0" w:noVBand="0"/>
      </w:tblPr>
      <w:tblGrid>
        <w:gridCol w:w="708"/>
        <w:gridCol w:w="3969"/>
        <w:gridCol w:w="1985"/>
      </w:tblGrid>
      <w:tr>
        <w:trPr>
          <w:cantSplit/>
          <w:tblHeader/>
        </w:trPr>
        <w:tc>
          <w:tcPr>
            <w:tcW w:w="708" w:type="dxa"/>
            <w:tcBorders>
              <w:top w:val="single" w:sz="4" w:space="0" w:color="auto"/>
              <w:bottom w:val="single" w:sz="4" w:space="0" w:color="auto"/>
            </w:tcBorders>
            <w:noWrap/>
          </w:tcPr>
          <w:p>
            <w:pPr>
              <w:pStyle w:val="yTableNAm"/>
              <w:rPr>
                <w:b/>
              </w:rPr>
            </w:pPr>
            <w:r>
              <w:rPr>
                <w:b/>
              </w:rPr>
              <w:t>Item</w:t>
            </w:r>
          </w:p>
        </w:tc>
        <w:tc>
          <w:tcPr>
            <w:tcW w:w="3969" w:type="dxa"/>
            <w:tcBorders>
              <w:top w:val="single" w:sz="4" w:space="0" w:color="auto"/>
              <w:bottom w:val="single" w:sz="4" w:space="0" w:color="auto"/>
            </w:tcBorders>
            <w:noWrap/>
          </w:tcPr>
          <w:p>
            <w:pPr>
              <w:pStyle w:val="yTableNAm"/>
              <w:rPr>
                <w:b/>
              </w:rPr>
            </w:pPr>
            <w:r>
              <w:rPr>
                <w:b/>
              </w:rPr>
              <w:t>Description</w:t>
            </w:r>
          </w:p>
        </w:tc>
        <w:tc>
          <w:tcPr>
            <w:tcW w:w="1985" w:type="dxa"/>
            <w:tcBorders>
              <w:top w:val="single" w:sz="4" w:space="0" w:color="auto"/>
              <w:bottom w:val="single" w:sz="4" w:space="0" w:color="auto"/>
            </w:tcBorders>
            <w:noWrap/>
          </w:tcPr>
          <w:p>
            <w:pPr>
              <w:pStyle w:val="yTableNAm"/>
              <w:rPr>
                <w:b/>
              </w:rPr>
            </w:pPr>
            <w:r>
              <w:rPr>
                <w:b/>
              </w:rPr>
              <w:t>Fee/Charge</w:t>
            </w:r>
          </w:p>
        </w:tc>
      </w:tr>
      <w:tr>
        <w:trPr>
          <w:cantSplit/>
        </w:trPr>
        <w:tc>
          <w:tcPr>
            <w:tcW w:w="708" w:type="dxa"/>
            <w:tcBorders>
              <w:top w:val="single" w:sz="4" w:space="0" w:color="auto"/>
            </w:tcBorders>
            <w:noWrap/>
          </w:tcPr>
          <w:p>
            <w:pPr>
              <w:pStyle w:val="yTableNAm"/>
            </w:pPr>
          </w:p>
        </w:tc>
        <w:tc>
          <w:tcPr>
            <w:tcW w:w="3969" w:type="dxa"/>
            <w:tcBorders>
              <w:top w:val="single" w:sz="4" w:space="0" w:color="auto"/>
            </w:tcBorders>
            <w:noWrap/>
          </w:tcPr>
          <w:p>
            <w:pPr>
              <w:pStyle w:val="yTableNAm"/>
              <w:rPr>
                <w:b/>
                <w:i/>
              </w:rPr>
            </w:pPr>
            <w:r>
              <w:rPr>
                <w:b/>
                <w:i/>
              </w:rPr>
              <w:t>Certification</w:t>
            </w:r>
          </w:p>
        </w:tc>
        <w:tc>
          <w:tcPr>
            <w:tcW w:w="1985" w:type="dxa"/>
            <w:tcBorders>
              <w:top w:val="single" w:sz="4" w:space="0" w:color="auto"/>
            </w:tcBorders>
            <w:noWrap/>
          </w:tcPr>
          <w:p>
            <w:pPr>
              <w:pStyle w:val="yTableNAm"/>
            </w:pPr>
          </w:p>
        </w:tc>
      </w:tr>
      <w:tr>
        <w:trPr>
          <w:cantSplit/>
        </w:trPr>
        <w:tc>
          <w:tcPr>
            <w:tcW w:w="708" w:type="dxa"/>
            <w:noWrap/>
          </w:tcPr>
          <w:p>
            <w:pPr>
              <w:pStyle w:val="yTableNAm"/>
            </w:pPr>
            <w:r>
              <w:t>1.</w:t>
            </w:r>
          </w:p>
        </w:tc>
        <w:tc>
          <w:tcPr>
            <w:tcW w:w="3969" w:type="dxa"/>
            <w:noWrap/>
          </w:tcPr>
          <w:p>
            <w:pPr>
              <w:pStyle w:val="yTableNAm"/>
              <w:tabs>
                <w:tab w:val="clear" w:pos="567"/>
                <w:tab w:val="right" w:leader="dot" w:pos="3753"/>
              </w:tabs>
            </w:pPr>
            <w:r>
              <w:t xml:space="preserve">Copy of student record (s. 19J(1)) </w:t>
            </w:r>
            <w:r>
              <w:tab/>
            </w:r>
          </w:p>
        </w:tc>
        <w:tc>
          <w:tcPr>
            <w:tcW w:w="1985" w:type="dxa"/>
            <w:noWrap/>
          </w:tcPr>
          <w:p>
            <w:pPr>
              <w:pStyle w:val="yTableNAm"/>
            </w:pPr>
            <w:r>
              <w:t xml:space="preserve">$49.00 </w:t>
            </w:r>
            <w:r>
              <w:br/>
              <w:t>(for each document)</w:t>
            </w:r>
          </w:p>
        </w:tc>
      </w:tr>
      <w:tr>
        <w:trPr>
          <w:cantSplit/>
        </w:trPr>
        <w:tc>
          <w:tcPr>
            <w:tcW w:w="708" w:type="dxa"/>
            <w:noWrap/>
          </w:tcPr>
          <w:p>
            <w:pPr>
              <w:pStyle w:val="yTableNAm"/>
            </w:pPr>
            <w:r>
              <w:t>2.</w:t>
            </w:r>
          </w:p>
        </w:tc>
        <w:tc>
          <w:tcPr>
            <w:tcW w:w="3969" w:type="dxa"/>
            <w:noWrap/>
          </w:tcPr>
          <w:p>
            <w:pPr>
              <w:pStyle w:val="yTableNAm"/>
              <w:tabs>
                <w:tab w:val="clear" w:pos="567"/>
                <w:tab w:val="right" w:leader="dot" w:pos="3753"/>
              </w:tabs>
            </w:pPr>
            <w:r>
              <w:t xml:space="preserve">Change of entry in application for certification </w:t>
            </w:r>
            <w:r>
              <w:tab/>
            </w:r>
          </w:p>
        </w:tc>
        <w:tc>
          <w:tcPr>
            <w:tcW w:w="1985" w:type="dxa"/>
            <w:noWrap/>
            <w:vAlign w:val="bottom"/>
          </w:tcPr>
          <w:p>
            <w:pPr>
              <w:pStyle w:val="yTableNAm"/>
            </w:pPr>
            <w:r>
              <w:t>$58.00</w:t>
            </w:r>
          </w:p>
        </w:tc>
      </w:tr>
      <w:tr>
        <w:trPr>
          <w:cantSplit/>
        </w:trPr>
        <w:tc>
          <w:tcPr>
            <w:tcW w:w="708" w:type="dxa"/>
            <w:noWrap/>
          </w:tcPr>
          <w:p>
            <w:pPr>
              <w:pStyle w:val="yTableNAm"/>
            </w:pPr>
            <w:r>
              <w:t>3.</w:t>
            </w:r>
          </w:p>
        </w:tc>
        <w:tc>
          <w:tcPr>
            <w:tcW w:w="3969" w:type="dxa"/>
            <w:noWrap/>
          </w:tcPr>
          <w:p>
            <w:pPr>
              <w:pStyle w:val="yTableNAm"/>
              <w:tabs>
                <w:tab w:val="clear" w:pos="567"/>
                <w:tab w:val="right" w:leader="dot" w:pos="3753"/>
              </w:tabs>
            </w:pPr>
            <w:r>
              <w:t>Secondary education equivalence statement</w:t>
            </w:r>
            <w:r>
              <w:tab/>
            </w:r>
          </w:p>
        </w:tc>
        <w:tc>
          <w:tcPr>
            <w:tcW w:w="1985" w:type="dxa"/>
            <w:noWrap/>
            <w:vAlign w:val="bottom"/>
          </w:tcPr>
          <w:p>
            <w:pPr>
              <w:pStyle w:val="yTableNAm"/>
            </w:pPr>
            <w:r>
              <w:t>$50.00</w:t>
            </w:r>
          </w:p>
        </w:tc>
      </w:tr>
      <w:tr>
        <w:trPr>
          <w:cantSplit/>
        </w:trPr>
        <w:tc>
          <w:tcPr>
            <w:tcW w:w="708" w:type="dxa"/>
            <w:noWrap/>
          </w:tcPr>
          <w:p>
            <w:pPr>
              <w:pStyle w:val="yTableNAm"/>
            </w:pPr>
          </w:p>
        </w:tc>
        <w:tc>
          <w:tcPr>
            <w:tcW w:w="3969" w:type="dxa"/>
            <w:noWrap/>
          </w:tcPr>
          <w:p>
            <w:pPr>
              <w:pStyle w:val="yTableNAm"/>
            </w:pPr>
            <w:r>
              <w:rPr>
                <w:b/>
                <w:i/>
              </w:rPr>
              <w:t>Assessment</w:t>
            </w:r>
          </w:p>
        </w:tc>
        <w:tc>
          <w:tcPr>
            <w:tcW w:w="1985" w:type="dxa"/>
            <w:noWrap/>
          </w:tcPr>
          <w:p>
            <w:pPr>
              <w:pStyle w:val="yTableNAm"/>
            </w:pPr>
          </w:p>
        </w:tc>
      </w:tr>
      <w:tr>
        <w:trPr>
          <w:cantSplit/>
        </w:trPr>
        <w:tc>
          <w:tcPr>
            <w:tcW w:w="708" w:type="dxa"/>
            <w:noWrap/>
          </w:tcPr>
          <w:p>
            <w:pPr>
              <w:pStyle w:val="yTableNAm"/>
            </w:pPr>
            <w:r>
              <w:t>4.</w:t>
            </w:r>
          </w:p>
        </w:tc>
        <w:tc>
          <w:tcPr>
            <w:tcW w:w="3969" w:type="dxa"/>
            <w:noWrap/>
          </w:tcPr>
          <w:p>
            <w:pPr>
              <w:pStyle w:val="yTableNAm"/>
              <w:tabs>
                <w:tab w:val="clear" w:pos="567"/>
                <w:tab w:val="right" w:leader="dot" w:pos="3753"/>
              </w:tabs>
            </w:pPr>
            <w:r>
              <w:t xml:space="preserve">Enrolment (late entry) </w:t>
            </w:r>
            <w:r>
              <w:tab/>
            </w:r>
          </w:p>
        </w:tc>
        <w:tc>
          <w:tcPr>
            <w:tcW w:w="1985" w:type="dxa"/>
            <w:noWrap/>
          </w:tcPr>
          <w:p>
            <w:pPr>
              <w:pStyle w:val="yTableNAm"/>
            </w:pPr>
            <w:r>
              <w:t xml:space="preserve">$114.00 </w:t>
            </w:r>
            <w:r>
              <w:br/>
              <w:t>(for each course unit to a maximum of $2 000.00 per application)</w:t>
            </w:r>
          </w:p>
        </w:tc>
      </w:tr>
      <w:tr>
        <w:trPr>
          <w:cantSplit/>
        </w:trPr>
        <w:tc>
          <w:tcPr>
            <w:tcW w:w="708" w:type="dxa"/>
            <w:noWrap/>
          </w:tcPr>
          <w:p>
            <w:pPr>
              <w:pStyle w:val="yTableNAm"/>
            </w:pPr>
            <w:r>
              <w:t>5.</w:t>
            </w:r>
          </w:p>
        </w:tc>
        <w:tc>
          <w:tcPr>
            <w:tcW w:w="3969" w:type="dxa"/>
            <w:noWrap/>
          </w:tcPr>
          <w:p>
            <w:pPr>
              <w:pStyle w:val="yTableNAm"/>
              <w:tabs>
                <w:tab w:val="clear" w:pos="567"/>
                <w:tab w:val="right" w:leader="dot" w:pos="3753"/>
              </w:tabs>
            </w:pPr>
            <w:r>
              <w:t xml:space="preserve">Appeal from assessment </w:t>
            </w:r>
            <w:r>
              <w:tab/>
            </w:r>
          </w:p>
        </w:tc>
        <w:tc>
          <w:tcPr>
            <w:tcW w:w="1985" w:type="dxa"/>
            <w:noWrap/>
          </w:tcPr>
          <w:p>
            <w:pPr>
              <w:pStyle w:val="yTableNAm"/>
            </w:pPr>
            <w:r>
              <w:t xml:space="preserve">$27.00 </w:t>
            </w:r>
            <w:r>
              <w:br/>
              <w:t>(for each course unit)</w:t>
            </w:r>
          </w:p>
        </w:tc>
      </w:tr>
      <w:tr>
        <w:trPr>
          <w:cantSplit/>
        </w:trPr>
        <w:tc>
          <w:tcPr>
            <w:tcW w:w="708" w:type="dxa"/>
            <w:noWrap/>
          </w:tcPr>
          <w:p>
            <w:pPr>
              <w:pStyle w:val="yTableNAm"/>
            </w:pPr>
          </w:p>
        </w:tc>
        <w:tc>
          <w:tcPr>
            <w:tcW w:w="3969" w:type="dxa"/>
            <w:noWrap/>
          </w:tcPr>
          <w:p>
            <w:pPr>
              <w:pStyle w:val="yTableNAm"/>
            </w:pPr>
            <w:r>
              <w:rPr>
                <w:b/>
                <w:i/>
              </w:rPr>
              <w:t>Examination</w:t>
            </w:r>
          </w:p>
        </w:tc>
        <w:tc>
          <w:tcPr>
            <w:tcW w:w="1985" w:type="dxa"/>
            <w:noWrap/>
          </w:tcPr>
          <w:p>
            <w:pPr>
              <w:pStyle w:val="yTableNAm"/>
            </w:pPr>
          </w:p>
        </w:tc>
      </w:tr>
      <w:tr>
        <w:trPr>
          <w:cantSplit/>
          <w:trHeight w:val="546"/>
        </w:trPr>
        <w:tc>
          <w:tcPr>
            <w:tcW w:w="708" w:type="dxa"/>
            <w:noWrap/>
          </w:tcPr>
          <w:p>
            <w:pPr>
              <w:pStyle w:val="yTableNAm"/>
            </w:pPr>
            <w:r>
              <w:t>6.</w:t>
            </w:r>
          </w:p>
        </w:tc>
        <w:tc>
          <w:tcPr>
            <w:tcW w:w="3969" w:type="dxa"/>
            <w:noWrap/>
          </w:tcPr>
          <w:p>
            <w:pPr>
              <w:pStyle w:val="yTableNAm"/>
              <w:tabs>
                <w:tab w:val="clear" w:pos="567"/>
                <w:tab w:val="right" w:leader="dot" w:pos="3753"/>
              </w:tabs>
            </w:pPr>
            <w:r>
              <w:t>Non</w:t>
            </w:r>
            <w:r>
              <w:noBreakHyphen/>
              <w:t xml:space="preserve">school candidate </w:t>
            </w:r>
            <w:r>
              <w:tab/>
            </w:r>
          </w:p>
        </w:tc>
        <w:tc>
          <w:tcPr>
            <w:tcW w:w="1985" w:type="dxa"/>
            <w:noWrap/>
          </w:tcPr>
          <w:p>
            <w:pPr>
              <w:pStyle w:val="yTableNAm"/>
            </w:pPr>
            <w:r>
              <w:t xml:space="preserve">$58.00 </w:t>
            </w:r>
            <w:r>
              <w:br/>
              <w:t>(for each examination)</w:t>
            </w:r>
          </w:p>
        </w:tc>
      </w:tr>
      <w:tr>
        <w:trPr>
          <w:cantSplit/>
        </w:trPr>
        <w:tc>
          <w:tcPr>
            <w:tcW w:w="708" w:type="dxa"/>
            <w:noWrap/>
          </w:tcPr>
          <w:p>
            <w:pPr>
              <w:pStyle w:val="yTableNAm"/>
            </w:pPr>
            <w:r>
              <w:t>7.</w:t>
            </w:r>
          </w:p>
        </w:tc>
        <w:tc>
          <w:tcPr>
            <w:tcW w:w="3969" w:type="dxa"/>
            <w:noWrap/>
          </w:tcPr>
          <w:p>
            <w:pPr>
              <w:pStyle w:val="yTableNAm"/>
              <w:tabs>
                <w:tab w:val="clear" w:pos="567"/>
                <w:tab w:val="right" w:leader="dot" w:pos="3753"/>
              </w:tabs>
            </w:pPr>
            <w:r>
              <w:t>Non</w:t>
            </w:r>
            <w:r>
              <w:noBreakHyphen/>
              <w:t xml:space="preserve">school candidate (late entry) </w:t>
            </w:r>
            <w:r>
              <w:tab/>
            </w:r>
          </w:p>
        </w:tc>
        <w:tc>
          <w:tcPr>
            <w:tcW w:w="1985" w:type="dxa"/>
            <w:noWrap/>
          </w:tcPr>
          <w:p>
            <w:pPr>
              <w:pStyle w:val="yTableNAm"/>
            </w:pPr>
            <w:r>
              <w:t xml:space="preserve">$114.00 </w:t>
            </w:r>
            <w:r>
              <w:br/>
              <w:t>(for each examination)</w:t>
            </w:r>
          </w:p>
        </w:tc>
      </w:tr>
      <w:tr>
        <w:trPr>
          <w:cantSplit/>
        </w:trPr>
        <w:tc>
          <w:tcPr>
            <w:tcW w:w="708" w:type="dxa"/>
            <w:noWrap/>
          </w:tcPr>
          <w:p>
            <w:pPr>
              <w:pStyle w:val="yTableNAm"/>
            </w:pPr>
            <w:r>
              <w:t>8.</w:t>
            </w:r>
          </w:p>
        </w:tc>
        <w:tc>
          <w:tcPr>
            <w:tcW w:w="3969" w:type="dxa"/>
            <w:noWrap/>
          </w:tcPr>
          <w:p>
            <w:pPr>
              <w:pStyle w:val="yTableNAm"/>
              <w:tabs>
                <w:tab w:val="clear" w:pos="567"/>
                <w:tab w:val="right" w:leader="dot" w:pos="3753"/>
              </w:tabs>
            </w:pPr>
            <w:r>
              <w:t>Non</w:t>
            </w:r>
            <w:r>
              <w:noBreakHyphen/>
              <w:t xml:space="preserve">school candidate (taking examination without enrolment) </w:t>
            </w:r>
            <w:r>
              <w:tab/>
            </w:r>
          </w:p>
        </w:tc>
        <w:tc>
          <w:tcPr>
            <w:tcW w:w="1985" w:type="dxa"/>
            <w:noWrap/>
          </w:tcPr>
          <w:p>
            <w:pPr>
              <w:pStyle w:val="yTableNAm"/>
            </w:pPr>
            <w:r>
              <w:br/>
              <w:t xml:space="preserve">$173.00 </w:t>
            </w:r>
            <w:r>
              <w:br/>
              <w:t>(for each examination)</w:t>
            </w:r>
          </w:p>
        </w:tc>
      </w:tr>
      <w:tr>
        <w:trPr>
          <w:cantSplit/>
        </w:trPr>
        <w:tc>
          <w:tcPr>
            <w:tcW w:w="708" w:type="dxa"/>
            <w:noWrap/>
          </w:tcPr>
          <w:p>
            <w:pPr>
              <w:pStyle w:val="yTableNAm"/>
            </w:pPr>
            <w:r>
              <w:lastRenderedPageBreak/>
              <w:t>9.</w:t>
            </w:r>
          </w:p>
        </w:tc>
        <w:tc>
          <w:tcPr>
            <w:tcW w:w="3969" w:type="dxa"/>
            <w:noWrap/>
          </w:tcPr>
          <w:p>
            <w:pPr>
              <w:pStyle w:val="yTableNAm"/>
              <w:tabs>
                <w:tab w:val="clear" w:pos="567"/>
                <w:tab w:val="right" w:leader="dot" w:pos="3753"/>
              </w:tabs>
            </w:pPr>
            <w:r>
              <w:t xml:space="preserve">School candidate (taking examination without enrolment) </w:t>
            </w:r>
            <w:r>
              <w:tab/>
            </w:r>
          </w:p>
        </w:tc>
        <w:tc>
          <w:tcPr>
            <w:tcW w:w="1985" w:type="dxa"/>
            <w:noWrap/>
          </w:tcPr>
          <w:p>
            <w:pPr>
              <w:pStyle w:val="yTableNAm"/>
            </w:pPr>
            <w:r>
              <w:br/>
              <w:t xml:space="preserve">$173.00 </w:t>
            </w:r>
            <w:r>
              <w:br/>
              <w:t>(for each examination)</w:t>
            </w:r>
          </w:p>
        </w:tc>
      </w:tr>
      <w:tr>
        <w:trPr>
          <w:cantSplit/>
        </w:trPr>
        <w:tc>
          <w:tcPr>
            <w:tcW w:w="708" w:type="dxa"/>
            <w:noWrap/>
          </w:tcPr>
          <w:p>
            <w:pPr>
              <w:pStyle w:val="yTableNAm"/>
            </w:pPr>
            <w:r>
              <w:t>10.</w:t>
            </w:r>
          </w:p>
        </w:tc>
        <w:tc>
          <w:tcPr>
            <w:tcW w:w="3969" w:type="dxa"/>
            <w:noWrap/>
          </w:tcPr>
          <w:p>
            <w:pPr>
              <w:pStyle w:val="yTableNAm"/>
              <w:tabs>
                <w:tab w:val="clear" w:pos="567"/>
                <w:tab w:val="right" w:leader="dot" w:pos="3753"/>
              </w:tabs>
            </w:pPr>
            <w:r>
              <w:t xml:space="preserve">School candidate taking examination in Australia but outside the State </w:t>
            </w:r>
            <w:r>
              <w:tab/>
            </w:r>
          </w:p>
        </w:tc>
        <w:tc>
          <w:tcPr>
            <w:tcW w:w="1985" w:type="dxa"/>
            <w:noWrap/>
          </w:tcPr>
          <w:p>
            <w:pPr>
              <w:pStyle w:val="yTableNAm"/>
            </w:pPr>
            <w:r>
              <w:br/>
              <w:t xml:space="preserve">$83.00 </w:t>
            </w:r>
            <w:r>
              <w:br/>
              <w:t>(for each examination up to a maximum of $400.00)</w:t>
            </w:r>
          </w:p>
        </w:tc>
      </w:tr>
      <w:tr>
        <w:trPr>
          <w:cantSplit/>
        </w:trPr>
        <w:tc>
          <w:tcPr>
            <w:tcW w:w="708" w:type="dxa"/>
            <w:noWrap/>
          </w:tcPr>
          <w:p>
            <w:pPr>
              <w:pStyle w:val="yTableNAm"/>
            </w:pPr>
            <w:r>
              <w:t>11.</w:t>
            </w:r>
          </w:p>
        </w:tc>
        <w:tc>
          <w:tcPr>
            <w:tcW w:w="3969" w:type="dxa"/>
            <w:noWrap/>
          </w:tcPr>
          <w:p>
            <w:pPr>
              <w:pStyle w:val="yTableNAm"/>
              <w:tabs>
                <w:tab w:val="clear" w:pos="567"/>
                <w:tab w:val="right" w:leader="dot" w:pos="3753"/>
              </w:tabs>
            </w:pPr>
            <w:r>
              <w:t xml:space="preserve">School candidate taking examination outside Australia </w:t>
            </w:r>
            <w:r>
              <w:tab/>
            </w:r>
          </w:p>
        </w:tc>
        <w:tc>
          <w:tcPr>
            <w:tcW w:w="1985" w:type="dxa"/>
            <w:noWrap/>
          </w:tcPr>
          <w:p>
            <w:pPr>
              <w:pStyle w:val="yTableNAm"/>
            </w:pPr>
            <w:r>
              <w:br/>
              <w:t xml:space="preserve">$329.00 </w:t>
            </w:r>
            <w:r>
              <w:br/>
              <w:t>(for each examination)</w:t>
            </w:r>
          </w:p>
        </w:tc>
      </w:tr>
      <w:tr>
        <w:trPr>
          <w:cantSplit/>
        </w:trPr>
        <w:tc>
          <w:tcPr>
            <w:tcW w:w="708" w:type="dxa"/>
            <w:noWrap/>
          </w:tcPr>
          <w:p>
            <w:pPr>
              <w:pStyle w:val="yTableNAm"/>
            </w:pPr>
            <w:r>
              <w:t>12.</w:t>
            </w:r>
          </w:p>
        </w:tc>
        <w:tc>
          <w:tcPr>
            <w:tcW w:w="3969" w:type="dxa"/>
            <w:noWrap/>
          </w:tcPr>
          <w:p>
            <w:pPr>
              <w:pStyle w:val="yTableNAm"/>
              <w:tabs>
                <w:tab w:val="clear" w:pos="567"/>
                <w:tab w:val="right" w:leader="dot" w:pos="3753"/>
              </w:tabs>
            </w:pPr>
            <w:r>
              <w:t xml:space="preserve">Check of results </w:t>
            </w:r>
            <w:r>
              <w:tab/>
            </w:r>
          </w:p>
        </w:tc>
        <w:tc>
          <w:tcPr>
            <w:tcW w:w="1985" w:type="dxa"/>
            <w:noWrap/>
          </w:tcPr>
          <w:p>
            <w:pPr>
              <w:pStyle w:val="yTableNAm"/>
            </w:pPr>
            <w:r>
              <w:t xml:space="preserve">$49.00 </w:t>
            </w:r>
            <w:r>
              <w:br/>
              <w:t>(for each examination)</w:t>
            </w:r>
          </w:p>
        </w:tc>
      </w:tr>
      <w:tr>
        <w:trPr>
          <w:cantSplit/>
        </w:trPr>
        <w:tc>
          <w:tcPr>
            <w:tcW w:w="708" w:type="dxa"/>
            <w:noWrap/>
          </w:tcPr>
          <w:p>
            <w:pPr>
              <w:pStyle w:val="yTableNAm"/>
            </w:pPr>
            <w:r>
              <w:t>13.</w:t>
            </w:r>
          </w:p>
        </w:tc>
        <w:tc>
          <w:tcPr>
            <w:tcW w:w="3969" w:type="dxa"/>
            <w:noWrap/>
          </w:tcPr>
          <w:p>
            <w:pPr>
              <w:pStyle w:val="yTableNAm"/>
              <w:tabs>
                <w:tab w:val="clear" w:pos="567"/>
                <w:tab w:val="right" w:leader="dot" w:pos="3753"/>
              </w:tabs>
            </w:pPr>
            <w:r>
              <w:t xml:space="preserve">Statement of raw marks </w:t>
            </w:r>
            <w:r>
              <w:tab/>
            </w:r>
          </w:p>
        </w:tc>
        <w:tc>
          <w:tcPr>
            <w:tcW w:w="1985" w:type="dxa"/>
            <w:noWrap/>
          </w:tcPr>
          <w:p>
            <w:pPr>
              <w:pStyle w:val="yTableNAm"/>
            </w:pPr>
            <w:r>
              <w:t xml:space="preserve">$17.00 </w:t>
            </w:r>
            <w:r>
              <w:br/>
              <w:t>(for each examination)</w:t>
            </w:r>
          </w:p>
        </w:tc>
      </w:tr>
      <w:tr>
        <w:trPr>
          <w:cantSplit/>
        </w:trPr>
        <w:tc>
          <w:tcPr>
            <w:tcW w:w="708" w:type="dxa"/>
            <w:tcBorders>
              <w:bottom w:val="single" w:sz="4" w:space="0" w:color="auto"/>
            </w:tcBorders>
            <w:noWrap/>
          </w:tcPr>
          <w:p>
            <w:pPr>
              <w:pStyle w:val="yTableNAm"/>
            </w:pPr>
            <w:r>
              <w:t>14.</w:t>
            </w:r>
          </w:p>
        </w:tc>
        <w:tc>
          <w:tcPr>
            <w:tcW w:w="3969" w:type="dxa"/>
            <w:tcBorders>
              <w:bottom w:val="single" w:sz="4" w:space="0" w:color="auto"/>
            </w:tcBorders>
            <w:noWrap/>
          </w:tcPr>
          <w:p>
            <w:pPr>
              <w:pStyle w:val="yTableNAm"/>
              <w:tabs>
                <w:tab w:val="clear" w:pos="567"/>
                <w:tab w:val="right" w:leader="dot" w:pos="3753"/>
              </w:tabs>
            </w:pPr>
            <w:r>
              <w:t xml:space="preserve">Copy of examination script (obtainable only during the period of 21 days after publication of the examination results) </w:t>
            </w:r>
            <w:r>
              <w:tab/>
            </w:r>
          </w:p>
        </w:tc>
        <w:tc>
          <w:tcPr>
            <w:tcW w:w="1985" w:type="dxa"/>
            <w:tcBorders>
              <w:bottom w:val="single" w:sz="4" w:space="0" w:color="auto"/>
            </w:tcBorders>
            <w:noWrap/>
          </w:tcPr>
          <w:p>
            <w:pPr>
              <w:pStyle w:val="yTableNAm"/>
            </w:pPr>
            <w:r>
              <w:br/>
            </w:r>
            <w:r>
              <w:br/>
              <w:t xml:space="preserve">$33.00 </w:t>
            </w:r>
            <w:r>
              <w:br/>
              <w:t>(for each script)</w:t>
            </w:r>
          </w:p>
        </w:tc>
      </w:tr>
    </w:tbl>
    <w:p>
      <w:pPr>
        <w:pStyle w:val="yFootnotesection"/>
      </w:pPr>
      <w:r>
        <w:tab/>
        <w:t>[Schedule 1 inserted: SL 2022/61 r. 6.]</w:t>
      </w:r>
    </w:p>
    <w:bookmarkEnd w:id="65"/>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7" w:name="_Toc106885451"/>
      <w:bookmarkStart w:id="68" w:name="_Toc106885751"/>
      <w:bookmarkStart w:id="69" w:name="_Toc106887911"/>
      <w:bookmarkStart w:id="70" w:name="_Toc106888248"/>
      <w:r>
        <w:lastRenderedPageBreak/>
        <w:t>Notes</w:t>
      </w:r>
      <w:bookmarkEnd w:id="67"/>
      <w:bookmarkEnd w:id="68"/>
      <w:bookmarkEnd w:id="69"/>
      <w:bookmarkEnd w:id="70"/>
    </w:p>
    <w:p>
      <w:pPr>
        <w:pStyle w:val="nStatement"/>
      </w:pPr>
      <w:r>
        <w:t xml:space="preserve">This is a compilation of the </w:t>
      </w:r>
      <w:r>
        <w:rPr>
          <w:i/>
          <w:noProof/>
        </w:rPr>
        <w:t>School Curriculum and Standards Authority Regulations 2005</w:t>
      </w:r>
      <w:r>
        <w:t xml:space="preserve"> and includes amendments made by other written laws. For provisions that have come into operation, and for information about any reprints, see the compilation table.</w:t>
      </w:r>
    </w:p>
    <w:p>
      <w:pPr>
        <w:pStyle w:val="nHeading3"/>
      </w:pPr>
      <w:bookmarkStart w:id="71" w:name="_Toc106888249"/>
      <w:r>
        <w:t>Compilation table</w:t>
      </w:r>
      <w:bookmarkEnd w:id="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Curriculum Council Regulations 2005</w:t>
            </w:r>
            <w:r>
              <w:t> </w:t>
            </w:r>
            <w:r>
              <w:rPr>
                <w:vertAlign w:val="superscript"/>
              </w:rPr>
              <w:t>2</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top w:val="nil"/>
              <w:bottom w:val="nil"/>
            </w:tcBorders>
            <w:shd w:val="clear" w:color="auto" w:fill="auto"/>
          </w:tcPr>
          <w:p>
            <w:pPr>
              <w:pStyle w:val="nTable"/>
              <w:keepLines/>
              <w:spacing w:after="40"/>
              <w:rPr>
                <w:i/>
              </w:rPr>
            </w:pPr>
            <w:r>
              <w:rPr>
                <w:i/>
              </w:rPr>
              <w:t>School Curriculum and Standards Authority Amendment Regulations 2017</w:t>
            </w:r>
          </w:p>
        </w:tc>
        <w:tc>
          <w:tcPr>
            <w:tcW w:w="1276" w:type="dxa"/>
            <w:tcBorders>
              <w:top w:val="nil"/>
              <w:bottom w:val="nil"/>
            </w:tcBorders>
            <w:shd w:val="clear" w:color="auto" w:fill="auto"/>
          </w:tcPr>
          <w:p>
            <w:pPr>
              <w:pStyle w:val="nTable"/>
              <w:keepLines/>
              <w:spacing w:after="40"/>
            </w:pPr>
            <w:r>
              <w:t>24 Nov 2017 p. 5672</w:t>
            </w:r>
            <w:r>
              <w:noBreakHyphen/>
              <w:t>3</w:t>
            </w:r>
          </w:p>
        </w:tc>
        <w:tc>
          <w:tcPr>
            <w:tcW w:w="2693" w:type="dxa"/>
            <w:tcBorders>
              <w:top w:val="nil"/>
              <w:bottom w:val="nil"/>
            </w:tcBorders>
            <w:shd w:val="clear" w:color="auto" w:fill="auto"/>
          </w:tcPr>
          <w:p>
            <w:pPr>
              <w:pStyle w:val="nTable"/>
              <w:keepLines/>
              <w:spacing w:after="40"/>
            </w:pPr>
            <w:r>
              <w:t>r. 1 and 2: 24 Nov 2017 (see r. 2(a));</w:t>
            </w:r>
            <w:r>
              <w:br/>
              <w:t>Regulations other than r. 1 and 2: 25 Nov 2017 (see r. 2(b))</w:t>
            </w:r>
          </w:p>
        </w:tc>
      </w:tr>
      <w:tr>
        <w:tc>
          <w:tcPr>
            <w:tcW w:w="3118" w:type="dxa"/>
            <w:tcBorders>
              <w:bottom w:val="nil"/>
            </w:tcBorders>
            <w:shd w:val="clear" w:color="auto" w:fill="auto"/>
          </w:tcPr>
          <w:p>
            <w:pPr>
              <w:pStyle w:val="nTable"/>
              <w:keepNext/>
              <w:spacing w:after="40"/>
              <w:rPr>
                <w:i/>
              </w:rPr>
            </w:pPr>
            <w:r>
              <w:rPr>
                <w:i/>
              </w:rPr>
              <w:lastRenderedPageBreak/>
              <w:t>School Curriculum and Standards Authority Amendment Regulations 2020</w:t>
            </w:r>
          </w:p>
        </w:tc>
        <w:tc>
          <w:tcPr>
            <w:tcW w:w="1276" w:type="dxa"/>
            <w:tcBorders>
              <w:bottom w:val="nil"/>
            </w:tcBorders>
            <w:shd w:val="clear" w:color="auto" w:fill="auto"/>
          </w:tcPr>
          <w:p>
            <w:pPr>
              <w:pStyle w:val="nTable"/>
              <w:keepNext/>
              <w:spacing w:after="40"/>
            </w:pPr>
            <w:r>
              <w:t>SL 2020/233 4 Dec 2020</w:t>
            </w:r>
          </w:p>
        </w:tc>
        <w:tc>
          <w:tcPr>
            <w:tcW w:w="2693" w:type="dxa"/>
            <w:tcBorders>
              <w:bottom w:val="nil"/>
            </w:tcBorders>
            <w:shd w:val="clear" w:color="auto" w:fill="auto"/>
          </w:tcPr>
          <w:p>
            <w:pPr>
              <w:pStyle w:val="nTable"/>
              <w:keepNext/>
              <w:spacing w:after="40"/>
            </w:pPr>
            <w:r>
              <w:t>r. 1 and 2: 4 Dec 2020 (see r. 2(a));</w:t>
            </w:r>
            <w:r>
              <w:br/>
              <w:t>Regulations other than r. 1 and 2: 5 Dec 2020 (see r. 2(b) and SL 2020/232 cl.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Education and Training Regulations Amendment (Fees and Charges) Regulations 2022</w:t>
            </w:r>
            <w:r>
              <w:t xml:space="preserve"> Pt. 3</w:t>
            </w:r>
          </w:p>
        </w:tc>
        <w:tc>
          <w:tcPr>
            <w:tcW w:w="1276" w:type="dxa"/>
            <w:tcBorders>
              <w:bottom w:val="single" w:sz="4" w:space="0" w:color="auto"/>
            </w:tcBorders>
            <w:shd w:val="clear" w:color="auto" w:fill="auto"/>
          </w:tcPr>
          <w:p>
            <w:pPr>
              <w:pStyle w:val="nTable"/>
              <w:keepNext/>
              <w:spacing w:after="40"/>
            </w:pPr>
            <w:r>
              <w:t>SL 2022/61 3 Jun 2022</w:t>
            </w:r>
          </w:p>
        </w:tc>
        <w:tc>
          <w:tcPr>
            <w:tcW w:w="2693" w:type="dxa"/>
            <w:tcBorders>
              <w:bottom w:val="single" w:sz="4" w:space="0" w:color="auto"/>
            </w:tcBorders>
            <w:shd w:val="clear" w:color="auto" w:fill="auto"/>
          </w:tcPr>
          <w:p>
            <w:pPr>
              <w:pStyle w:val="nTable"/>
              <w:keepNext/>
              <w:spacing w:after="40"/>
            </w:pPr>
            <w:r>
              <w:t>1 Jul 2022 (see r. 2(b))</w:t>
            </w:r>
          </w:p>
        </w:tc>
      </w:tr>
    </w:tbl>
    <w:p>
      <w:pPr>
        <w:pStyle w:val="nHeading3"/>
      </w:pPr>
      <w:bookmarkStart w:id="72" w:name="_Toc106888250"/>
      <w:r>
        <w:t>Other notes</w:t>
      </w:r>
      <w:bookmarkEnd w:id="72"/>
    </w:p>
    <w:p>
      <w:pPr>
        <w:pStyle w:val="nNote"/>
        <w:spacing w:before="160"/>
      </w:pPr>
      <w:r>
        <w:rPr>
          <w:vertAlign w:val="superscript"/>
        </w:rPr>
        <w:t>1</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Note"/>
        <w:spacing w:before="160"/>
      </w:pPr>
      <w:r>
        <w:rPr>
          <w:vertAlign w:val="superscript"/>
        </w:rPr>
        <w:t>2</w:t>
      </w:r>
      <w:r>
        <w:tab/>
        <w:t xml:space="preserve">Now known as the </w:t>
      </w:r>
      <w:r>
        <w:rPr>
          <w:i/>
        </w:rPr>
        <w:t>School Curriculum and Standards Authority Regulations 2005</w:t>
      </w:r>
      <w:r>
        <w:t>; citation changed (see note under r. 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74" w:name="_Toc106885455"/>
      <w:bookmarkStart w:id="75" w:name="_Toc106885754"/>
      <w:bookmarkStart w:id="76" w:name="_Toc106887914"/>
      <w:bookmarkStart w:id="77" w:name="_Toc106888251"/>
      <w:r>
        <w:rPr>
          <w:sz w:val="28"/>
        </w:rPr>
        <w:lastRenderedPageBreak/>
        <w:t>Defined terms</w:t>
      </w:r>
      <w:bookmarkEnd w:id="74"/>
      <w:bookmarkEnd w:id="75"/>
      <w:bookmarkEnd w:id="76"/>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appeals committee</w:t>
      </w:r>
      <w:r>
        <w:tab/>
        <w:t>27(1)</w:t>
      </w:r>
    </w:p>
    <w:p>
      <w:pPr>
        <w:pStyle w:val="DefinedTerms"/>
      </w:pPr>
      <w:r>
        <w:t>applicant</w:t>
      </w:r>
      <w:r>
        <w:tab/>
        <w:t>30</w:t>
      </w:r>
    </w:p>
    <w:p>
      <w:pPr>
        <w:pStyle w:val="DefinedTerms"/>
      </w:pPr>
      <w:r>
        <w:t>Australian resident</w:t>
      </w:r>
      <w:r>
        <w:tab/>
        <w:t>3</w:t>
      </w:r>
    </w:p>
    <w:p>
      <w:pPr>
        <w:pStyle w:val="DefinedTerms"/>
      </w:pPr>
      <w:r>
        <w:t>candidate</w:t>
      </w:r>
      <w:r>
        <w:tab/>
        <w:t>13</w:t>
      </w:r>
    </w:p>
    <w:p>
      <w:pPr>
        <w:pStyle w:val="DefinedTerms"/>
      </w:pPr>
      <w:r>
        <w:t>committee</w:t>
      </w:r>
      <w:r>
        <w:tab/>
        <w:t>32(1)</w:t>
      </w:r>
    </w:p>
    <w:p>
      <w:pPr>
        <w:pStyle w:val="DefinedTerms"/>
      </w:pPr>
      <w:r>
        <w:t>examination</w:t>
      </w:r>
      <w:r>
        <w:tab/>
        <w:t>13</w:t>
      </w:r>
    </w:p>
    <w:p>
      <w:pPr>
        <w:pStyle w:val="DefinedTerms"/>
      </w:pPr>
      <w:r>
        <w:t>examination centre</w:t>
      </w:r>
      <w:r>
        <w:tab/>
        <w:t>13</w:t>
      </w:r>
    </w:p>
    <w:p>
      <w:pPr>
        <w:pStyle w:val="DefinedTerms"/>
      </w:pPr>
      <w:r>
        <w:t>first year of the relevant education period</w:t>
      </w:r>
      <w:r>
        <w:tab/>
        <w:t>3</w:t>
      </w:r>
    </w:p>
    <w:p>
      <w:pPr>
        <w:pStyle w:val="DefinedTerms"/>
      </w:pPr>
      <w:r>
        <w:t>human research ethics committee</w:t>
      </w:r>
      <w:r>
        <w:tab/>
        <w:t>30</w:t>
      </w:r>
    </w:p>
    <w:p>
      <w:pPr>
        <w:pStyle w:val="DefinedTerms"/>
      </w:pPr>
      <w:r>
        <w:t>misconduct</w:t>
      </w:r>
      <w:r>
        <w:tab/>
        <w:t>26(1)</w:t>
      </w:r>
    </w:p>
    <w:p>
      <w:pPr>
        <w:pStyle w:val="DefinedTerms"/>
      </w:pPr>
      <w:r>
        <w:t>National Ethical Statement</w:t>
      </w:r>
      <w:r>
        <w:tab/>
        <w:t>30</w:t>
      </w:r>
    </w:p>
    <w:p>
      <w:pPr>
        <w:pStyle w:val="DefinedTerms"/>
      </w:pPr>
      <w:r>
        <w:t>non</w:t>
      </w:r>
      <w:r>
        <w:noBreakHyphen/>
        <w:t>government request</w:t>
      </w:r>
      <w:r>
        <w:tab/>
        <w:t>32(1)</w:t>
      </w:r>
    </w:p>
    <w:p>
      <w:pPr>
        <w:pStyle w:val="DefinedTerms"/>
      </w:pPr>
      <w:r>
        <w:t>practical examination</w:t>
      </w:r>
      <w:r>
        <w:tab/>
        <w:t>24(1)</w:t>
      </w:r>
    </w:p>
    <w:p>
      <w:pPr>
        <w:pStyle w:val="DefinedTerms"/>
      </w:pPr>
      <w:r>
        <w:t>private candidate</w:t>
      </w:r>
      <w:r>
        <w:tab/>
        <w:t>13</w:t>
      </w:r>
    </w:p>
    <w:p>
      <w:pPr>
        <w:pStyle w:val="DefinedTerms"/>
      </w:pPr>
      <w:r>
        <w:t>publications</w:t>
      </w:r>
      <w:r>
        <w:tab/>
        <w:t>12(1)</w:t>
      </w:r>
    </w:p>
    <w:p>
      <w:pPr>
        <w:pStyle w:val="DefinedTerms"/>
      </w:pPr>
      <w:r>
        <w:t>relevant committee</w:t>
      </w:r>
      <w:r>
        <w:tab/>
        <w:t>26(1)</w:t>
      </w:r>
    </w:p>
    <w:p>
      <w:pPr>
        <w:pStyle w:val="DefinedTerms"/>
      </w:pPr>
      <w:r>
        <w:t>request</w:t>
      </w:r>
      <w:r>
        <w:tab/>
        <w:t>30</w:t>
      </w:r>
    </w:p>
    <w:p>
      <w:pPr>
        <w:pStyle w:val="DefinedTerms"/>
      </w:pPr>
      <w:r>
        <w:t>SE Act</w:t>
      </w:r>
      <w:r>
        <w:tab/>
        <w:t>9(2)</w:t>
      </w:r>
    </w:p>
    <w:p>
      <w:pPr>
        <w:pStyle w:val="DefinedTerms"/>
      </w:pPr>
      <w:r>
        <w:t>section</w:t>
      </w:r>
      <w:r>
        <w:tab/>
        <w:t>3</w:t>
      </w:r>
    </w:p>
    <w:p>
      <w:pPr>
        <w:pStyle w:val="DefinedTerms"/>
      </w:pPr>
      <w:r>
        <w:t>stage</w:t>
      </w:r>
      <w:r>
        <w:tab/>
        <w:t>13</w:t>
      </w:r>
    </w:p>
    <w:p>
      <w:pPr>
        <w:pStyle w:val="DefinedTerms"/>
      </w:pPr>
      <w:r>
        <w:t>student, apprentice or trainee</w:t>
      </w:r>
      <w:r>
        <w:tab/>
        <w:t>6(1)</w:t>
      </w:r>
    </w:p>
    <w:p>
      <w:pPr>
        <w:pStyle w:val="DefinedTerms"/>
      </w:pPr>
      <w:r>
        <w:t>supervisor</w:t>
      </w:r>
      <w:r>
        <w:tab/>
        <w:t>13, 21(1)</w:t>
      </w:r>
    </w:p>
    <w:p>
      <w:pPr>
        <w:pStyle w:val="DefinedTerms"/>
      </w:pPr>
      <w:r>
        <w:t>unique reference number</w:t>
      </w:r>
      <w:r>
        <w:tab/>
        <w:t>13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34914"/>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 w:name="WAFER_2022053115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06_GUID" w:val="abca4cfa-7ddc-42a9-8506-039672be1f88"/>
    <w:docVar w:name="WAFER_202206231349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14_GUID" w:val="77d24922-999d-4e84-a269-441c3ca0d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C07CC7E-4271-4EF0-9CB8-238629A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1CD5-38E0-4563-A3DA-E17728D3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5859</Words>
  <Characters>29357</Characters>
  <Application>Microsoft Office Word</Application>
  <DocSecurity>0</DocSecurity>
  <Lines>947</Lines>
  <Paragraphs>567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2005 - 02-h0-00</dc:title>
  <dc:subject/>
  <dc:creator/>
  <cp:keywords/>
  <dc:description/>
  <cp:lastModifiedBy>Master Repository Process</cp:lastModifiedBy>
  <cp:revision>4</cp:revision>
  <cp:lastPrinted>2013-03-13T06:31:00Z</cp:lastPrinted>
  <dcterms:created xsi:type="dcterms:W3CDTF">2022-06-29T07:51:00Z</dcterms:created>
  <dcterms:modified xsi:type="dcterms:W3CDTF">2022-06-29T07:51:00Z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AsAtDate">
    <vt:lpwstr>01 Jul 2022</vt:lpwstr>
  </property>
  <property fmtid="{D5CDD505-2E9C-101B-9397-08002B2CF9AE}" pid="8" name="Suffix">
    <vt:lpwstr>02-h0-00</vt:lpwstr>
  </property>
  <property fmtid="{D5CDD505-2E9C-101B-9397-08002B2CF9AE}" pid="9" name="CommencementDate">
    <vt:lpwstr>20220701</vt:lpwstr>
  </property>
</Properties>
</file>