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b/>
          <w:sz w:val="28"/>
        </w:rPr>
        <w:fldChar w:fldCharType="separate"/>
      </w:r>
      <w:r>
        <w:t>1</w:t>
      </w:r>
      <w:r>
        <w:rPr>
          <w:snapToGrid w:val="0"/>
        </w:rPr>
        <w:t>.</w:t>
      </w:r>
      <w:r>
        <w:rPr>
          <w:snapToGrid w:val="0"/>
        </w:rPr>
        <w:tab/>
        <w:t>Citation</w:t>
      </w:r>
      <w:r>
        <w:tab/>
      </w:r>
      <w:r>
        <w:fldChar w:fldCharType="begin"/>
      </w:r>
      <w:r>
        <w:instrText xml:space="preserve"> PAGEREF _Toc130801701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_Toc130801702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_Toc130801703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_Toc130801704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_Toc130801705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_Toc130801706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_Toc130801707 \h </w:instrText>
      </w:r>
      <w:r>
        <w:fldChar w:fldCharType="separate"/>
      </w:r>
      <w:r>
        <w:t>4</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_Toc130801708 \h </w:instrText>
      </w:r>
      <w:r>
        <w:fldChar w:fldCharType="separate"/>
      </w:r>
      <w:r>
        <w:t>5</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_Toc130801709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_Toc130801710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_Toc130801711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_Toc130801712 \h </w:instrText>
      </w:r>
      <w:r>
        <w:fldChar w:fldCharType="separate"/>
      </w:r>
      <w:r>
        <w:t>8</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_Toc130801713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_Toc130801720 \h </w:instrText>
      </w:r>
      <w:r>
        <w:fldChar w:fldCharType="separate"/>
      </w:r>
      <w:r>
        <w:t>48</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_Toc130801721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3080170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rPr>
        <w:t>.</w:t>
      </w:r>
    </w:p>
    <w:p>
      <w:pPr>
        <w:pStyle w:val="Heading5"/>
        <w:ind w:left="0" w:firstLine="0"/>
        <w:rPr>
          <w:snapToGrid w:val="0"/>
        </w:rPr>
      </w:pPr>
      <w:bookmarkStart w:id="4" w:name="_Toc13080170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30801703"/>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lastRenderedPageBreak/>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xml:space="preserve">, for a flight, means the Revenue Passenger Kilometres (the number of paying passengers x the number of </w:t>
      </w:r>
      <w:r>
        <w:lastRenderedPageBreak/>
        <w:t>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30801704"/>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Ednotesection"/>
        <w:spacing w:before="240"/>
        <w:rPr>
          <w:b/>
        </w:rPr>
      </w:pPr>
      <w:r>
        <w:t>[</w:t>
      </w:r>
      <w:r>
        <w:rPr>
          <w:b/>
        </w:rPr>
        <w:t>5A.</w:t>
      </w:r>
      <w:r>
        <w:rPr>
          <w:b/>
        </w:rPr>
        <w:tab/>
      </w:r>
      <w:r>
        <w:t>Deleted: Gazette 26 Jun 2019 p. 2239.]</w:t>
      </w:r>
    </w:p>
    <w:p>
      <w:pPr>
        <w:pStyle w:val="Heading5"/>
        <w:spacing w:before="240"/>
        <w:rPr>
          <w:snapToGrid w:val="0"/>
        </w:rPr>
      </w:pPr>
      <w:bookmarkStart w:id="7" w:name="_Toc130801705"/>
      <w:r>
        <w:rPr>
          <w:rStyle w:val="CharSectno"/>
        </w:rPr>
        <w:t>6</w:t>
      </w:r>
      <w:r>
        <w:rPr>
          <w:snapToGrid w:val="0"/>
        </w:rPr>
        <w:t>.</w:t>
      </w:r>
      <w:r>
        <w:rPr>
          <w:snapToGrid w:val="0"/>
        </w:rPr>
        <w:tab/>
        <w:t>Applications for permits and temporary licences</w:t>
      </w:r>
      <w:bookmarkEnd w:id="7"/>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8" w:name="_Toc130801706"/>
      <w:r>
        <w:rPr>
          <w:rStyle w:val="CharSectno"/>
        </w:rPr>
        <w:lastRenderedPageBreak/>
        <w:t>7</w:t>
      </w:r>
      <w:r>
        <w:rPr>
          <w:snapToGrid w:val="0"/>
        </w:rPr>
        <w:t>.</w:t>
      </w:r>
      <w:r>
        <w:rPr>
          <w:snapToGrid w:val="0"/>
        </w:rPr>
        <w:tab/>
        <w:t>Fees and returns</w:t>
      </w:r>
      <w:bookmarkEnd w:id="8"/>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 xml:space="preserve">where the fee is a fee determined under </w:t>
      </w:r>
      <w:r>
        <w:t>section 21(1)(c)(i)</w:t>
      </w:r>
      <w:r>
        <w:rPr>
          <w:snapToGrid w:val="0"/>
        </w:rPr>
        <w:t xml:space="preserve"> of the Act within 7 days after the last day of each month of the term of the licence;</w:t>
      </w:r>
    </w:p>
    <w:p>
      <w:pPr>
        <w:pStyle w:val="Indenta"/>
        <w:rPr>
          <w:snapToGrid w:val="0"/>
        </w:rPr>
      </w:pPr>
      <w:r>
        <w:rPr>
          <w:snapToGrid w:val="0"/>
        </w:rPr>
        <w:tab/>
        <w:t>(b)</w:t>
      </w:r>
      <w:r>
        <w:rPr>
          <w:snapToGrid w:val="0"/>
        </w:rPr>
        <w:tab/>
        <w:t xml:space="preserve">where the fee is a fee determined under </w:t>
      </w:r>
      <w:r>
        <w:t>section 21(1)(b) or (c)(ii) of the Act</w:t>
      </w:r>
      <w:r>
        <w:rPr>
          <w:snapToGrid w:val="0"/>
        </w:rPr>
        <w:t xml:space="preserve"> on the issue of the licence.</w:t>
      </w:r>
    </w:p>
    <w:p>
      <w:pPr>
        <w:pStyle w:val="Subsection"/>
        <w:rPr>
          <w:snapToGrid w:val="0"/>
        </w:rPr>
      </w:pPr>
      <w:r>
        <w:rPr>
          <w:snapToGrid w:val="0"/>
        </w:rPr>
        <w:tab/>
        <w:t>(2)</w:t>
      </w:r>
      <w:r>
        <w:rPr>
          <w:snapToGrid w:val="0"/>
        </w:rPr>
        <w:tab/>
        <w:t xml:space="preserve">Where the fee payable in respect of a licence is a fee determined under </w:t>
      </w:r>
      <w:r>
        <w:t>section 21(1)(c)(i) of the Act</w:t>
      </w:r>
      <w:r>
        <w:rPr>
          <w:snapToGrid w:val="0"/>
        </w:rPr>
        <w:t xml:space="preserve"> the licensee shall forward a return in the form of </w:t>
      </w:r>
      <w:r>
        <w:t>Form 9</w:t>
      </w:r>
      <w:r>
        <w:rPr>
          <w:snapToGrid w:val="0"/>
        </w:rPr>
        <w:t xml:space="preserve">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26 Jun 2019 p. 2239.] </w:t>
      </w:r>
    </w:p>
    <w:p>
      <w:pPr>
        <w:pStyle w:val="Ednotesection"/>
        <w:spacing w:before="240"/>
        <w:rPr>
          <w:b/>
        </w:rPr>
      </w:pPr>
      <w:r>
        <w:t>[</w:t>
      </w:r>
      <w:r>
        <w:rPr>
          <w:b/>
        </w:rPr>
        <w:t>8.</w:t>
      </w:r>
      <w:r>
        <w:rPr>
          <w:b/>
        </w:rPr>
        <w:tab/>
      </w:r>
      <w:r>
        <w:t>Deleted: Gazette 26 Jun 2019 p. 2240.]</w:t>
      </w:r>
    </w:p>
    <w:p>
      <w:pPr>
        <w:pStyle w:val="Heading5"/>
        <w:spacing w:before="180"/>
        <w:rPr>
          <w:snapToGrid w:val="0"/>
        </w:rPr>
      </w:pPr>
      <w:bookmarkStart w:id="9" w:name="_Toc130801707"/>
      <w:r>
        <w:rPr>
          <w:rStyle w:val="CharSectno"/>
        </w:rPr>
        <w:t>8A</w:t>
      </w:r>
      <w:r>
        <w:rPr>
          <w:snapToGrid w:val="0"/>
        </w:rPr>
        <w:t>.</w:t>
      </w:r>
      <w:r>
        <w:rPr>
          <w:snapToGrid w:val="0"/>
        </w:rPr>
        <w:tab/>
        <w:t>Percentages and amounts prescribed for s. 21(1)</w:t>
      </w:r>
      <w:bookmarkEnd w:id="9"/>
      <w:r>
        <w:rPr>
          <w:snapToGrid w:val="0"/>
        </w:rPr>
        <w:t xml:space="preserve"> </w:t>
      </w:r>
    </w:p>
    <w:p>
      <w:pPr>
        <w:pStyle w:val="Subsection"/>
        <w:rPr>
          <w:snapToGrid w:val="0"/>
        </w:rPr>
      </w:pPr>
      <w:r>
        <w:rPr>
          <w:snapToGrid w:val="0"/>
        </w:rPr>
        <w:tab/>
      </w:r>
      <w:r>
        <w:rPr>
          <w:snapToGrid w:val="0"/>
        </w:rPr>
        <w:tab/>
        <w:t>For the purposes of section 21(1) of the Act — </w:t>
      </w:r>
    </w:p>
    <w:p>
      <w:pPr>
        <w:pStyle w:val="Ednotepara"/>
        <w:spacing w:before="80"/>
        <w:ind w:left="1610" w:hanging="1610"/>
      </w:pPr>
      <w:r>
        <w:tab/>
        <w:t>[(a)</w:t>
      </w:r>
      <w:r>
        <w:tab/>
        <w:t>deleted]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$2.85.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w:t>
      </w:r>
      <w:r>
        <w:lastRenderedPageBreak/>
        <w:t xml:space="preserve">12 Jun 2015 p. 2034; 27 May 2016 p. 1556; 14 Jun 2016 p. 2001; 23 Jun 2017 p. 3272; 25 May 2018 p. 1647; 31 May 2019 p. 1727; 26  Jun 2019 p. 2240; SL 2020/60 r. 12; SL 2021/92 r. 25; SL 2022/67 r. 26.] </w:t>
      </w:r>
    </w:p>
    <w:p>
      <w:pPr>
        <w:pStyle w:val="Ednotesection"/>
        <w:spacing w:before="240"/>
        <w:rPr>
          <w:b/>
        </w:rPr>
      </w:pPr>
      <w:r>
        <w:t>[</w:t>
      </w:r>
      <w:r>
        <w:rPr>
          <w:b/>
        </w:rPr>
        <w:t>8AB, 8B.</w:t>
      </w:r>
      <w:r>
        <w:rPr>
          <w:b/>
        </w:rPr>
        <w:tab/>
      </w:r>
      <w:r>
        <w:t>Deleted: Gazette 26 Jun 2019 p. 2240.]</w:t>
      </w:r>
    </w:p>
    <w:p>
      <w:pPr>
        <w:pStyle w:val="Heading5"/>
        <w:spacing w:before="240"/>
      </w:pPr>
      <w:bookmarkStart w:id="10" w:name="_Toc130801708"/>
      <w:r>
        <w:rPr>
          <w:rStyle w:val="CharSectno"/>
        </w:rPr>
        <w:t>8BA</w:t>
      </w:r>
      <w:r>
        <w:t>.</w:t>
      </w:r>
      <w:r>
        <w:tab/>
        <w:t>RPT services: prescribed records and statistics (s. 47(1)(d))</w:t>
      </w:r>
      <w:bookmarkEnd w:id="10"/>
    </w:p>
    <w:p>
      <w:pPr>
        <w:pStyle w:val="Subsection"/>
        <w:spacing w:before="180"/>
      </w:pPr>
      <w:r>
        <w:tab/>
        <w:t>(1)</w:t>
      </w:r>
      <w:r>
        <w:tab/>
        <w:t>The following records and statistics are prescribed for the purposes of section 47(1)(d) of the Act, in relation to the operation of the aircraft, for RPT services, on routes specified in the aircraft’s licence that include an airport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lastRenderedPageBreak/>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 31 Dec 2019 p. 4684.]</w:t>
      </w:r>
    </w:p>
    <w:p>
      <w:pPr>
        <w:pStyle w:val="Heading5"/>
      </w:pPr>
      <w:bookmarkStart w:id="11" w:name="_Toc130801709"/>
      <w:r>
        <w:rPr>
          <w:rStyle w:val="CharSectno"/>
        </w:rPr>
        <w:t>8BB</w:t>
      </w:r>
      <w:r>
        <w:t>.</w:t>
      </w:r>
      <w:r>
        <w:tab/>
        <w:t>Charter services: prescribed records and statistics (s. 47(1)(d))</w:t>
      </w:r>
      <w:bookmarkEnd w:id="11"/>
    </w:p>
    <w:p>
      <w:pPr>
        <w:pStyle w:val="Subsection"/>
      </w:pPr>
      <w:r>
        <w:tab/>
        <w:t>(1)</w:t>
      </w:r>
      <w:r>
        <w:tab/>
        <w:t xml:space="preserve">The following records and statistics are prescribed for the purposes of section 47(1)(d) of the Act, in relation to the </w:t>
      </w:r>
      <w:r>
        <w:lastRenderedPageBreak/>
        <w:t>operation of the aircraft, for charter services, on flights to or from airports listed in Schedule 3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 amended: Gazette 31 Dec 2019 p. 4684.]</w:t>
      </w:r>
    </w:p>
    <w:p>
      <w:pPr>
        <w:pStyle w:val="Heading5"/>
        <w:spacing w:before="240"/>
        <w:rPr>
          <w:snapToGrid w:val="0"/>
        </w:rPr>
      </w:pPr>
      <w:bookmarkStart w:id="12" w:name="_Toc130801710"/>
      <w:r>
        <w:rPr>
          <w:rStyle w:val="CharSectno"/>
        </w:rPr>
        <w:t>8C</w:t>
      </w:r>
      <w:r>
        <w:rPr>
          <w:snapToGrid w:val="0"/>
        </w:rPr>
        <w:t>.</w:t>
      </w:r>
      <w:r>
        <w:rPr>
          <w:snapToGrid w:val="0"/>
        </w:rPr>
        <w:tab/>
        <w:t>Amounts prescribed for s. 47B(8)</w:t>
      </w:r>
      <w:bookmarkEnd w:id="1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rPr>
          <w:snapToGrid w:val="0"/>
        </w:rPr>
      </w:pPr>
      <w:bookmarkStart w:id="13" w:name="_Toc130801711"/>
      <w:r>
        <w:rPr>
          <w:rStyle w:val="CharSectno"/>
        </w:rPr>
        <w:t>10</w:t>
      </w:r>
      <w:r>
        <w:rPr>
          <w:snapToGrid w:val="0"/>
        </w:rPr>
        <w:t>.</w:t>
      </w:r>
      <w:r>
        <w:rPr>
          <w:snapToGrid w:val="0"/>
        </w:rPr>
        <w:tab/>
        <w:t>Weights of vehicles</w:t>
      </w:r>
      <w:bookmarkEnd w:id="13"/>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4" w:name="_Toc130801712"/>
      <w:r>
        <w:rPr>
          <w:rStyle w:val="CharSectno"/>
        </w:rPr>
        <w:lastRenderedPageBreak/>
        <w:t>11</w:t>
      </w:r>
      <w:r>
        <w:rPr>
          <w:snapToGrid w:val="0"/>
        </w:rPr>
        <w:t>.</w:t>
      </w:r>
      <w:r>
        <w:rPr>
          <w:snapToGrid w:val="0"/>
        </w:rPr>
        <w:tab/>
        <w:t>Schedule 1 Forms</w:t>
      </w:r>
      <w:bookmarkEnd w:id="14"/>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Ednotesection"/>
        <w:spacing w:before="240"/>
        <w:rPr>
          <w:b/>
        </w:rPr>
      </w:pPr>
      <w:r>
        <w:t>[</w:t>
      </w:r>
      <w:r>
        <w:rPr>
          <w:b/>
        </w:rPr>
        <w:t>12.</w:t>
      </w:r>
      <w:r>
        <w:rPr>
          <w:b/>
        </w:rPr>
        <w:tab/>
      </w:r>
      <w:r>
        <w:t>Deleted: Gazette 26 Jun 2019 p. 2240.]</w:t>
      </w:r>
    </w:p>
    <w:p>
      <w:pPr>
        <w:pStyle w:val="Heading5"/>
      </w:pPr>
      <w:bookmarkStart w:id="15" w:name="_Toc130801713"/>
      <w:r>
        <w:rPr>
          <w:rStyle w:val="CharSectno"/>
        </w:rPr>
        <w:t>13</w:t>
      </w:r>
      <w:r>
        <w:t>.</w:t>
      </w:r>
      <w:r>
        <w:tab/>
        <w:t>Infringement notices</w:t>
      </w:r>
      <w:bookmarkEnd w:id="15"/>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 w:name="_Toc106976314"/>
      <w:bookmarkStart w:id="17" w:name="_Toc106976475"/>
      <w:bookmarkStart w:id="18" w:name="_Toc107412867"/>
      <w:bookmarkStart w:id="19" w:name="_Toc130801714"/>
      <w:r>
        <w:rPr>
          <w:rStyle w:val="CharSchNo"/>
        </w:rPr>
        <w:lastRenderedPageBreak/>
        <w:t>Schedule 1</w:t>
      </w:r>
      <w:bookmarkEnd w:id="16"/>
      <w:bookmarkEnd w:id="17"/>
      <w:bookmarkEnd w:id="18"/>
      <w:bookmarkEnd w:id="19"/>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rPr>
                <w:i/>
                <w:iCs/>
              </w:rPr>
              <w:t>[Form 3</w:t>
            </w:r>
          </w:p>
        </w:tc>
        <w:tc>
          <w:tcPr>
            <w:tcW w:w="5812" w:type="dxa"/>
          </w:tcPr>
          <w:p>
            <w:pPr>
              <w:pStyle w:val="yTableNAm"/>
              <w:spacing w:before="60"/>
            </w:pPr>
            <w:r>
              <w:rPr>
                <w:i/>
                <w:iCs/>
              </w:rPr>
              <w:t>deleted]</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w:t>
            </w:r>
          </w:p>
        </w:tc>
      </w:tr>
      <w:tr>
        <w:tc>
          <w:tcPr>
            <w:tcW w:w="1276" w:type="dxa"/>
          </w:tcPr>
          <w:p>
            <w:pPr>
              <w:pStyle w:val="yTableNAm"/>
              <w:spacing w:before="60"/>
              <w:rPr>
                <w:i/>
                <w:iCs/>
              </w:rPr>
            </w:pPr>
            <w:r>
              <w:rPr>
                <w:i/>
                <w:iCs/>
              </w:rPr>
              <w:t>[Form18</w:t>
            </w:r>
          </w:p>
        </w:tc>
        <w:tc>
          <w:tcPr>
            <w:tcW w:w="5812" w:type="dxa"/>
          </w:tcPr>
          <w:p>
            <w:pPr>
              <w:pStyle w:val="yTableNAm"/>
              <w:spacing w:before="60"/>
              <w:rPr>
                <w:i/>
                <w:iCs/>
              </w:rPr>
            </w:pPr>
            <w:r>
              <w:rPr>
                <w:i/>
                <w:iCs/>
              </w:rPr>
              <w:t>deleted]</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 26 Jun 2019 p. 2240.]</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1" w:name="_Toc106976315"/>
      <w:bookmarkStart w:id="22" w:name="_Toc106976476"/>
      <w:bookmarkStart w:id="23" w:name="_Toc107412868"/>
      <w:bookmarkStart w:id="24" w:name="_Toc130801715"/>
      <w:r>
        <w:rPr>
          <w:rStyle w:val="CharSchNo"/>
        </w:rPr>
        <w:lastRenderedPageBreak/>
        <w:t>Schedule 2</w:t>
      </w:r>
      <w:bookmarkEnd w:id="21"/>
      <w:bookmarkEnd w:id="22"/>
      <w:bookmarkEnd w:id="23"/>
      <w:bookmarkEnd w:id="24"/>
      <w:r>
        <w:rPr>
          <w:rStyle w:val="CharSchNo"/>
        </w:rPr>
        <w:t> </w:t>
      </w:r>
    </w:p>
    <w:p>
      <w:pPr>
        <w:pStyle w:val="yHeading2"/>
        <w:outlineLvl w:val="9"/>
      </w:pPr>
      <w:bookmarkStart w:id="25" w:name="_Toc106976316"/>
      <w:bookmarkStart w:id="26" w:name="_Toc106976477"/>
      <w:bookmarkStart w:id="27" w:name="_Toc107412869"/>
      <w:bookmarkStart w:id="28" w:name="_Toc130801716"/>
      <w:r>
        <w:rPr>
          <w:rStyle w:val="CharSchText"/>
        </w:rPr>
        <w:t>Forms</w:t>
      </w:r>
      <w:bookmarkEnd w:id="25"/>
      <w:bookmarkEnd w:id="26"/>
      <w:bookmarkEnd w:id="27"/>
      <w:bookmarkEnd w:id="28"/>
      <w:r>
        <w:t xml:space="preserve"> </w:t>
      </w:r>
    </w:p>
    <w:p>
      <w:pPr>
        <w:pStyle w:val="yEdnotedivision"/>
      </w:pPr>
      <w:r>
        <w:t>[Form 1 deleted: Gazette 27 May 2016 p. 1556.]</w:t>
      </w:r>
    </w:p>
    <w:p>
      <w:pPr>
        <w:pStyle w:val="yEdnotedivision"/>
      </w:pPr>
      <w:r>
        <w:t>[Form 2 deleted: Gazette 28 Jun 2016 p. 2688.]</w:t>
      </w:r>
    </w:p>
    <w:p>
      <w:pPr>
        <w:pStyle w:val="yEdnotedivision"/>
      </w:pPr>
      <w:r>
        <w:t>[Form 3 deleted: Gazette 26 Jun 2019 p. 2240.]</w:t>
      </w:r>
    </w:p>
    <w:p>
      <w:pPr>
        <w:pStyle w:val="MiscellaneousHeading"/>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lastRenderedPageBreak/>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r>
        <w:t>1. Proposed Route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r>
      <w:r>
        <w:lastRenderedPageBreak/>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pStyle w:val="yTableNAm"/>
              <w:spacing w:before="0"/>
            </w:pPr>
            <w:r>
              <w:t xml:space="preserve">I/WE hereby make application, under the provisions of the </w:t>
            </w:r>
            <w:r>
              <w:rPr>
                <w:i/>
              </w:rPr>
              <w:t>Transport Co</w:t>
            </w:r>
            <w:r>
              <w:rPr>
                <w:i/>
              </w:rPr>
              <w:noBreakHyphen/>
              <w:t>ordination Act 1966</w:t>
            </w:r>
            <w: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60" w:after="60"/>
            </w:pPr>
            <w: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pStyle w:val="yTableNAm"/>
              <w:spacing w:before="0"/>
            </w:pPr>
            <w: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pStyle w:val="yTableNAm"/>
              <w:spacing w:before="0"/>
            </w:pPr>
            <w:r>
              <w:t>of.......................................20.............</w:t>
            </w:r>
          </w:p>
        </w:tc>
      </w:tr>
      <w:tr>
        <w:trPr>
          <w:gridAfter w:val="1"/>
          <w:wAfter w:w="39" w:type="dxa"/>
        </w:trPr>
        <w:tc>
          <w:tcPr>
            <w:tcW w:w="4186" w:type="dxa"/>
            <w:gridSpan w:val="5"/>
          </w:tcPr>
          <w:p>
            <w:pPr>
              <w:pStyle w:val="yTableNAm"/>
              <w:spacing w:before="0"/>
            </w:pPr>
            <w: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pStyle w:val="yTableNAm"/>
              <w:spacing w:before="60" w:after="60"/>
              <w:jc w:val="center"/>
            </w:pPr>
            <w: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i/>
              </w:rPr>
              <w:t>Road Traffic (Vehicles) Act 2012</w:t>
            </w:r>
            <w:r>
              <w:br/>
              <w:t>Plate No.</w:t>
            </w:r>
          </w:p>
        </w:tc>
        <w:tc>
          <w:tcPr>
            <w:tcW w:w="850"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Max Load</w:t>
            </w:r>
            <w:r>
              <w:br/>
              <w:t>(kg)</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t>Gross Weight</w:t>
            </w:r>
            <w:r>
              <w:br/>
              <w:t>(kg)</w:t>
            </w:r>
          </w:p>
        </w:tc>
        <w:tc>
          <w:tcPr>
            <w:tcW w:w="1134" w:type="dxa"/>
            <w:gridSpan w:val="3"/>
            <w:tcBorders>
              <w:top w:val="single" w:sz="4" w:space="0" w:color="auto"/>
              <w:left w:val="single" w:sz="4" w:space="0" w:color="auto"/>
              <w:bottom w:val="single" w:sz="4" w:space="0" w:color="auto"/>
            </w:tcBorders>
          </w:tcPr>
          <w:p>
            <w:pPr>
              <w:pStyle w:val="yTableNAm"/>
              <w:spacing w:before="60" w:after="60"/>
              <w:jc w:val="center"/>
            </w:pPr>
            <w:r>
              <w:t>TOTAL</w:t>
            </w:r>
            <w:r>
              <w:br/>
            </w:r>
            <w: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pStyle w:val="yTableNAm"/>
              <w:spacing w:before="840"/>
              <w:jc w:val="center"/>
            </w:pPr>
          </w:p>
          <w:p>
            <w:pPr>
              <w:pStyle w:val="yTableNAm"/>
              <w:spacing w:before="60" w:after="60"/>
              <w:jc w:val="center"/>
            </w:pPr>
          </w:p>
        </w:tc>
        <w:tc>
          <w:tcPr>
            <w:tcW w:w="1418" w:type="dxa"/>
            <w:gridSpan w:val="3"/>
            <w:tcBorders>
              <w:top w:val="single" w:sz="4" w:space="0" w:color="auto"/>
              <w:left w:val="single" w:sz="4" w:space="0" w:color="auto"/>
              <w:bottom w:val="single" w:sz="4" w:space="0" w:color="auto"/>
              <w:right w:val="single" w:sz="4" w:space="0" w:color="auto"/>
            </w:tcBorders>
          </w:tcPr>
          <w:p>
            <w:pPr>
              <w:pStyle w:val="yTableNAm"/>
              <w:spacing w:before="0"/>
            </w:pPr>
          </w:p>
        </w:tc>
        <w:tc>
          <w:tcPr>
            <w:tcW w:w="850"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851" w:type="dxa"/>
            <w:tcBorders>
              <w:top w:val="single" w:sz="4" w:space="0" w:color="auto"/>
              <w:left w:val="single" w:sz="4" w:space="0" w:color="auto"/>
              <w:right w:val="single" w:sz="4" w:space="0" w:color="auto"/>
            </w:tcBorders>
          </w:tcPr>
          <w:p>
            <w:pPr>
              <w:pStyle w:val="yTableNAm"/>
              <w:spacing w:before="0"/>
            </w:pPr>
          </w:p>
        </w:tc>
        <w:tc>
          <w:tcPr>
            <w:tcW w:w="567" w:type="dxa"/>
            <w:tcBorders>
              <w:top w:val="single" w:sz="4" w:space="0" w:color="auto"/>
              <w:left w:val="single" w:sz="4" w:space="0" w:color="auto"/>
            </w:tcBorders>
          </w:tcPr>
          <w:p>
            <w:pPr>
              <w:pStyle w:val="yTableNAm"/>
              <w:spacing w:before="0"/>
            </w:pPr>
          </w:p>
        </w:tc>
        <w:tc>
          <w:tcPr>
            <w:tcW w:w="567" w:type="dxa"/>
            <w:gridSpan w:val="2"/>
            <w:tcBorders>
              <w:top w:val="single" w:sz="4" w:space="0" w:color="auto"/>
              <w:left w:val="single" w:sz="4" w:space="0" w:color="auto"/>
            </w:tcBorders>
          </w:tcPr>
          <w:p>
            <w:pPr>
              <w:pStyle w:val="yTableNAm"/>
              <w:spacing w:before="0"/>
              <w:rPr>
                <w:sz w:val="20"/>
              </w:rPr>
            </w:pPr>
          </w:p>
        </w:tc>
      </w:tr>
      <w:tr>
        <w:tblPrEx>
          <w:tblCellMar>
            <w:left w:w="70" w:type="dxa"/>
            <w:right w:w="70" w:type="dxa"/>
          </w:tblCellMar>
        </w:tblPrEx>
        <w:trPr>
          <w:cantSplit/>
        </w:trPr>
        <w:tc>
          <w:tcPr>
            <w:tcW w:w="2835" w:type="dxa"/>
            <w:gridSpan w:val="3"/>
          </w:tcPr>
          <w:p>
            <w:pPr>
              <w:pStyle w:val="yTableNAm"/>
              <w:spacing w:before="0"/>
              <w:jc w:val="center"/>
              <w:rPr>
                <w:sz w:val="20"/>
              </w:rPr>
            </w:pPr>
          </w:p>
        </w:tc>
        <w:tc>
          <w:tcPr>
            <w:tcW w:w="1418" w:type="dxa"/>
            <w:gridSpan w:val="3"/>
          </w:tcPr>
          <w:p>
            <w:pPr>
              <w:pStyle w:val="yTableNAm"/>
              <w:spacing w:before="0"/>
              <w:jc w:val="center"/>
              <w:rPr>
                <w:sz w:val="20"/>
              </w:rPr>
            </w:pPr>
          </w:p>
        </w:tc>
        <w:tc>
          <w:tcPr>
            <w:tcW w:w="850" w:type="dxa"/>
          </w:tcPr>
          <w:p>
            <w:pPr>
              <w:pStyle w:val="yTableNAm"/>
              <w:spacing w:before="0"/>
              <w:jc w:val="center"/>
              <w:rPr>
                <w:sz w:val="20"/>
              </w:rPr>
            </w:pPr>
          </w:p>
        </w:tc>
        <w:tc>
          <w:tcPr>
            <w:tcW w:w="851" w:type="dxa"/>
            <w:tcBorders>
              <w:top w:val="single" w:sz="4" w:space="0" w:color="auto"/>
            </w:tcBorders>
          </w:tcPr>
          <w:p>
            <w:pPr>
              <w:pStyle w:val="yTableNAm"/>
              <w:spacing w:before="60"/>
              <w:jc w:val="center"/>
              <w:rPr>
                <w:sz w:val="20"/>
              </w:rPr>
            </w:pPr>
          </w:p>
        </w:tc>
        <w:tc>
          <w:tcPr>
            <w:tcW w:w="567" w:type="dxa"/>
            <w:tcBorders>
              <w:top w:val="single" w:sz="4" w:space="0" w:color="auto"/>
              <w:left w:val="single" w:sz="4" w:space="0" w:color="auto"/>
              <w:bottom w:val="single" w:sz="4" w:space="0" w:color="auto"/>
            </w:tcBorders>
          </w:tcPr>
          <w:p>
            <w:pPr>
              <w:pStyle w:val="yTableNAm"/>
              <w:spacing w:before="60"/>
              <w:jc w:val="center"/>
              <w:rPr>
                <w:sz w:val="20"/>
              </w:rPr>
            </w:pPr>
          </w:p>
        </w:tc>
        <w:tc>
          <w:tcPr>
            <w:tcW w:w="567" w:type="dxa"/>
            <w:gridSpan w:val="2"/>
            <w:tcBorders>
              <w:top w:val="single" w:sz="4" w:space="0" w:color="auto"/>
              <w:left w:val="single" w:sz="4" w:space="0" w:color="auto"/>
              <w:bottom w:val="single" w:sz="4" w:space="0" w:color="auto"/>
            </w:tcBorders>
          </w:tcPr>
          <w:p>
            <w:pPr>
              <w:pStyle w:val="yTableNAm"/>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lastRenderedPageBreak/>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lastRenderedPageBreak/>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3"/>
        <w:gridCol w:w="2336"/>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lastRenderedPageBreak/>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lastRenderedPageBreak/>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lastRenderedPageBreak/>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pStyle w:val="yMiscellaneousBody"/>
        <w:spacing w:before="30"/>
        <w:ind w:right="851"/>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pStyle w:val="yTableNAm"/>
              <w:spacing w:before="0"/>
              <w:jc w:val="right"/>
              <w:rPr>
                <w:sz w:val="18"/>
                <w:szCs w:val="18"/>
              </w:rPr>
            </w:pPr>
            <w:r>
              <w:rPr>
                <w:sz w:val="18"/>
                <w:szCs w:val="18"/>
              </w:rPr>
              <w:t>(A)</w:t>
            </w:r>
          </w:p>
        </w:tc>
        <w:tc>
          <w:tcPr>
            <w:tcW w:w="708" w:type="dxa"/>
          </w:tcPr>
          <w:p>
            <w:pPr>
              <w:pStyle w:val="yTableNAm"/>
              <w:spacing w:before="0"/>
              <w:jc w:val="both"/>
              <w:rPr>
                <w:sz w:val="18"/>
                <w:szCs w:val="18"/>
              </w:rPr>
            </w:pPr>
            <w:r>
              <w:rPr>
                <w:sz w:val="18"/>
                <w:szCs w:val="18"/>
              </w:rPr>
              <w:t>Regular</w:t>
            </w:r>
          </w:p>
          <w:p>
            <w:pPr>
              <w:pStyle w:val="yTableNAm"/>
              <w:spacing w:before="0"/>
              <w:jc w:val="both"/>
              <w:rPr>
                <w:sz w:val="18"/>
                <w:szCs w:val="18"/>
              </w:rPr>
            </w:pPr>
            <w:r>
              <w:rPr>
                <w:sz w:val="18"/>
                <w:szCs w:val="18"/>
              </w:rPr>
              <w:t>Airline</w:t>
            </w:r>
          </w:p>
          <w:p>
            <w:pPr>
              <w:pStyle w:val="yTableNAm"/>
              <w:spacing w:before="0"/>
              <w:jc w:val="both"/>
              <w:rPr>
                <w:spacing w:val="-1"/>
                <w:sz w:val="18"/>
              </w:rPr>
            </w:pPr>
            <w:r>
              <w:rPr>
                <w:sz w:val="18"/>
                <w:szCs w:val="18"/>
              </w:rPr>
              <w:t>Service</w:t>
            </w:r>
          </w:p>
        </w:tc>
        <w:tc>
          <w:tcPr>
            <w:tcW w:w="785" w:type="dxa"/>
          </w:tcPr>
          <w:p>
            <w:pPr>
              <w:pStyle w:val="yMiscellaneousBody"/>
              <w:spacing w:before="80"/>
              <w:jc w:val="both"/>
              <w:rPr>
                <w:spacing w:val="-1"/>
                <w:sz w:val="28"/>
              </w:rPr>
            </w:pPr>
            <w:r>
              <w:rPr>
                <w:sz w:val="28"/>
                <w:szCs w:val="28"/>
              </w:rPr>
              <w:sym w:font="Monotype Sorts" w:char="F071"/>
            </w:r>
          </w:p>
        </w:tc>
        <w:tc>
          <w:tcPr>
            <w:tcW w:w="425" w:type="dxa"/>
          </w:tcPr>
          <w:p>
            <w:pPr>
              <w:pStyle w:val="yTableNAm"/>
              <w:spacing w:before="0"/>
              <w:jc w:val="right"/>
              <w:rPr>
                <w:sz w:val="18"/>
                <w:szCs w:val="18"/>
              </w:rPr>
            </w:pPr>
            <w:r>
              <w:rPr>
                <w:sz w:val="18"/>
                <w:szCs w:val="18"/>
              </w:rPr>
              <w:t>(B)</w:t>
            </w:r>
          </w:p>
        </w:tc>
        <w:tc>
          <w:tcPr>
            <w:tcW w:w="709" w:type="dxa"/>
          </w:tcPr>
          <w:p>
            <w:pPr>
              <w:pStyle w:val="yTableNAm"/>
              <w:spacing w:before="0"/>
              <w:jc w:val="both"/>
              <w:rPr>
                <w:sz w:val="18"/>
                <w:szCs w:val="18"/>
              </w:rPr>
            </w:pPr>
            <w:r>
              <w:rPr>
                <w:sz w:val="18"/>
                <w:szCs w:val="18"/>
              </w:rPr>
              <w:t>Charter</w:t>
            </w:r>
          </w:p>
          <w:p>
            <w:pPr>
              <w:pStyle w:val="yTableNAm"/>
              <w:spacing w:before="0"/>
              <w:jc w:val="both"/>
              <w:rPr>
                <w:spacing w:val="-1"/>
                <w:sz w:val="18"/>
              </w:rPr>
            </w:pPr>
            <w:r>
              <w:rPr>
                <w:sz w:val="18"/>
                <w:szCs w:val="18"/>
              </w:rPr>
              <w:t>Flights</w:t>
            </w:r>
          </w:p>
        </w:tc>
        <w:tc>
          <w:tcPr>
            <w:tcW w:w="709" w:type="dxa"/>
          </w:tcPr>
          <w:p>
            <w:pPr>
              <w:pStyle w:val="yMiscellaneousBody"/>
              <w:spacing w:before="80"/>
              <w:jc w:val="both"/>
              <w:rPr>
                <w:spacing w:val="-1"/>
                <w:sz w:val="28"/>
              </w:rPr>
            </w:pPr>
            <w:r>
              <w:rPr>
                <w:sz w:val="28"/>
                <w:szCs w:val="28"/>
              </w:rPr>
              <w:sym w:font="Monotype Sorts" w:char="F071"/>
            </w:r>
          </w:p>
        </w:tc>
        <w:tc>
          <w:tcPr>
            <w:tcW w:w="567" w:type="dxa"/>
          </w:tcPr>
          <w:p>
            <w:pPr>
              <w:pStyle w:val="yTableNAm"/>
              <w:spacing w:before="0"/>
              <w:jc w:val="right"/>
              <w:rPr>
                <w:sz w:val="18"/>
                <w:szCs w:val="18"/>
              </w:rPr>
            </w:pPr>
            <w:r>
              <w:rPr>
                <w:sz w:val="18"/>
                <w:szCs w:val="18"/>
              </w:rPr>
              <w:t>(C)</w:t>
            </w:r>
          </w:p>
        </w:tc>
        <w:tc>
          <w:tcPr>
            <w:tcW w:w="1605" w:type="dxa"/>
          </w:tcPr>
          <w:p>
            <w:pPr>
              <w:pStyle w:val="yTableNAm"/>
              <w:spacing w:before="0"/>
              <w:jc w:val="both"/>
              <w:rPr>
                <w:sz w:val="18"/>
                <w:szCs w:val="18"/>
              </w:rPr>
            </w:pPr>
            <w:r>
              <w:rPr>
                <w:sz w:val="18"/>
                <w:szCs w:val="18"/>
              </w:rPr>
              <w:t>Business Purposes</w:t>
            </w:r>
          </w:p>
          <w:p>
            <w:pPr>
              <w:pStyle w:val="yTableNAm"/>
              <w:spacing w:before="0"/>
              <w:jc w:val="both"/>
              <w:rPr>
                <w:spacing w:val="-1"/>
                <w:sz w:val="18"/>
              </w:rPr>
            </w:pPr>
            <w:r>
              <w:rPr>
                <w:sz w:val="18"/>
                <w:szCs w:val="18"/>
              </w:rPr>
              <w:t>other than (A) or (B)</w:t>
            </w:r>
          </w:p>
        </w:tc>
        <w:tc>
          <w:tcPr>
            <w:tcW w:w="1088" w:type="dxa"/>
          </w:tcPr>
          <w:p>
            <w:pPr>
              <w:pStyle w:val="yMiscellaneousBody"/>
              <w:spacing w:before="80"/>
              <w:jc w:val="both"/>
              <w:rPr>
                <w:spacing w:val="-1"/>
                <w:sz w:val="28"/>
              </w:rPr>
            </w:pPr>
            <w:r>
              <w:rPr>
                <w:sz w:val="28"/>
                <w:szCs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lastRenderedPageBreak/>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1pt;height:18.35pt" o:ole="" fillcolor="window">
            <v:imagedata r:id="rId27" o:title=""/>
          </v:shape>
          <o:OLEObject Type="Embed" ProgID="PBrush" ShapeID="_x0000_i1025" DrawAspect="Content" ObjectID="_1741414932" r:id="rId28"/>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lastRenderedPageBreak/>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r>
              <w:t>Port of Loading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r>
              <w:t>Port of Discharge</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r>
              <w:t>Port of Loading </w:t>
            </w:r>
            <w:r>
              <w:rPr>
                <w:snapToGrid w:val="0"/>
              </w:rPr>
              <w:t>—</w:t>
            </w:r>
            <w:r>
              <w:t> </w:t>
            </w:r>
          </w:p>
          <w:p>
            <w:pPr>
              <w:pStyle w:val="yTableNAm"/>
              <w:spacing w:before="60"/>
            </w:pPr>
            <w:r>
              <w:t>....................................</w:t>
            </w:r>
          </w:p>
          <w:p>
            <w:pPr>
              <w:pStyle w:val="yTableNAm"/>
              <w:spacing w:before="60"/>
            </w:pPr>
            <w:r>
              <w:t>Port of Discharge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r>
              <w:rPr>
                <w:sz w:val="20"/>
              </w:rPr>
              <w:t>Western Australia</w:t>
            </w:r>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w:t>
            </w:r>
            <w:r>
              <w:rPr>
                <w:snapToGrid w:val="0"/>
                <w:sz w:val="18"/>
              </w:rPr>
              <w:t xml:space="preserve">— </w:t>
            </w:r>
            <w:r>
              <w:rPr>
                <w:sz w:val="18"/>
              </w:rPr>
              <w:t>Each Item of Goods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lastRenderedPageBreak/>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 26 Jun 2019 p. 2240.]</w:t>
      </w:r>
    </w:p>
    <w:p>
      <w:pPr>
        <w:pStyle w:val="MiscellaneousHeading"/>
        <w:pageBreakBefore/>
        <w:spacing w:before="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lastRenderedPageBreak/>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lastRenderedPageBreak/>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Port of Loading........................................Sailing on or about................................</w:t>
      </w:r>
    </w:p>
    <w:p>
      <w:pPr>
        <w:pStyle w:val="yTableNAm"/>
        <w:spacing w:before="0"/>
      </w:pPr>
      <w: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 26 Jun 2019 p. 2241.]</w:t>
      </w:r>
    </w:p>
    <w:p>
      <w:pPr>
        <w:pStyle w:val="yEdnotedivision"/>
      </w:pPr>
      <w:r>
        <w:t>[Form 18 deleted: Gazette 26 Jun 2019 p. 2241.]</w:t>
      </w:r>
    </w:p>
    <w:p>
      <w:pPr>
        <w:pStyle w:val="MiscellaneousHeading"/>
        <w:pageBreakBefore/>
        <w:rPr>
          <w:sz w:val="22"/>
        </w:rPr>
      </w:pPr>
      <w:r>
        <w:rPr>
          <w:sz w:val="22"/>
        </w:rPr>
        <w:lastRenderedPageBreak/>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w:t>
      </w:r>
      <w:r>
        <w:rPr>
          <w:szCs w:val="22"/>
        </w:rPr>
        <w:t>to the transferee of licence for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 26 Jun 2019 p. 2241.]</w:t>
      </w:r>
    </w:p>
    <w:p>
      <w:pPr>
        <w:pStyle w:val="yEdnotesection"/>
      </w:pPr>
      <w:r>
        <w:tab/>
        <w:t>[Form 20 deleted: Gazette 30 Dec 2004 p. 6960.]</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 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lastRenderedPageBreak/>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GIVEN under my hand, at ..................................... in the State of Western Australia,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r>
        <w:rPr>
          <w:sz w:val="22"/>
        </w:rPr>
        <w:lastRenderedPageBreak/>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yScheduleHeading"/>
      </w:pPr>
      <w:bookmarkStart w:id="29" w:name="_Toc106976317"/>
      <w:bookmarkStart w:id="30" w:name="_Toc106976478"/>
      <w:bookmarkStart w:id="31" w:name="_Toc107412870"/>
      <w:bookmarkStart w:id="32" w:name="_Toc130801717"/>
      <w:r>
        <w:rPr>
          <w:rStyle w:val="CharSchNo"/>
        </w:rPr>
        <w:lastRenderedPageBreak/>
        <w:t>Schedule 3</w:t>
      </w:r>
      <w:r>
        <w:rPr>
          <w:rStyle w:val="CharSDivNo"/>
        </w:rPr>
        <w:t> </w:t>
      </w:r>
      <w:r>
        <w:t>—</w:t>
      </w:r>
      <w:r>
        <w:rPr>
          <w:rStyle w:val="CharSDivText"/>
        </w:rPr>
        <w:t> </w:t>
      </w:r>
      <w:r>
        <w:rPr>
          <w:rStyle w:val="CharSchText"/>
        </w:rPr>
        <w:t>Airports</w:t>
      </w:r>
      <w:bookmarkEnd w:id="29"/>
      <w:bookmarkEnd w:id="30"/>
      <w:bookmarkEnd w:id="31"/>
      <w:bookmarkEnd w:id="32"/>
    </w:p>
    <w:p>
      <w:pPr>
        <w:pStyle w:val="yFootnoteheading"/>
      </w:pPr>
      <w:r>
        <w:tab/>
        <w:t>[Heading inserted: Gazette 31 Dec 2019 p. 4685.]</w:t>
      </w:r>
    </w:p>
    <w:p>
      <w:pPr>
        <w:pStyle w:val="yShoulderClause"/>
      </w:pPr>
      <w:r>
        <w:t>[r. 8BA and 8BB]</w:t>
      </w:r>
    </w:p>
    <w:p>
      <w:pPr>
        <w:pStyle w:val="yNumberedItem"/>
      </w:pPr>
      <w:r>
        <w:tab/>
        <w:t>1.</w:t>
      </w:r>
      <w:r>
        <w:tab/>
        <w:t>Albany</w:t>
      </w:r>
    </w:p>
    <w:p>
      <w:pPr>
        <w:pStyle w:val="yNumberedItem"/>
      </w:pPr>
      <w:r>
        <w:tab/>
        <w:t>2.</w:t>
      </w:r>
      <w:r>
        <w:tab/>
        <w:t>Balgo</w:t>
      </w:r>
    </w:p>
    <w:p>
      <w:pPr>
        <w:pStyle w:val="yNumberedItem"/>
      </w:pPr>
      <w:r>
        <w:tab/>
        <w:t>3.</w:t>
      </w:r>
      <w:r>
        <w:tab/>
        <w:t>Broome International</w:t>
      </w:r>
    </w:p>
    <w:p>
      <w:pPr>
        <w:pStyle w:val="yNumberedItem"/>
      </w:pPr>
      <w:r>
        <w:tab/>
        <w:t>4.</w:t>
      </w:r>
      <w:r>
        <w:tab/>
        <w:t>Busselton-Margaret River</w:t>
      </w:r>
    </w:p>
    <w:p>
      <w:pPr>
        <w:pStyle w:val="yNumberedItem"/>
      </w:pPr>
      <w:r>
        <w:tab/>
        <w:t>5.</w:t>
      </w:r>
      <w:r>
        <w:tab/>
        <w:t>Carnarvon</w:t>
      </w:r>
    </w:p>
    <w:p>
      <w:pPr>
        <w:pStyle w:val="yNumberedItem"/>
      </w:pPr>
      <w:r>
        <w:tab/>
        <w:t>6.</w:t>
      </w:r>
      <w:r>
        <w:tab/>
        <w:t>Derby</w:t>
      </w:r>
    </w:p>
    <w:p>
      <w:pPr>
        <w:pStyle w:val="yNumberedItem"/>
      </w:pPr>
      <w:r>
        <w:tab/>
        <w:t>7.</w:t>
      </w:r>
      <w:r>
        <w:tab/>
        <w:t>Esperance</w:t>
      </w:r>
    </w:p>
    <w:p>
      <w:pPr>
        <w:pStyle w:val="yNumberedItem"/>
      </w:pPr>
      <w:r>
        <w:tab/>
        <w:t>8.</w:t>
      </w:r>
      <w:r>
        <w:tab/>
        <w:t>Fitzroy Crossing</w:t>
      </w:r>
    </w:p>
    <w:p>
      <w:pPr>
        <w:pStyle w:val="yNumberedItem"/>
      </w:pPr>
      <w:r>
        <w:tab/>
        <w:t>9.</w:t>
      </w:r>
      <w:r>
        <w:tab/>
        <w:t>Geraldton</w:t>
      </w:r>
    </w:p>
    <w:p>
      <w:pPr>
        <w:pStyle w:val="yNumberedItem"/>
      </w:pPr>
      <w:r>
        <w:tab/>
        <w:t>10.</w:t>
      </w:r>
      <w:r>
        <w:tab/>
        <w:t>Halls Creek</w:t>
      </w:r>
    </w:p>
    <w:p>
      <w:pPr>
        <w:pStyle w:val="yNumberedItem"/>
      </w:pPr>
      <w:r>
        <w:tab/>
        <w:t>11.</w:t>
      </w:r>
      <w:r>
        <w:tab/>
        <w:t>Kalbarri</w:t>
      </w:r>
    </w:p>
    <w:p>
      <w:pPr>
        <w:pStyle w:val="yNumberedItem"/>
      </w:pPr>
      <w:r>
        <w:tab/>
        <w:t>12.</w:t>
      </w:r>
      <w:r>
        <w:tab/>
        <w:t>Kalgoorlie-Boulder</w:t>
      </w:r>
    </w:p>
    <w:p>
      <w:pPr>
        <w:pStyle w:val="yNumberedItem"/>
      </w:pPr>
      <w:r>
        <w:tab/>
        <w:t>13.</w:t>
      </w:r>
      <w:r>
        <w:tab/>
        <w:t>Kalumburu</w:t>
      </w:r>
    </w:p>
    <w:p>
      <w:pPr>
        <w:pStyle w:val="yNumberedItem"/>
      </w:pPr>
      <w:r>
        <w:tab/>
        <w:t>14.</w:t>
      </w:r>
      <w:r>
        <w:tab/>
        <w:t>Kambalda</w:t>
      </w:r>
    </w:p>
    <w:p>
      <w:pPr>
        <w:pStyle w:val="yNumberedItem"/>
      </w:pPr>
      <w:r>
        <w:tab/>
        <w:t>15.</w:t>
      </w:r>
      <w:r>
        <w:tab/>
        <w:t>Karratha</w:t>
      </w:r>
    </w:p>
    <w:p>
      <w:pPr>
        <w:pStyle w:val="yNumberedItem"/>
      </w:pPr>
      <w:r>
        <w:tab/>
        <w:t>16.</w:t>
      </w:r>
      <w:r>
        <w:tab/>
        <w:t>Kununurra</w:t>
      </w:r>
    </w:p>
    <w:p>
      <w:pPr>
        <w:pStyle w:val="yNumberedItem"/>
      </w:pPr>
      <w:r>
        <w:tab/>
        <w:t>17.</w:t>
      </w:r>
      <w:r>
        <w:tab/>
        <w:t>Laverton</w:t>
      </w:r>
    </w:p>
    <w:p>
      <w:pPr>
        <w:pStyle w:val="yNumberedItem"/>
      </w:pPr>
      <w:r>
        <w:tab/>
        <w:t>18.</w:t>
      </w:r>
      <w:r>
        <w:tab/>
        <w:t>Learmonth</w:t>
      </w:r>
    </w:p>
    <w:p>
      <w:pPr>
        <w:pStyle w:val="yNumberedItem"/>
      </w:pPr>
      <w:r>
        <w:tab/>
        <w:t>19.</w:t>
      </w:r>
      <w:r>
        <w:tab/>
        <w:t>Leinster</w:t>
      </w:r>
    </w:p>
    <w:p>
      <w:pPr>
        <w:pStyle w:val="yNumberedItem"/>
      </w:pPr>
      <w:r>
        <w:tab/>
        <w:t>20.</w:t>
      </w:r>
      <w:r>
        <w:tab/>
        <w:t>Leonora</w:t>
      </w:r>
    </w:p>
    <w:p>
      <w:pPr>
        <w:pStyle w:val="yNumberedItem"/>
      </w:pPr>
      <w:r>
        <w:tab/>
        <w:t>21.</w:t>
      </w:r>
      <w:r>
        <w:tab/>
        <w:t>Meekatharra</w:t>
      </w:r>
    </w:p>
    <w:p>
      <w:pPr>
        <w:pStyle w:val="yNumberedItem"/>
      </w:pPr>
      <w:r>
        <w:tab/>
        <w:t>22.</w:t>
      </w:r>
      <w:r>
        <w:tab/>
        <w:t>Mount Magnet</w:t>
      </w:r>
    </w:p>
    <w:p>
      <w:pPr>
        <w:pStyle w:val="yNumberedItem"/>
      </w:pPr>
      <w:r>
        <w:tab/>
        <w:t>23.</w:t>
      </w:r>
      <w:r>
        <w:tab/>
        <w:t>Newman</w:t>
      </w:r>
    </w:p>
    <w:p>
      <w:pPr>
        <w:pStyle w:val="yNumberedItem"/>
      </w:pPr>
      <w:r>
        <w:tab/>
        <w:t>24.</w:t>
      </w:r>
      <w:r>
        <w:tab/>
        <w:t>Onslow</w:t>
      </w:r>
    </w:p>
    <w:p>
      <w:pPr>
        <w:pStyle w:val="yNumberedItem"/>
      </w:pPr>
      <w:r>
        <w:tab/>
        <w:t>25.</w:t>
      </w:r>
      <w:r>
        <w:tab/>
        <w:t>Paraburdoo</w:t>
      </w:r>
    </w:p>
    <w:p>
      <w:pPr>
        <w:pStyle w:val="yNumberedItem"/>
      </w:pPr>
      <w:r>
        <w:lastRenderedPageBreak/>
        <w:tab/>
        <w:t>26.</w:t>
      </w:r>
      <w:r>
        <w:tab/>
        <w:t>Port Hedland International</w:t>
      </w:r>
    </w:p>
    <w:p>
      <w:pPr>
        <w:pStyle w:val="yNumberedItem"/>
      </w:pPr>
      <w:r>
        <w:tab/>
        <w:t>27.</w:t>
      </w:r>
      <w:r>
        <w:tab/>
        <w:t>Ravensthorpe</w:t>
      </w:r>
    </w:p>
    <w:p>
      <w:pPr>
        <w:pStyle w:val="yNumberedItem"/>
      </w:pPr>
      <w:r>
        <w:tab/>
        <w:t>28.</w:t>
      </w:r>
      <w:r>
        <w:tab/>
        <w:t>Shark Bay</w:t>
      </w:r>
    </w:p>
    <w:p>
      <w:pPr>
        <w:pStyle w:val="yNumberedItem"/>
      </w:pPr>
      <w:r>
        <w:tab/>
        <w:t>29.</w:t>
      </w:r>
      <w:r>
        <w:tab/>
        <w:t>Wiluna</w:t>
      </w:r>
    </w:p>
    <w:p>
      <w:pPr>
        <w:pStyle w:val="yFootnotesection"/>
      </w:pPr>
      <w:r>
        <w:tab/>
        <w:t>[Schedule 3 inserted: Gazette 31 Dec 2019 p. 4685.]</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33" w:name="_Toc106976318"/>
      <w:bookmarkStart w:id="34" w:name="_Toc106976479"/>
      <w:bookmarkStart w:id="35" w:name="_Toc107412871"/>
      <w:bookmarkStart w:id="36" w:name="_Toc130801718"/>
      <w:r>
        <w:rPr>
          <w:rStyle w:val="CharSchNo"/>
        </w:rPr>
        <w:lastRenderedPageBreak/>
        <w:t>Schedule 4</w:t>
      </w:r>
      <w:r>
        <w:t> — </w:t>
      </w:r>
      <w:r>
        <w:rPr>
          <w:rStyle w:val="CharSchText"/>
        </w:rPr>
        <w:t>Infringement notice forms</w:t>
      </w:r>
      <w:bookmarkEnd w:id="33"/>
      <w:bookmarkEnd w:id="34"/>
      <w:bookmarkEnd w:id="35"/>
      <w:bookmarkEnd w:id="36"/>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lastRenderedPageBreak/>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MiscellaneousBody"/>
        <w:keepNext/>
        <w:rPr>
          <w:szCs w:val="22"/>
        </w:rPr>
      </w:pPr>
      <w:r>
        <w:rPr>
          <w:szCs w:val="22"/>
        </w:rPr>
        <w:lastRenderedPageBreak/>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 amended: SL 2020/172 r. 8.]</w:t>
      </w:r>
    </w:p>
    <w:p>
      <w:pPr>
        <w:pStyle w:val="yMiscellaneousBody"/>
        <w:keepNext/>
        <w:spacing w:before="360"/>
        <w:jc w:val="center"/>
        <w:rPr>
          <w:b/>
        </w:rPr>
      </w:pPr>
      <w:r>
        <w:rPr>
          <w:b/>
        </w:rPr>
        <w:lastRenderedPageBreak/>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37" w:name="_Toc106976319"/>
      <w:bookmarkStart w:id="38" w:name="_Toc106976480"/>
      <w:bookmarkStart w:id="39" w:name="_Toc107412872"/>
      <w:bookmarkStart w:id="40" w:name="_Toc130801719"/>
      <w:r>
        <w:lastRenderedPageBreak/>
        <w:t>Notes</w:t>
      </w:r>
      <w:bookmarkEnd w:id="37"/>
      <w:bookmarkEnd w:id="38"/>
      <w:bookmarkEnd w:id="39"/>
      <w:bookmarkEnd w:id="40"/>
    </w:p>
    <w:p>
      <w:pPr>
        <w:pStyle w:val="nStatement"/>
      </w:pPr>
      <w:r>
        <w:t xml:space="preserve">This is a compilation of the </w:t>
      </w:r>
      <w:r>
        <w:rPr>
          <w:i/>
          <w:noProof/>
        </w:rPr>
        <w:t>Transport Co-ordination Regulations 1985</w:t>
      </w:r>
      <w:r>
        <w:t xml:space="preserve"> and includes amendments made by other written laws </w:t>
      </w:r>
      <w:r>
        <w:rPr>
          <w:vertAlign w:val="superscript"/>
        </w:rPr>
        <w:t>1, 2</w:t>
      </w:r>
      <w:r>
        <w:t>. For provisions that have come into operation, and for information about any reprints, see the compilation table.</w:t>
      </w:r>
    </w:p>
    <w:p>
      <w:pPr>
        <w:pStyle w:val="nHeading3"/>
      </w:pPr>
      <w:bookmarkStart w:id="41" w:name="_Toc130801720"/>
      <w:r>
        <w:t>Compilation table</w:t>
      </w:r>
      <w:bookmarkEnd w:id="41"/>
    </w:p>
    <w:tbl>
      <w:tblPr>
        <w:tblW w:w="7088"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lastRenderedPageBreak/>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lastRenderedPageBreak/>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7</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(Road Passenger Services) Regulations (No. 2) 2019 </w:t>
            </w:r>
            <w:r>
              <w:t>Pt. 4</w:t>
            </w:r>
          </w:p>
        </w:tc>
        <w:tc>
          <w:tcPr>
            <w:tcW w:w="1276" w:type="dxa"/>
            <w:tcBorders>
              <w:top w:val="nil"/>
              <w:bottom w:val="nil"/>
            </w:tcBorders>
            <w:shd w:val="clear" w:color="auto" w:fill="auto"/>
          </w:tcPr>
          <w:p>
            <w:pPr>
              <w:pStyle w:val="nTable"/>
              <w:spacing w:after="40"/>
            </w:pPr>
            <w:r>
              <w:t>26 Jun 2019 p. 2229</w:t>
            </w:r>
            <w:r>
              <w:noBreakHyphen/>
              <w:t>371</w:t>
            </w:r>
          </w:p>
        </w:tc>
        <w:tc>
          <w:tcPr>
            <w:tcW w:w="2693" w:type="dxa"/>
            <w:tcBorders>
              <w:top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9" w:type="dxa"/>
            <w:tcBorders>
              <w:top w:val="nil"/>
              <w:bottom w:val="nil"/>
            </w:tcBorders>
            <w:shd w:val="clear" w:color="auto" w:fill="auto"/>
          </w:tcPr>
          <w:p>
            <w:pPr>
              <w:pStyle w:val="nTable"/>
              <w:spacing w:after="40"/>
              <w:rPr>
                <w:i/>
              </w:rPr>
            </w:pPr>
            <w:r>
              <w:rPr>
                <w:i/>
              </w:rPr>
              <w:t>Transport Co</w:t>
            </w:r>
            <w:r>
              <w:rPr>
                <w:i/>
              </w:rPr>
              <w:noBreakHyphen/>
              <w:t>ordination Amendment Regulations 2019</w:t>
            </w:r>
          </w:p>
        </w:tc>
        <w:tc>
          <w:tcPr>
            <w:tcW w:w="1276" w:type="dxa"/>
            <w:tcBorders>
              <w:top w:val="nil"/>
              <w:bottom w:val="nil"/>
            </w:tcBorders>
            <w:shd w:val="clear" w:color="auto" w:fill="auto"/>
          </w:tcPr>
          <w:p>
            <w:pPr>
              <w:pStyle w:val="nTable"/>
              <w:spacing w:after="40"/>
            </w:pPr>
            <w:r>
              <w:t>31 Dec 2019 p. 4684-5</w:t>
            </w:r>
          </w:p>
        </w:tc>
        <w:tc>
          <w:tcPr>
            <w:tcW w:w="2693" w:type="dxa"/>
            <w:tcBorders>
              <w:top w:val="nil"/>
              <w:bottom w:val="nil"/>
            </w:tcBorders>
            <w:shd w:val="clear" w:color="auto" w:fill="auto"/>
          </w:tcPr>
          <w:p>
            <w:pPr>
              <w:pStyle w:val="nTable"/>
              <w:spacing w:after="40"/>
            </w:pPr>
            <w:r>
              <w:rPr>
                <w:snapToGrid w:val="0"/>
                <w:spacing w:val="-2"/>
              </w:rPr>
              <w:t>r. 1 and 2: 31 Dec 2019 (see r. 2(a));</w:t>
            </w:r>
            <w:r>
              <w:rPr>
                <w:snapToGrid w:val="0"/>
                <w:spacing w:val="-2"/>
              </w:rPr>
              <w:br/>
              <w:t>Regulations other than r. 1 and 2: 1 Jan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 xml:space="preserve">Transport Regulations Amendment (Fees and Charges) Regulations 2020 </w:t>
            </w:r>
            <w:r>
              <w:t>Pt. 6</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rPr>
                <w:snapToGrid w:val="0"/>
                <w:spacing w:val="-2"/>
              </w:rPr>
            </w:pPr>
            <w:r>
              <w:t>1 Jul 2020 (see r. 2(b))</w:t>
            </w:r>
          </w:p>
        </w:tc>
      </w:tr>
      <w:tr>
        <w:trPr>
          <w:cantSplit/>
        </w:trPr>
        <w:tc>
          <w:tcPr>
            <w:tcW w:w="3119" w:type="dxa"/>
            <w:tcBorders>
              <w:top w:val="nil"/>
              <w:bottom w:val="nil"/>
            </w:tcBorders>
            <w:shd w:val="clear" w:color="auto" w:fill="auto"/>
          </w:tcPr>
          <w:p>
            <w:pPr>
              <w:pStyle w:val="nTable"/>
              <w:spacing w:after="40"/>
            </w:pPr>
            <w:r>
              <w:rPr>
                <w:i/>
              </w:rPr>
              <w:t>Transport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2020/172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7</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single" w:sz="4" w:space="0" w:color="auto"/>
            </w:tcBorders>
            <w:shd w:val="clear" w:color="auto" w:fill="auto"/>
          </w:tcPr>
          <w:p>
            <w:pPr>
              <w:pStyle w:val="nTable"/>
              <w:spacing w:after="40"/>
              <w:rPr>
                <w:i/>
              </w:rPr>
            </w:pPr>
            <w:r>
              <w:rPr>
                <w:i/>
              </w:rPr>
              <w:t>Transport Regulations Amendment (Fees and Charges) Regulations (No. 2) 2022</w:t>
            </w:r>
            <w:r>
              <w:t xml:space="preserve"> Pt. 7</w:t>
            </w:r>
          </w:p>
        </w:tc>
        <w:tc>
          <w:tcPr>
            <w:tcW w:w="1276" w:type="dxa"/>
            <w:tcBorders>
              <w:top w:val="nil"/>
              <w:bottom w:val="single" w:sz="4" w:space="0" w:color="auto"/>
            </w:tcBorders>
            <w:shd w:val="clear" w:color="auto" w:fill="auto"/>
          </w:tcPr>
          <w:p>
            <w:pPr>
              <w:pStyle w:val="nTable"/>
              <w:spacing w:after="40"/>
            </w:pPr>
            <w:r>
              <w:t>SL 2022/67 3 Jun 2022</w:t>
            </w:r>
          </w:p>
        </w:tc>
        <w:tc>
          <w:tcPr>
            <w:tcW w:w="2693" w:type="dxa"/>
            <w:tcBorders>
              <w:top w:val="nil"/>
              <w:bottom w:val="single" w:sz="4" w:space="0" w:color="auto"/>
            </w:tcBorders>
            <w:shd w:val="clear" w:color="auto" w:fill="auto"/>
          </w:tcPr>
          <w:p>
            <w:pPr>
              <w:pStyle w:val="nTable"/>
              <w:spacing w:after="40"/>
            </w:pPr>
            <w:r>
              <w:t>1 Jul 2022 (see r. 2(b))</w:t>
            </w:r>
          </w:p>
        </w:tc>
      </w:tr>
    </w:tbl>
    <w:p>
      <w:pPr>
        <w:pStyle w:val="nHeading3"/>
      </w:pPr>
      <w:bookmarkStart w:id="42" w:name="_Toc130801721"/>
      <w:r>
        <w:t>Other notes</w:t>
      </w:r>
      <w:bookmarkEnd w:id="42"/>
    </w:p>
    <w:p>
      <w:pPr>
        <w:pStyle w:val="nNote"/>
        <w:keepNext/>
        <w:keepLines/>
        <w:spacing w:before="160"/>
        <w:rPr>
          <w:sz w:val="24"/>
        </w:rPr>
      </w:pPr>
      <w:r>
        <w:rPr>
          <w:vertAlign w:val="superscript"/>
        </w:rPr>
        <w:t>1</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Note"/>
        <w:keepNext/>
        <w:keepLines/>
        <w:spacing w:before="160"/>
      </w:pPr>
      <w:r>
        <w:rPr>
          <w:vertAlign w:val="superscript"/>
        </w:rPr>
        <w:t>2</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44" w:name="_Toc106976323"/>
      <w:bookmarkStart w:id="45" w:name="_Toc106976483"/>
      <w:bookmarkStart w:id="46" w:name="_Toc107412875"/>
      <w:bookmarkStart w:id="47" w:name="_Toc130801722"/>
      <w:r>
        <w:rPr>
          <w:sz w:val="28"/>
        </w:rPr>
        <w:lastRenderedPageBreak/>
        <w:t>Defined terms</w:t>
      </w:r>
      <w:bookmarkEnd w:id="44"/>
      <w:bookmarkEnd w:id="45"/>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408"/>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 w:name="WAFER_20190627113604" w:val="RemoveTocBookmarks,RemoveUnusedBookmarks,RemoveLanguageTags,ResetPageSize,RunningHeaders,UpdateStyles,UsedStyles"/>
    <w:docVar w:name="WAFER_20190627113604_GUID" w:val="2eefd6df-58f8-4f18-a27f-5ad9c3b3cb92"/>
    <w:docVar w:name="WAFER_20191220170000" w:val="RemoveTocBookmarks,RemoveUnusedBookmarks,RemoveLanguageTags,ResetPageSize,RunningHeaders,UpdateStyles,UsedStyles"/>
    <w:docVar w:name="WAFER_20191220170000_GUID" w:val="1d7d2482-0a0a-4381-bfa2-6b275ca3c711"/>
    <w:docVar w:name="WAFER_202002110942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00_GUID" w:val="e57822b9-5e25-4cdb-b3e6-79d39bee845d"/>
    <w:docVar w:name="WAFER_20200617110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914_GUID" w:val="2ba90e02-073d-448b-a30f-a73602e802b9"/>
    <w:docVar w:name="WAFER_2020092214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342_GUID" w:val="5538cfd3-1513-4708-a408-5e7cd7b09f07"/>
    <w:docVar w:name="WAFER_202106171239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03_GUID" w:val="200130d7-a8dc-4134-8d14-ca6476929bcb"/>
    <w:docVar w:name="WAFER_20210625105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21_GUID" w:val="ad94b645-dbb6-4f13-8912-32f3f7217c49"/>
    <w:docVar w:name="WAFER_202206011126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48_GUID" w:val="7f796082-9edf-4d3f-a4b3-33cb2e59151d"/>
    <w:docVar w:name="WAFER_202206241224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08_GUID" w:val="968d1200-45a3-4ea1-beec-0c71f6feff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C1E6-82B6-4695-8AB9-79DC3894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9092</Words>
  <Characters>72286</Characters>
  <Application>Microsoft Office Word</Application>
  <DocSecurity>0</DocSecurity>
  <Lines>2677</Lines>
  <Paragraphs>1564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1985 - 05-l0-01</dc:title>
  <dc:subject/>
  <dc:creator/>
  <cp:keywords/>
  <dc:description/>
  <cp:lastModifiedBy>Master Repository Process</cp:lastModifiedBy>
  <cp:revision>4</cp:revision>
  <cp:lastPrinted>2019-06-28T09:30:00Z</cp:lastPrinted>
  <dcterms:created xsi:type="dcterms:W3CDTF">2023-03-27T01:36:00Z</dcterms:created>
  <dcterms:modified xsi:type="dcterms:W3CDTF">2023-03-27T01:36:00Z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01 Jul 2022</vt:lpwstr>
  </property>
  <property fmtid="{D5CDD505-2E9C-101B-9397-08002B2CF9AE}" pid="8" name="Suffix">
    <vt:lpwstr>05-l0-01</vt:lpwstr>
  </property>
  <property fmtid="{D5CDD505-2E9C-101B-9397-08002B2CF9AE}" pid="9" name="CommencementDate">
    <vt:lpwstr>20220701</vt:lpwstr>
  </property>
</Properties>
</file>