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_Toc107402838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_Toc107402839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_Toc107402840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_Toc107402842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_Toc107402843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_Toc107402844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_Toc107402845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_Toc107402846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_Toc107402847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_Toc107402849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_Toc107402850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_Toc107402851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_Toc107402853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_Toc107402854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_Toc107402855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_Toc107402856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_Toc107402858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_Toc107402859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_Toc107402860 \h </w:instrText>
      </w:r>
      <w:r>
        <w:fldChar w:fldCharType="separate"/>
      </w:r>
      <w:r>
        <w:t>23</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_Toc107402861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_Toc107402863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8"/>
        <w:rPr>
          <w:rFonts w:asciiTheme="minorHAnsi" w:eastAsiaTheme="minorEastAsia" w:hAnsiTheme="minorHAnsi" w:cstheme="minorBidi"/>
          <w:szCs w:val="22"/>
        </w:rPr>
      </w:pPr>
      <w:r>
        <w:t>33.</w:t>
      </w:r>
      <w:r>
        <w:tab/>
        <w:t xml:space="preserve">Transitional provisions relating to </w:t>
      </w:r>
      <w:r>
        <w:rPr>
          <w:i/>
        </w:rPr>
        <w:t>Pawnbrokers and Second</w:t>
      </w:r>
      <w:r>
        <w:rPr>
          <w:i/>
        </w:rPr>
        <w:noBreakHyphen/>
        <w:t>hand Dealers Amendment Regulations 2020</w:t>
      </w:r>
      <w:r>
        <w:tab/>
      </w:r>
      <w:r>
        <w:fldChar w:fldCharType="begin"/>
      </w:r>
      <w:r>
        <w:instrText xml:space="preserve"> PAGEREF _Toc107402865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_Toc107402867 \h </w:instrText>
      </w:r>
      <w:r>
        <w:fldChar w:fldCharType="separate"/>
      </w:r>
      <w:r>
        <w:t>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_Toc107402868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106962720"/>
      <w:bookmarkStart w:id="4" w:name="_Toc106963316"/>
      <w:bookmarkStart w:id="5" w:name="_Toc10740283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02838"/>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7" w:name="_Toc10740283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107402840"/>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9" w:name="_Toc106962724"/>
      <w:bookmarkStart w:id="10" w:name="_Toc106963320"/>
      <w:bookmarkStart w:id="11" w:name="_Toc107402841"/>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pPr>
        <w:pStyle w:val="Heading5"/>
        <w:rPr>
          <w:snapToGrid w:val="0"/>
        </w:rPr>
      </w:pPr>
      <w:bookmarkStart w:id="12" w:name="_Toc107402842"/>
      <w:r>
        <w:rPr>
          <w:rStyle w:val="CharSectno"/>
        </w:rPr>
        <w:t>4</w:t>
      </w:r>
      <w:r>
        <w:rPr>
          <w:snapToGrid w:val="0"/>
        </w:rPr>
        <w:t>.</w:t>
      </w:r>
      <w:r>
        <w:rPr>
          <w:snapToGrid w:val="0"/>
        </w:rPr>
        <w:tab/>
        <w:t>Provisions prescribed for financial bodies (Act s. 4(3))</w:t>
      </w:r>
      <w:bookmarkEnd w:id="12"/>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3" w:name="_Toc107402843"/>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lastRenderedPageBreak/>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14" w:name="_Toc107402844"/>
      <w:r>
        <w:rPr>
          <w:rStyle w:val="CharSectno"/>
        </w:rPr>
        <w:t>6</w:t>
      </w:r>
      <w:r>
        <w:rPr>
          <w:snapToGrid w:val="0"/>
        </w:rPr>
        <w:t>.</w:t>
      </w:r>
      <w:r>
        <w:rPr>
          <w:snapToGrid w:val="0"/>
        </w:rPr>
        <w:tab/>
        <w:t>Act s. 38(a) does not apply to sales to minors (Act s. 4(3))</w:t>
      </w:r>
      <w:bookmarkEnd w:id="1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5" w:name="_Toc107402845"/>
      <w:r>
        <w:rPr>
          <w:rStyle w:val="CharSectno"/>
        </w:rPr>
        <w:t>7</w:t>
      </w:r>
      <w:r>
        <w:rPr>
          <w:snapToGrid w:val="0"/>
        </w:rPr>
        <w:t>.</w:t>
      </w:r>
      <w:r>
        <w:rPr>
          <w:snapToGrid w:val="0"/>
        </w:rPr>
        <w:tab/>
        <w:t>Act s. 39 does not apply in some cases (Act s. 4(3))</w:t>
      </w:r>
      <w:bookmarkEnd w:id="1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16" w:name="_Toc107402846"/>
      <w:r>
        <w:rPr>
          <w:rStyle w:val="CharSectno"/>
        </w:rPr>
        <w:t>8</w:t>
      </w:r>
      <w:r>
        <w:rPr>
          <w:snapToGrid w:val="0"/>
        </w:rPr>
        <w:t>.</w:t>
      </w:r>
      <w:r>
        <w:rPr>
          <w:snapToGrid w:val="0"/>
        </w:rPr>
        <w:tab/>
        <w:t>Amount prescribed (Act s. 59(2)(b))</w:t>
      </w:r>
      <w:bookmarkEnd w:id="1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7" w:name="_Toc107402847"/>
      <w:r>
        <w:rPr>
          <w:rStyle w:val="CharSectno"/>
        </w:rPr>
        <w:t>9</w:t>
      </w:r>
      <w:r>
        <w:rPr>
          <w:snapToGrid w:val="0"/>
        </w:rPr>
        <w:t>.</w:t>
      </w:r>
      <w:r>
        <w:rPr>
          <w:snapToGrid w:val="0"/>
        </w:rPr>
        <w:tab/>
        <w:t>Act s. 61 does not apply to certain goods (Act s. 4(3))</w:t>
      </w:r>
      <w:bookmarkEnd w:id="1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18" w:name="_Toc106962731"/>
      <w:bookmarkStart w:id="19" w:name="_Toc106963327"/>
      <w:bookmarkStart w:id="20" w:name="_Toc107402848"/>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18"/>
      <w:bookmarkEnd w:id="19"/>
      <w:bookmarkEnd w:id="20"/>
    </w:p>
    <w:p>
      <w:pPr>
        <w:pStyle w:val="Heading5"/>
        <w:spacing w:before="180"/>
        <w:rPr>
          <w:snapToGrid w:val="0"/>
        </w:rPr>
      </w:pPr>
      <w:bookmarkStart w:id="21" w:name="_Toc107402849"/>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2" w:name="_Toc107402850"/>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lastRenderedPageBreak/>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3" w:name="_Toc107402851"/>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lastRenderedPageBreak/>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4" w:name="_Toc106962735"/>
      <w:bookmarkStart w:id="25" w:name="_Toc106963331"/>
      <w:bookmarkStart w:id="26" w:name="_Toc107402852"/>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pPr>
        <w:pStyle w:val="Heading5"/>
        <w:rPr>
          <w:snapToGrid w:val="0"/>
        </w:rPr>
      </w:pPr>
      <w:bookmarkStart w:id="27" w:name="_Toc107402853"/>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lastRenderedPageBreak/>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lastRenderedPageBreak/>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lastRenderedPageBreak/>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28" w:name="_Toc107402854"/>
      <w:r>
        <w:rPr>
          <w:rStyle w:val="CharSectno"/>
        </w:rPr>
        <w:t>13A</w:t>
      </w:r>
      <w:r>
        <w:t>.</w:t>
      </w:r>
      <w:r>
        <w:tab/>
        <w:t>Transaction cards, form and issue of</w:t>
      </w:r>
      <w:bookmarkEnd w:id="2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lastRenderedPageBreak/>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29" w:name="_Toc107402855"/>
      <w:r>
        <w:rPr>
          <w:rStyle w:val="CharSectno"/>
        </w:rPr>
        <w:t>14</w:t>
      </w:r>
      <w:r>
        <w:rPr>
          <w:snapToGrid w:val="0"/>
        </w:rPr>
        <w:t>.</w:t>
      </w:r>
      <w:r>
        <w:rPr>
          <w:snapToGrid w:val="0"/>
        </w:rPr>
        <w:tab/>
        <w:t xml:space="preserve">Manner of keeping records prescribed </w:t>
      </w:r>
      <w:r>
        <w:rPr>
          <w:snapToGrid w:val="0"/>
          <w:spacing w:val="-4"/>
        </w:rPr>
        <w:t>(Act s. 45)</w:t>
      </w:r>
      <w:bookmarkEnd w:id="2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0" w:name="_Toc107402856"/>
      <w:r>
        <w:rPr>
          <w:rStyle w:val="CharSectno"/>
        </w:rPr>
        <w:t>15</w:t>
      </w:r>
      <w:r>
        <w:rPr>
          <w:snapToGrid w:val="0"/>
        </w:rPr>
        <w:t>.</w:t>
      </w:r>
      <w:r>
        <w:rPr>
          <w:snapToGrid w:val="0"/>
        </w:rPr>
        <w:tab/>
      </w:r>
      <w:r>
        <w:rPr>
          <w:snapToGrid w:val="0"/>
          <w:spacing w:val="-4"/>
        </w:rPr>
        <w:t>Information prescribed (Act s. 79)</w:t>
      </w:r>
      <w:bookmarkEnd w:id="3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lastRenderedPageBreak/>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31" w:name="_Toc106962740"/>
      <w:bookmarkStart w:id="32" w:name="_Toc106963336"/>
      <w:bookmarkStart w:id="33" w:name="_Toc107402857"/>
      <w:r>
        <w:rPr>
          <w:rStyle w:val="CharPartNo"/>
        </w:rPr>
        <w:lastRenderedPageBreak/>
        <w:t>Part 6</w:t>
      </w:r>
      <w:r>
        <w:rPr>
          <w:rStyle w:val="CharDivNo"/>
        </w:rPr>
        <w:t> </w:t>
      </w:r>
      <w:r>
        <w:t>—</w:t>
      </w:r>
      <w:r>
        <w:rPr>
          <w:rStyle w:val="CharDivText"/>
        </w:rPr>
        <w:t> </w:t>
      </w:r>
      <w:r>
        <w:rPr>
          <w:rStyle w:val="CharPartText"/>
        </w:rPr>
        <w:t>Fees</w:t>
      </w:r>
      <w:bookmarkEnd w:id="31"/>
      <w:bookmarkEnd w:id="32"/>
      <w:bookmarkEnd w:id="33"/>
    </w:p>
    <w:p>
      <w:pPr>
        <w:pStyle w:val="Heading5"/>
        <w:rPr>
          <w:snapToGrid w:val="0"/>
        </w:rPr>
      </w:pPr>
      <w:bookmarkStart w:id="34" w:name="_Toc107402858"/>
      <w:r>
        <w:rPr>
          <w:rStyle w:val="CharSectno"/>
        </w:rPr>
        <w:t>28</w:t>
      </w:r>
      <w:r>
        <w:rPr>
          <w:snapToGrid w:val="0"/>
        </w:rPr>
        <w:t>.</w:t>
      </w:r>
      <w:r>
        <w:rPr>
          <w:snapToGrid w:val="0"/>
        </w:rPr>
        <w:tab/>
        <w:t>Fees prescribed for applications for licences (Act s. 13(b))</w:t>
      </w:r>
      <w:bookmarkEnd w:id="3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36"/>
        <w:gridCol w:w="1692"/>
        <w:gridCol w:w="1412"/>
        <w:gridCol w:w="1411"/>
        <w:gridCol w:w="1411"/>
      </w:tblGrid>
      <w:tr>
        <w:trPr>
          <w:cantSplit/>
          <w:tblHeader/>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Item</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Licence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1 year</w:t>
            </w:r>
            <w:r>
              <w:rPr>
                <w:b/>
              </w:rPr>
              <w:br/>
            </w:r>
            <w:r>
              <w:rPr>
                <w:b/>
              </w:rPr>
              <w:br/>
            </w:r>
            <w:r>
              <w:rPr>
                <w:b/>
              </w:rPr>
              <w:br/>
              <w:t>$</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2 years but longer than 1 year</w:t>
            </w:r>
            <w:r>
              <w:rPr>
                <w:b/>
              </w:rPr>
              <w:br/>
              <w:t>$</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3 years but longer than 2 years</w:t>
            </w:r>
            <w:r>
              <w:rPr>
                <w:b/>
              </w:rPr>
              <w:br/>
              <w:t>$</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1.</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lastRenderedPageBreak/>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6 276</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3 138</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1 569</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2.</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Second</w:t>
            </w:r>
            <w:r>
              <w:rPr>
                <w:b/>
              </w:rPr>
              <w:noBreakHyphen/>
              <w:t>hand dealer’s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6 276</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3 138</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1 569</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lastRenderedPageBreak/>
              <w:t>3.</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and second</w:t>
            </w:r>
            <w:r>
              <w:rPr>
                <w:b/>
              </w:rPr>
              <w:noBreakHyphen/>
              <w:t>hand dealer’s licence</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6 291</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3 145</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1 572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 SL 2022/65 r. 6.]</w:t>
      </w:r>
    </w:p>
    <w:p>
      <w:pPr>
        <w:pStyle w:val="Heading5"/>
        <w:rPr>
          <w:snapToGrid w:val="0"/>
          <w:spacing w:val="-4"/>
        </w:rPr>
      </w:pPr>
      <w:bookmarkStart w:id="35" w:name="_Toc107402859"/>
      <w:r>
        <w:rPr>
          <w:rStyle w:val="CharSectno"/>
          <w:spacing w:val="-4"/>
        </w:rPr>
        <w:lastRenderedPageBreak/>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lastRenderedPageBreak/>
        <w:t>Table — Fees for renewal of licences</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35"/>
        <w:gridCol w:w="1693"/>
        <w:gridCol w:w="1412"/>
        <w:gridCol w:w="1412"/>
        <w:gridCol w:w="1410"/>
      </w:tblGrid>
      <w:tr>
        <w:trPr>
          <w:cantSplit/>
          <w:tblHeader/>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Item</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Licence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1 year</w:t>
            </w:r>
            <w:r>
              <w:rPr>
                <w:b/>
              </w:rPr>
              <w:br/>
            </w:r>
            <w:r>
              <w:rPr>
                <w:b/>
              </w:rPr>
              <w:br/>
            </w:r>
            <w:r>
              <w:rPr>
                <w:b/>
              </w:rPr>
              <w:br/>
              <w:t>$</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2 years but longer than 1 year</w:t>
            </w:r>
            <w:r>
              <w:rPr>
                <w:b/>
              </w:rPr>
              <w:br/>
              <w:t>$</w:t>
            </w:r>
          </w:p>
        </w:tc>
        <w:tc>
          <w:tcPr>
            <w:tcW w:w="1416"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3 years but longer than 2 years</w:t>
            </w:r>
            <w:r>
              <w:rPr>
                <w:b/>
              </w:rPr>
              <w:br/>
              <w:t>$</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1.</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5 267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6 180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2 633</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1 545</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2.</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Second</w:t>
            </w:r>
            <w:r>
              <w:rPr>
                <w:b/>
              </w:rPr>
              <w:noBreakHyphen/>
              <w:t>hand dealer’s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5 267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6 180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2 633</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lastRenderedPageBreak/>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1 545</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3.</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and second</w:t>
            </w:r>
            <w:r>
              <w:rPr>
                <w:b/>
              </w:rPr>
              <w:noBreakHyphen/>
              <w:t>hand dealer’s licence</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5 279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6 194</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3 097</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1 548</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 xml:space="preserve">6; 26 Jun 2018 </w:t>
      </w:r>
      <w:r>
        <w:rPr>
          <w:spacing w:val="-4"/>
        </w:rPr>
        <w:lastRenderedPageBreak/>
        <w:t>p. 2396</w:t>
      </w:r>
      <w:r>
        <w:rPr>
          <w:spacing w:val="-4"/>
        </w:rPr>
        <w:noBreakHyphen/>
        <w:t>7; 21 Jun 2019 p. 2145</w:t>
      </w:r>
      <w:r>
        <w:rPr>
          <w:spacing w:val="-4"/>
        </w:rPr>
        <w:noBreakHyphen/>
        <w:t>7; SL 2020/82 r. 7; SL 2020/147 r. 9; SL 2021/106 r. 7; SL 2022/65 r. 7</w:t>
      </w:r>
      <w:r>
        <w:t>.]</w:t>
      </w:r>
    </w:p>
    <w:p>
      <w:pPr>
        <w:pStyle w:val="Heading5"/>
        <w:rPr>
          <w:snapToGrid w:val="0"/>
        </w:rPr>
      </w:pPr>
      <w:bookmarkStart w:id="36" w:name="_Toc107402860"/>
      <w:r>
        <w:rPr>
          <w:rStyle w:val="CharSectno"/>
        </w:rPr>
        <w:t>30</w:t>
      </w:r>
      <w:r>
        <w:rPr>
          <w:snapToGrid w:val="0"/>
        </w:rPr>
        <w:t>.</w:t>
      </w:r>
      <w:r>
        <w:rPr>
          <w:snapToGrid w:val="0"/>
        </w:rPr>
        <w:tab/>
        <w:t>Refund of fees, when payable</w:t>
      </w:r>
      <w:bookmarkEnd w:id="3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37" w:name="_Toc107402861"/>
      <w:r>
        <w:rPr>
          <w:rStyle w:val="CharSectno"/>
          <w:spacing w:val="-4"/>
        </w:rPr>
        <w:t>31</w:t>
      </w:r>
      <w:r>
        <w:rPr>
          <w:snapToGrid w:val="0"/>
          <w:spacing w:val="-4"/>
        </w:rPr>
        <w:t>.</w:t>
      </w:r>
      <w:r>
        <w:rPr>
          <w:snapToGrid w:val="0"/>
          <w:spacing w:val="-4"/>
        </w:rPr>
        <w:tab/>
        <w:t>Fee prescribed for inspecting register (Act s. 28(2))</w:t>
      </w:r>
      <w:bookmarkEnd w:id="3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38" w:name="_Toc106962745"/>
      <w:bookmarkStart w:id="39" w:name="_Toc106963341"/>
      <w:bookmarkStart w:id="40" w:name="_Toc107402862"/>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pPr>
        <w:pStyle w:val="Footnoteheading"/>
      </w:pPr>
      <w:r>
        <w:tab/>
        <w:t>[Heading inserted: Gazette 28 Jul 2000 p. 4025.]</w:t>
      </w:r>
    </w:p>
    <w:p>
      <w:pPr>
        <w:pStyle w:val="Heading5"/>
      </w:pPr>
      <w:bookmarkStart w:id="41" w:name="_Toc107402863"/>
      <w:r>
        <w:rPr>
          <w:rStyle w:val="CharSectno"/>
        </w:rPr>
        <w:t>32</w:t>
      </w:r>
      <w:r>
        <w:t>.</w:t>
      </w:r>
      <w:r>
        <w:tab/>
        <w:t>Offences and modified penalties prescribed (Act s. 90)</w:t>
      </w:r>
      <w:bookmarkEnd w:id="4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lastRenderedPageBreak/>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42" w:name="_Toc106962747"/>
      <w:bookmarkStart w:id="43" w:name="_Toc106963343"/>
      <w:bookmarkStart w:id="44" w:name="_Toc107402864"/>
      <w:r>
        <w:rPr>
          <w:rStyle w:val="CharPartNo"/>
        </w:rPr>
        <w:lastRenderedPageBreak/>
        <w:t>Part 8</w:t>
      </w:r>
      <w:r>
        <w:rPr>
          <w:b w:val="0"/>
        </w:rPr>
        <w:t> </w:t>
      </w:r>
      <w:r>
        <w:t>—</w:t>
      </w:r>
      <w:r>
        <w:rPr>
          <w:b w:val="0"/>
        </w:rPr>
        <w:t> </w:t>
      </w:r>
      <w:r>
        <w:rPr>
          <w:rStyle w:val="CharPartText"/>
        </w:rPr>
        <w:t>Transitional provisions</w:t>
      </w:r>
      <w:bookmarkEnd w:id="42"/>
      <w:bookmarkEnd w:id="43"/>
      <w:bookmarkEnd w:id="44"/>
    </w:p>
    <w:p>
      <w:pPr>
        <w:pStyle w:val="Footnoteheading"/>
      </w:pPr>
      <w:r>
        <w:tab/>
        <w:t>[Heading inserted: SL 2020/147 r. 10.]</w:t>
      </w:r>
    </w:p>
    <w:p>
      <w:pPr>
        <w:pStyle w:val="Heading5"/>
      </w:pPr>
      <w:bookmarkStart w:id="45" w:name="_Toc107402865"/>
      <w:r>
        <w:rPr>
          <w:rStyle w:val="CharSectno"/>
        </w:rPr>
        <w:t>33</w:t>
      </w:r>
      <w:r>
        <w:t>.</w:t>
      </w:r>
      <w:r>
        <w:tab/>
        <w:t xml:space="preserve">Transitional provisions relating to </w:t>
      </w:r>
      <w:r>
        <w:rPr>
          <w:i/>
        </w:rPr>
        <w:t>Pawnbrokers and Second</w:t>
      </w:r>
      <w:r>
        <w:rPr>
          <w:i/>
        </w:rPr>
        <w:noBreakHyphen/>
        <w:t>hand Dealers Amendment Regulations 2020</w:t>
      </w:r>
      <w:bookmarkEnd w:id="4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lastRenderedPageBreak/>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6" w:name="_Toc106962749"/>
      <w:bookmarkStart w:id="47" w:name="_Toc106963345"/>
      <w:bookmarkStart w:id="48" w:name="_Toc107402866"/>
      <w:r>
        <w:lastRenderedPageBreak/>
        <w:t>Notes</w:t>
      </w:r>
      <w:bookmarkEnd w:id="46"/>
      <w:bookmarkEnd w:id="47"/>
      <w:bookmarkEnd w:id="48"/>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w:t>
      </w:r>
    </w:p>
    <w:p>
      <w:pPr>
        <w:pStyle w:val="nHeading3"/>
      </w:pPr>
      <w:bookmarkStart w:id="49" w:name="_Toc107402867"/>
      <w:r>
        <w:t>Compilation table</w:t>
      </w:r>
      <w:bookmarkEnd w:id="4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lastRenderedPageBreak/>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2021/106 29 Jun 2021</w:t>
            </w:r>
          </w:p>
        </w:tc>
        <w:tc>
          <w:tcPr>
            <w:tcW w:w="2693"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2022</w:t>
            </w:r>
            <w:r>
              <w:t xml:space="preserve"> Pt. 3</w:t>
            </w:r>
          </w:p>
        </w:tc>
        <w:tc>
          <w:tcPr>
            <w:tcW w:w="1276" w:type="dxa"/>
            <w:tcBorders>
              <w:bottom w:val="single" w:sz="4" w:space="0" w:color="auto"/>
            </w:tcBorders>
            <w:shd w:val="clear" w:color="auto" w:fill="auto"/>
          </w:tcPr>
          <w:p>
            <w:pPr>
              <w:pStyle w:val="nTable"/>
              <w:spacing w:after="40"/>
            </w:pPr>
            <w:r>
              <w:t>SL 2022/65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50" w:name="_Toc107402868"/>
      <w:r>
        <w:t>Other notes</w:t>
      </w:r>
      <w:bookmarkEnd w:id="50"/>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52" w:name="_Toc106962753"/>
      <w:bookmarkStart w:id="53" w:name="_Toc106963348"/>
      <w:bookmarkStart w:id="54" w:name="_Toc107402869"/>
      <w:r>
        <w:rPr>
          <w:sz w:val="28"/>
        </w:rPr>
        <w:lastRenderedPageBreak/>
        <w:t>Defined terms</w:t>
      </w:r>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33(1)</w:t>
      </w:r>
    </w:p>
    <w:p>
      <w:pPr>
        <w:pStyle w:val="DefinedTerms"/>
      </w:pPr>
      <w:r>
        <w:t>current licence period</w:t>
      </w:r>
      <w:r>
        <w:tab/>
        <w:t>33(1)</w:t>
      </w:r>
    </w:p>
    <w:p>
      <w:pPr>
        <w:pStyle w:val="DefinedTerms"/>
      </w:pPr>
      <w:r>
        <w:t>financial body</w:t>
      </w:r>
      <w:r>
        <w:tab/>
        <w:t>3</w:t>
      </w:r>
    </w:p>
    <w:p>
      <w:pPr>
        <w:pStyle w:val="DefinedTerms"/>
      </w:pPr>
      <w:r>
        <w:t>new sale</w:t>
      </w:r>
      <w:r>
        <w:tab/>
        <w:t>5(2)</w:t>
      </w:r>
    </w:p>
    <w:p>
      <w:pPr>
        <w:pStyle w:val="DefinedTerms"/>
      </w:pPr>
      <w:r>
        <w:t>public utility</w:t>
      </w:r>
      <w:r>
        <w:tab/>
        <w:t>3</w:t>
      </w:r>
    </w:p>
    <w:p>
      <w:pPr>
        <w:pStyle w:val="DefinedTerms"/>
      </w:pPr>
      <w:r>
        <w:t>relevant day</w:t>
      </w:r>
      <w:r>
        <w:tab/>
        <w:t>33(1)</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State agency</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4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 w:name="WAFER_20220624111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09_GUID" w:val="149cf639-fe54-4e6c-99af-5e71768d5e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519">
      <w:bodyDiv w:val="1"/>
      <w:marLeft w:val="0"/>
      <w:marRight w:val="0"/>
      <w:marTop w:val="0"/>
      <w:marBottom w:val="0"/>
      <w:divBdr>
        <w:top w:val="none" w:sz="0" w:space="0" w:color="auto"/>
        <w:left w:val="none" w:sz="0" w:space="0" w:color="auto"/>
        <w:bottom w:val="none" w:sz="0" w:space="0" w:color="auto"/>
        <w:right w:val="none" w:sz="0" w:space="0" w:color="auto"/>
      </w:divBdr>
    </w:div>
    <w:div w:id="8203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7077</Words>
  <Characters>33123</Characters>
  <Application>Microsoft Office Word</Application>
  <DocSecurity>0</DocSecurity>
  <Lines>1656</Lines>
  <Paragraphs>913</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1996 - 05-n0-00</dc:title>
  <dc:subject/>
  <dc:creator/>
  <cp:keywords/>
  <dc:description/>
  <cp:lastModifiedBy>Master Repository Process</cp:lastModifiedBy>
  <cp:revision>4</cp:revision>
  <cp:lastPrinted>2016-11-14T04:52:00Z</cp:lastPrinted>
  <dcterms:created xsi:type="dcterms:W3CDTF">2022-06-30T01:01:00Z</dcterms:created>
  <dcterms:modified xsi:type="dcterms:W3CDTF">2022-06-30T01:01:00Z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05-n0-00</vt:lpwstr>
  </property>
  <property fmtid="{D5CDD505-2E9C-101B-9397-08002B2CF9AE}" pid="9" name="CommencementDate">
    <vt:lpwstr>20220701</vt:lpwstr>
  </property>
</Properties>
</file>