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Regulations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_Toc106895081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_Toc106895082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_Toc106895083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fees, rates and sums</w:t>
      </w:r>
      <w:r>
        <w:tab/>
      </w:r>
      <w:r>
        <w:fldChar w:fldCharType="begin"/>
      </w:r>
      <w:r>
        <w:instrText xml:space="preserve"> PAGEREF _Toc106895084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w:t>
      </w:r>
      <w:r>
        <w:tab/>
      </w:r>
      <w:r>
        <w:fldChar w:fldCharType="begin"/>
      </w:r>
      <w:r>
        <w:instrText xml:space="preserve"> PAGEREF _Toc106895085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Instrument under Act s. 81(4)(b)</w:t>
      </w:r>
      <w:r>
        <w:tab/>
      </w:r>
      <w:r>
        <w:fldChar w:fldCharType="begin"/>
      </w:r>
      <w:r>
        <w:instrText xml:space="preserve"> PAGEREF _Toc106895086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Royalty value — deductible imposts</w:t>
      </w:r>
      <w:r>
        <w:tab/>
      </w:r>
      <w:r>
        <w:fldChar w:fldCharType="begin"/>
      </w:r>
      <w:r>
        <w:instrText xml:space="preserve"> PAGEREF _Toc106895087 \h </w:instrText>
      </w:r>
      <w:r>
        <w:fldChar w:fldCharType="separate"/>
      </w:r>
      <w:r>
        <w:t>4</w:t>
      </w:r>
      <w:r>
        <w:fldChar w:fldCharType="end"/>
      </w:r>
    </w:p>
    <w:p>
      <w:pPr>
        <w:pStyle w:val="TOC8"/>
        <w:rPr>
          <w:rFonts w:asciiTheme="minorHAnsi" w:eastAsiaTheme="minorEastAsia" w:hAnsiTheme="minorHAnsi" w:cstheme="minorBidi"/>
          <w:szCs w:val="22"/>
        </w:rPr>
      </w:pPr>
      <w:r>
        <w:t>9.</w:t>
      </w:r>
      <w:r>
        <w:tab/>
        <w:t>Application of Geocentric Datum of Australia</w:t>
      </w:r>
      <w:r>
        <w:tab/>
      </w:r>
      <w:r>
        <w:fldChar w:fldCharType="begin"/>
      </w:r>
      <w:r>
        <w:instrText xml:space="preserve"> PAGEREF _Toc106895088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of GDA to certain instruments</w:t>
      </w:r>
      <w:r>
        <w:tab/>
      </w:r>
      <w:r>
        <w:fldChar w:fldCharType="begin"/>
      </w:r>
      <w:r>
        <w:instrText xml:space="preserve"> PAGEREF _Toc106895089 \h </w:instrText>
      </w:r>
      <w:r>
        <w:fldChar w:fldCharType="separate"/>
      </w:r>
      <w:r>
        <w:t>6</w:t>
      </w:r>
      <w:r>
        <w:fldChar w:fldCharType="end"/>
      </w:r>
    </w:p>
    <w:p>
      <w:pPr>
        <w:pStyle w:val="TOC8"/>
        <w:rPr>
          <w:rFonts w:asciiTheme="minorHAnsi" w:eastAsiaTheme="minorEastAsia" w:hAnsiTheme="minorHAnsi" w:cstheme="minorBidi"/>
          <w:szCs w:val="22"/>
        </w:rPr>
      </w:pPr>
      <w:r>
        <w:t>11.</w:t>
      </w:r>
      <w:r>
        <w:tab/>
        <w:t>Application of Australian Geodetic Datum</w:t>
      </w:r>
      <w:r>
        <w:tab/>
      </w:r>
      <w:r>
        <w:fldChar w:fldCharType="begin"/>
      </w:r>
      <w:r>
        <w:instrText xml:space="preserve"> PAGEREF _Toc106895090 \h </w:instrText>
      </w:r>
      <w:r>
        <w:fldChar w:fldCharType="separate"/>
      </w:r>
      <w:r>
        <w:t>7</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_Toc106895091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_Toc106895095 \h </w:instrText>
      </w:r>
      <w:r>
        <w:fldChar w:fldCharType="separate"/>
      </w:r>
      <w:r>
        <w:t>12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_Toc106895096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Petroleum (Submerged Lands) Act 1982</w:t>
      </w:r>
    </w:p>
    <w:p>
      <w:pPr>
        <w:pStyle w:val="NameofActReg"/>
      </w:pPr>
      <w:r>
        <w:t>Petroleum (Submerged Lands) Regulations 1990</w:t>
      </w:r>
    </w:p>
    <w:p>
      <w:pPr>
        <w:pStyle w:val="Heading5"/>
        <w:rPr>
          <w:snapToGrid w:val="0"/>
        </w:rPr>
      </w:pPr>
      <w:bookmarkStart w:id="3" w:name="_Toc10689508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rPr>
        <w:t>.</w:t>
      </w:r>
    </w:p>
    <w:p>
      <w:pPr>
        <w:pStyle w:val="Heading5"/>
        <w:rPr>
          <w:snapToGrid w:val="0"/>
        </w:rPr>
      </w:pPr>
      <w:bookmarkStart w:id="4" w:name="_Toc10689508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rPr>
        <w:t>.</w:t>
      </w:r>
    </w:p>
    <w:p>
      <w:pPr>
        <w:pStyle w:val="Heading5"/>
      </w:pPr>
      <w:bookmarkStart w:id="5" w:name="_Toc106895083"/>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Gazette 15 Dec 2000 p. 7216.]</w:t>
      </w:r>
    </w:p>
    <w:p>
      <w:pPr>
        <w:pStyle w:val="Heading5"/>
        <w:rPr>
          <w:snapToGrid w:val="0"/>
        </w:rPr>
      </w:pPr>
      <w:bookmarkStart w:id="6" w:name="_Toc106895084"/>
      <w:r>
        <w:rPr>
          <w:rStyle w:val="CharSectno"/>
        </w:rPr>
        <w:t>3</w:t>
      </w:r>
      <w:r>
        <w:rPr>
          <w:snapToGrid w:val="0"/>
        </w:rPr>
        <w:t>.</w:t>
      </w:r>
      <w:r>
        <w:rPr>
          <w:snapToGrid w:val="0"/>
        </w:rPr>
        <w:tab/>
        <w:t>Prescribed fees, rates and sums</w:t>
      </w:r>
      <w:bookmarkEnd w:id="6"/>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$149.00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$2 400.00.</w:t>
      </w:r>
    </w:p>
    <w:p>
      <w:pPr>
        <w:pStyle w:val="Subsection"/>
        <w:spacing w:before="180"/>
        <w:rPr>
          <w:snapToGrid w:val="0"/>
        </w:rPr>
      </w:pPr>
      <w:r>
        <w:rPr>
          <w:snapToGrid w:val="0"/>
        </w:rPr>
        <w:lastRenderedPageBreak/>
        <w:tab/>
        <w:t>(7)</w:t>
      </w:r>
      <w:r>
        <w:rPr>
          <w:snapToGrid w:val="0"/>
        </w:rPr>
        <w:tab/>
        <w:t>For the purposes of section 139(b) of the Act, the prescribed rate is a rate of </w:t>
      </w:r>
      <w:r>
        <w:t>$919.00.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$20 000.00.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$17 400.00.</w:t>
      </w:r>
    </w:p>
    <w:p>
      <w:pPr>
        <w:pStyle w:val="Subsection"/>
        <w:spacing w:before="180"/>
      </w:pPr>
      <w:r>
        <w:tab/>
        <w:t>(10)</w:t>
      </w:r>
      <w:r>
        <w:tab/>
        <w:t>For the purposes of section 141A of the Act, the fee is $17 400.00.</w:t>
      </w:r>
    </w:p>
    <w:p>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30 Jun 2015 p. 2345 and 2348; 24 Jun 2016 p. 2329-30; 23 Jun 2017 p. 3300; 25 Jun 2018 p. 2315; 18 Jun 2019 p. 2051; SL 2020/93 r. 25; SL 2021/85 r. 36.] </w:t>
      </w:r>
    </w:p>
    <w:p>
      <w:pPr>
        <w:pStyle w:val="Ednotesection"/>
        <w:spacing w:before="260"/>
      </w:pPr>
      <w:r>
        <w:t>[</w:t>
      </w:r>
      <w:r>
        <w:rPr>
          <w:b/>
          <w:bCs/>
        </w:rPr>
        <w:t>3A.</w:t>
      </w:r>
      <w:r>
        <w:rPr>
          <w:b/>
          <w:bCs/>
        </w:rPr>
        <w:tab/>
      </w:r>
      <w:r>
        <w:t>Deleted: Gazette 23 Jun 2009 p. 2475.]</w:t>
      </w:r>
    </w:p>
    <w:p>
      <w:pPr>
        <w:pStyle w:val="Heading5"/>
        <w:rPr>
          <w:snapToGrid w:val="0"/>
        </w:rPr>
      </w:pPr>
      <w:bookmarkStart w:id="7" w:name="_Toc106895085"/>
      <w:r>
        <w:rPr>
          <w:rStyle w:val="CharSectno"/>
        </w:rPr>
        <w:t>4</w:t>
      </w:r>
      <w:r>
        <w:rPr>
          <w:snapToGrid w:val="0"/>
        </w:rPr>
        <w:t>.</w:t>
      </w:r>
      <w:r>
        <w:rPr>
          <w:snapToGrid w:val="0"/>
        </w:rPr>
        <w:tab/>
        <w:t>Form of instrument of transfer</w:t>
      </w:r>
      <w:bookmarkEnd w:id="7"/>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8" w:name="_Toc106895086"/>
      <w:r>
        <w:rPr>
          <w:rStyle w:val="CharSectno"/>
        </w:rPr>
        <w:t>5</w:t>
      </w:r>
      <w:r>
        <w:rPr>
          <w:snapToGrid w:val="0"/>
        </w:rPr>
        <w:t>.</w:t>
      </w:r>
      <w:r>
        <w:rPr>
          <w:snapToGrid w:val="0"/>
        </w:rPr>
        <w:tab/>
        <w:t>Instrument under Act s. 81(4)(b)</w:t>
      </w:r>
      <w:bookmarkEnd w:id="8"/>
      <w:r>
        <w:rPr>
          <w:snapToGrid w:val="0"/>
        </w:rPr>
        <w:t xml:space="preserve"> </w:t>
      </w:r>
    </w:p>
    <w:p>
      <w:pPr>
        <w:pStyle w:val="Subsection"/>
        <w:keepNext/>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lastRenderedPageBreak/>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rPr>
          <w:snapToGrid w:val="0"/>
        </w:rPr>
      </w:pPr>
      <w:r>
        <w:rPr>
          <w:snapToGrid w:val="0"/>
        </w:rPr>
        <w:lastRenderedPageBreak/>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Gazette 23 Jun 2009 p. 2475.]</w:t>
      </w:r>
    </w:p>
    <w:p>
      <w:pPr>
        <w:pStyle w:val="Heading5"/>
        <w:rPr>
          <w:snapToGrid w:val="0"/>
        </w:rPr>
      </w:pPr>
      <w:bookmarkStart w:id="9" w:name="_Toc106895087"/>
      <w:r>
        <w:rPr>
          <w:rStyle w:val="CharSectno"/>
        </w:rPr>
        <w:t>8</w:t>
      </w:r>
      <w:r>
        <w:rPr>
          <w:snapToGrid w:val="0"/>
        </w:rPr>
        <w:t>.</w:t>
      </w:r>
      <w:r>
        <w:rPr>
          <w:snapToGrid w:val="0"/>
        </w:rPr>
        <w:tab/>
        <w:t>Royalty value — deductible imposts</w:t>
      </w:r>
      <w:bookmarkEnd w:id="9"/>
      <w:r>
        <w:rPr>
          <w:snapToGrid w:val="0"/>
        </w:rPr>
        <w:t xml:space="preserve"> </w:t>
      </w:r>
    </w:p>
    <w:p>
      <w:pPr>
        <w:pStyle w:val="Subsection"/>
        <w:keepNext/>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lastRenderedPageBreak/>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Gazette 20 May 1994 p. 2125</w:t>
      </w:r>
      <w:r>
        <w:noBreakHyphen/>
        <w:t xml:space="preserve">6.] </w:t>
      </w:r>
    </w:p>
    <w:p>
      <w:pPr>
        <w:pStyle w:val="Heading5"/>
      </w:pPr>
      <w:bookmarkStart w:id="10" w:name="_Toc106895088"/>
      <w:r>
        <w:rPr>
          <w:rStyle w:val="CharSectno"/>
        </w:rPr>
        <w:t>9</w:t>
      </w:r>
      <w:r>
        <w:t>.</w:t>
      </w:r>
      <w:r>
        <w:tab/>
        <w:t>Application of Geocentric Datum of Australia</w:t>
      </w:r>
      <w:bookmarkEnd w:id="10"/>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lastRenderedPageBreak/>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Gazette 15 Dec 2000 p. 7216</w:t>
      </w:r>
      <w:r>
        <w:noBreakHyphen/>
        <w:t>17.]</w:t>
      </w:r>
    </w:p>
    <w:p>
      <w:pPr>
        <w:pStyle w:val="Heading5"/>
      </w:pPr>
      <w:bookmarkStart w:id="11" w:name="_Toc106895089"/>
      <w:r>
        <w:rPr>
          <w:rStyle w:val="CharSectno"/>
        </w:rPr>
        <w:t>10</w:t>
      </w:r>
      <w:r>
        <w:t>.</w:t>
      </w:r>
      <w:r>
        <w:tab/>
        <w:t>Application of GDA to certain instruments</w:t>
      </w:r>
      <w:bookmarkEnd w:id="11"/>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1</w:t>
      </w:r>
      <w:r>
        <w:t>.</w:t>
      </w:r>
    </w:p>
    <w:p>
      <w:pPr>
        <w:pStyle w:val="Footnotesection"/>
      </w:pPr>
      <w:r>
        <w:tab/>
        <w:t>[Regulation 10 inserted: Gazette 15 Dec 2000 p. 7217</w:t>
      </w:r>
      <w:r>
        <w:noBreakHyphen/>
        <w:t>18.]</w:t>
      </w:r>
    </w:p>
    <w:p>
      <w:pPr>
        <w:pStyle w:val="Heading5"/>
      </w:pPr>
      <w:bookmarkStart w:id="12" w:name="_Toc106895090"/>
      <w:r>
        <w:rPr>
          <w:rStyle w:val="CharSectno"/>
        </w:rPr>
        <w:lastRenderedPageBreak/>
        <w:t>11</w:t>
      </w:r>
      <w:r>
        <w:t>.</w:t>
      </w:r>
      <w:r>
        <w:tab/>
        <w:t>Application of Australian Geodetic Datum</w:t>
      </w:r>
      <w:bookmarkEnd w:id="12"/>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 xml:space="preserve">If, in relation to an instrument referred to in subregulation (4), coordinates calculated by reference to the AGD are to be converted to coordinates calculated by reference to the GDA, </w:t>
      </w:r>
      <w:r>
        <w:lastRenderedPageBreak/>
        <w:t>the conversion is to be made using the National Transformation Version 2 (NTV2) grid file transformation.</w:t>
      </w:r>
    </w:p>
    <w:p>
      <w:pPr>
        <w:pStyle w:val="Footnotesection"/>
      </w:pPr>
      <w:r>
        <w:tab/>
        <w:t>[Regulation 11 inserted: Gazette 15 Dec 2000 p. 7218.]</w:t>
      </w:r>
    </w:p>
    <w:p>
      <w:pPr>
        <w:pStyle w:val="Heading5"/>
      </w:pPr>
      <w:bookmarkStart w:id="13" w:name="_Toc106895091"/>
      <w:r>
        <w:rPr>
          <w:rStyle w:val="CharSectno"/>
        </w:rPr>
        <w:t>12</w:t>
      </w:r>
      <w:r>
        <w:t>.</w:t>
      </w:r>
      <w:r>
        <w:tab/>
        <w:t>Transitional provision: operation of r. 3</w:t>
      </w:r>
      <w:bookmarkEnd w:id="13"/>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Gazette 30 Jun 2015 p. 2345.]</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4" w:name="_Toc102117063"/>
      <w:bookmarkStart w:id="15" w:name="_Toc102119743"/>
      <w:bookmarkStart w:id="16" w:name="_Toc102119989"/>
      <w:bookmarkStart w:id="17" w:name="_Toc102120062"/>
      <w:bookmarkStart w:id="18" w:name="_Toc103680129"/>
      <w:bookmarkStart w:id="19" w:name="_Toc106874746"/>
      <w:bookmarkStart w:id="20" w:name="_Toc106895092"/>
      <w:bookmarkStart w:id="21" w:name="_Toc106874521"/>
      <w:r>
        <w:rPr>
          <w:rStyle w:val="CharSchNo"/>
        </w:rPr>
        <w:lastRenderedPageBreak/>
        <w:t>Schedule 1</w:t>
      </w:r>
      <w:r>
        <w:t> — </w:t>
      </w:r>
      <w:r>
        <w:rPr>
          <w:rStyle w:val="CharSchText"/>
        </w:rPr>
        <w:t>Prescribed fees</w:t>
      </w:r>
      <w:bookmarkEnd w:id="14"/>
      <w:bookmarkEnd w:id="15"/>
      <w:bookmarkEnd w:id="16"/>
      <w:bookmarkEnd w:id="17"/>
      <w:bookmarkEnd w:id="18"/>
      <w:bookmarkEnd w:id="19"/>
      <w:bookmarkEnd w:id="20"/>
    </w:p>
    <w:p>
      <w:pPr>
        <w:pStyle w:val="yShoulderClause"/>
      </w:pPr>
      <w:r>
        <w:t>[r. 3(1)]</w:t>
      </w:r>
    </w:p>
    <w:p>
      <w:pPr>
        <w:pStyle w:val="yFootnoteheading"/>
        <w:spacing w:after="60"/>
      </w:pPr>
      <w:r>
        <w:tab/>
        <w:t>[Heading inserted: SL 2022/58 r.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cantSplit/>
          <w:tblHeader/>
          <w:jc w:val="center"/>
        </w:trPr>
        <w:tc>
          <w:tcPr>
            <w:tcW w:w="1276" w:type="dxa"/>
            <w:noWrap/>
          </w:tcPr>
          <w:p>
            <w:pPr>
              <w:pStyle w:val="yTableNAm"/>
              <w:jc w:val="center"/>
              <w:rPr>
                <w:b/>
                <w:szCs w:val="22"/>
              </w:rPr>
            </w:pPr>
            <w:r>
              <w:rPr>
                <w:b/>
                <w:szCs w:val="22"/>
              </w:rPr>
              <w:t>Column 1</w:t>
            </w:r>
            <w:r>
              <w:rPr>
                <w:b/>
                <w:szCs w:val="22"/>
              </w:rPr>
              <w:br/>
              <w:t>Item</w:t>
            </w:r>
          </w:p>
        </w:tc>
        <w:tc>
          <w:tcPr>
            <w:tcW w:w="2126" w:type="dxa"/>
            <w:noWrap/>
          </w:tcPr>
          <w:p>
            <w:pPr>
              <w:pStyle w:val="yTableNAm"/>
              <w:jc w:val="center"/>
              <w:rPr>
                <w:b/>
                <w:szCs w:val="22"/>
              </w:rPr>
            </w:pPr>
            <w:r>
              <w:rPr>
                <w:b/>
                <w:szCs w:val="22"/>
              </w:rPr>
              <w:t>Column 2</w:t>
            </w:r>
            <w:r>
              <w:rPr>
                <w:b/>
                <w:szCs w:val="22"/>
              </w:rPr>
              <w:br/>
              <w:t>Provision of Act</w:t>
            </w:r>
          </w:p>
        </w:tc>
        <w:tc>
          <w:tcPr>
            <w:tcW w:w="2835" w:type="dxa"/>
            <w:noWrap/>
          </w:tcPr>
          <w:p>
            <w:pPr>
              <w:pStyle w:val="yTableNAm"/>
              <w:jc w:val="center"/>
              <w:rPr>
                <w:b/>
                <w:szCs w:val="22"/>
              </w:rPr>
            </w:pPr>
            <w:r>
              <w:rPr>
                <w:b/>
                <w:szCs w:val="22"/>
              </w:rPr>
              <w:t>Column 3</w:t>
            </w:r>
            <w:r>
              <w:rPr>
                <w:b/>
                <w:szCs w:val="22"/>
              </w:rPr>
              <w:br/>
              <w:t>Amount of prescribed fee</w:t>
            </w:r>
            <w:r>
              <w:rPr>
                <w:b/>
                <w:szCs w:val="22"/>
              </w:rPr>
              <w:br/>
              <w:t>($)</w:t>
            </w:r>
          </w:p>
        </w:tc>
      </w:tr>
      <w:tr>
        <w:trPr>
          <w:cantSplit/>
          <w:jc w:val="center"/>
        </w:trPr>
        <w:tc>
          <w:tcPr>
            <w:tcW w:w="1276" w:type="dxa"/>
            <w:noWrap/>
          </w:tcPr>
          <w:p>
            <w:pPr>
              <w:pStyle w:val="yTableNAm"/>
              <w:rPr>
                <w:szCs w:val="22"/>
              </w:rPr>
            </w:pPr>
            <w:r>
              <w:rPr>
                <w:szCs w:val="22"/>
              </w:rPr>
              <w:t>1.</w:t>
            </w:r>
          </w:p>
        </w:tc>
        <w:tc>
          <w:tcPr>
            <w:tcW w:w="2126" w:type="dxa"/>
            <w:noWrap/>
          </w:tcPr>
          <w:p>
            <w:pPr>
              <w:pStyle w:val="yTableNAm"/>
              <w:rPr>
                <w:szCs w:val="22"/>
              </w:rPr>
            </w:pPr>
            <w:r>
              <w:rPr>
                <w:szCs w:val="22"/>
              </w:rPr>
              <w:t>s. 21(1)(f)</w:t>
            </w:r>
          </w:p>
        </w:tc>
        <w:tc>
          <w:tcPr>
            <w:tcW w:w="2835" w:type="dxa"/>
            <w:noWrap/>
          </w:tcPr>
          <w:p>
            <w:pPr>
              <w:pStyle w:val="yTableNAm"/>
              <w:ind w:right="1033"/>
              <w:jc w:val="right"/>
              <w:rPr>
                <w:szCs w:val="22"/>
              </w:rPr>
            </w:pPr>
            <w:r>
              <w:t>7 928.00</w:t>
            </w:r>
          </w:p>
        </w:tc>
      </w:tr>
      <w:tr>
        <w:trPr>
          <w:cantSplit/>
          <w:jc w:val="center"/>
        </w:trPr>
        <w:tc>
          <w:tcPr>
            <w:tcW w:w="1276" w:type="dxa"/>
            <w:noWrap/>
          </w:tcPr>
          <w:p>
            <w:pPr>
              <w:pStyle w:val="yTableNAm"/>
              <w:rPr>
                <w:szCs w:val="22"/>
              </w:rPr>
            </w:pPr>
            <w:r>
              <w:rPr>
                <w:szCs w:val="22"/>
              </w:rPr>
              <w:t>2.</w:t>
            </w:r>
          </w:p>
        </w:tc>
        <w:tc>
          <w:tcPr>
            <w:tcW w:w="2126" w:type="dxa"/>
            <w:noWrap/>
          </w:tcPr>
          <w:p>
            <w:pPr>
              <w:pStyle w:val="yTableNAm"/>
              <w:rPr>
                <w:szCs w:val="22"/>
              </w:rPr>
            </w:pPr>
            <w:r>
              <w:rPr>
                <w:szCs w:val="22"/>
              </w:rPr>
              <w:t>s. 24(1)(a)</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3.</w:t>
            </w:r>
          </w:p>
        </w:tc>
        <w:tc>
          <w:tcPr>
            <w:tcW w:w="2126" w:type="dxa"/>
            <w:noWrap/>
          </w:tcPr>
          <w:p>
            <w:pPr>
              <w:pStyle w:val="yTableNAm"/>
              <w:rPr>
                <w:szCs w:val="22"/>
              </w:rPr>
            </w:pPr>
            <w:r>
              <w:rPr>
                <w:szCs w:val="22"/>
              </w:rPr>
              <w:t>s. 30(2)(c)</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4.</w:t>
            </w:r>
          </w:p>
        </w:tc>
        <w:tc>
          <w:tcPr>
            <w:tcW w:w="2126" w:type="dxa"/>
            <w:noWrap/>
          </w:tcPr>
          <w:p>
            <w:pPr>
              <w:pStyle w:val="yTableNAm"/>
              <w:rPr>
                <w:szCs w:val="22"/>
              </w:rPr>
            </w:pPr>
            <w:r>
              <w:rPr>
                <w:szCs w:val="22"/>
              </w:rPr>
              <w:t>s. 38A(2)(e)</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5.</w:t>
            </w:r>
          </w:p>
        </w:tc>
        <w:tc>
          <w:tcPr>
            <w:tcW w:w="2126" w:type="dxa"/>
            <w:noWrap/>
          </w:tcPr>
          <w:p>
            <w:pPr>
              <w:pStyle w:val="yTableNAm"/>
              <w:rPr>
                <w:szCs w:val="22"/>
              </w:rPr>
            </w:pPr>
            <w:r>
              <w:rPr>
                <w:szCs w:val="22"/>
              </w:rPr>
              <w:t>s. 38CA(2)(d)</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6.</w:t>
            </w:r>
          </w:p>
        </w:tc>
        <w:tc>
          <w:tcPr>
            <w:tcW w:w="2126" w:type="dxa"/>
            <w:noWrap/>
          </w:tcPr>
          <w:p>
            <w:pPr>
              <w:pStyle w:val="yTableNAm"/>
              <w:rPr>
                <w:szCs w:val="22"/>
              </w:rPr>
            </w:pPr>
            <w:r>
              <w:rPr>
                <w:szCs w:val="22"/>
              </w:rPr>
              <w:t>s. 38F(2)(d)</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7.</w:t>
            </w:r>
          </w:p>
        </w:tc>
        <w:tc>
          <w:tcPr>
            <w:tcW w:w="2126" w:type="dxa"/>
            <w:noWrap/>
          </w:tcPr>
          <w:p>
            <w:pPr>
              <w:pStyle w:val="yTableNAm"/>
              <w:rPr>
                <w:szCs w:val="22"/>
              </w:rPr>
            </w:pPr>
            <w:r>
              <w:rPr>
                <w:szCs w:val="22"/>
              </w:rPr>
              <w:t>s. 41(1)(e)</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8.</w:t>
            </w:r>
          </w:p>
        </w:tc>
        <w:tc>
          <w:tcPr>
            <w:tcW w:w="2126" w:type="dxa"/>
            <w:noWrap/>
          </w:tcPr>
          <w:p>
            <w:pPr>
              <w:pStyle w:val="yTableNAm"/>
              <w:rPr>
                <w:szCs w:val="22"/>
              </w:rPr>
            </w:pPr>
            <w:r>
              <w:rPr>
                <w:szCs w:val="22"/>
              </w:rPr>
              <w:t>s. 48(1)(a)</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9.</w:t>
            </w:r>
          </w:p>
        </w:tc>
        <w:tc>
          <w:tcPr>
            <w:tcW w:w="2126" w:type="dxa"/>
            <w:noWrap/>
          </w:tcPr>
          <w:p>
            <w:pPr>
              <w:pStyle w:val="yTableNAm"/>
              <w:rPr>
                <w:szCs w:val="22"/>
              </w:rPr>
            </w:pPr>
            <w:r>
              <w:rPr>
                <w:szCs w:val="22"/>
              </w:rPr>
              <w:t>s. 51(2)(e)</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10.</w:t>
            </w:r>
          </w:p>
        </w:tc>
        <w:tc>
          <w:tcPr>
            <w:tcW w:w="2126" w:type="dxa"/>
            <w:noWrap/>
          </w:tcPr>
          <w:p>
            <w:pPr>
              <w:pStyle w:val="yTableNAm"/>
              <w:rPr>
                <w:szCs w:val="22"/>
              </w:rPr>
            </w:pPr>
            <w:r>
              <w:rPr>
                <w:szCs w:val="22"/>
              </w:rPr>
              <w:t>s. 54(2)(d)</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11.</w:t>
            </w:r>
          </w:p>
        </w:tc>
        <w:tc>
          <w:tcPr>
            <w:tcW w:w="2126" w:type="dxa"/>
            <w:noWrap/>
          </w:tcPr>
          <w:p>
            <w:pPr>
              <w:pStyle w:val="yTableNAm"/>
              <w:rPr>
                <w:szCs w:val="22"/>
              </w:rPr>
            </w:pPr>
            <w:r>
              <w:rPr>
                <w:szCs w:val="22"/>
              </w:rPr>
              <w:t>s. 60B(2)(d)</w:t>
            </w:r>
          </w:p>
        </w:tc>
        <w:tc>
          <w:tcPr>
            <w:tcW w:w="2835" w:type="dxa"/>
            <w:noWrap/>
          </w:tcPr>
          <w:p>
            <w:pPr>
              <w:pStyle w:val="yTableNAm"/>
              <w:ind w:right="1037"/>
              <w:jc w:val="right"/>
              <w:rPr>
                <w:szCs w:val="22"/>
              </w:rPr>
            </w:pPr>
            <w:r>
              <w:rPr>
                <w:szCs w:val="22"/>
              </w:rPr>
              <w:t>7 550.00</w:t>
            </w:r>
          </w:p>
        </w:tc>
      </w:tr>
      <w:tr>
        <w:trPr>
          <w:cantSplit/>
          <w:jc w:val="center"/>
        </w:trPr>
        <w:tc>
          <w:tcPr>
            <w:tcW w:w="1276" w:type="dxa"/>
            <w:noWrap/>
          </w:tcPr>
          <w:p>
            <w:pPr>
              <w:pStyle w:val="yTableNAm"/>
              <w:rPr>
                <w:szCs w:val="22"/>
              </w:rPr>
            </w:pPr>
            <w:r>
              <w:rPr>
                <w:szCs w:val="22"/>
              </w:rPr>
              <w:t>12.</w:t>
            </w:r>
          </w:p>
        </w:tc>
        <w:tc>
          <w:tcPr>
            <w:tcW w:w="2126" w:type="dxa"/>
            <w:noWrap/>
          </w:tcPr>
          <w:p>
            <w:pPr>
              <w:pStyle w:val="yTableNAm"/>
              <w:rPr>
                <w:szCs w:val="22"/>
              </w:rPr>
            </w:pPr>
            <w:r>
              <w:rPr>
                <w:szCs w:val="22"/>
              </w:rPr>
              <w:t>s. 60J(2)(d)</w:t>
            </w:r>
          </w:p>
        </w:tc>
        <w:tc>
          <w:tcPr>
            <w:tcW w:w="2835" w:type="dxa"/>
            <w:noWrap/>
          </w:tcPr>
          <w:p>
            <w:pPr>
              <w:pStyle w:val="yTableNAm"/>
              <w:ind w:right="1037"/>
              <w:jc w:val="right"/>
              <w:rPr>
                <w:szCs w:val="22"/>
              </w:rPr>
            </w:pPr>
            <w:r>
              <w:rPr>
                <w:szCs w:val="22"/>
              </w:rPr>
              <w:t>7 550.00</w:t>
            </w:r>
          </w:p>
        </w:tc>
      </w:tr>
      <w:tr>
        <w:trPr>
          <w:cantSplit/>
          <w:jc w:val="center"/>
        </w:trPr>
        <w:tc>
          <w:tcPr>
            <w:tcW w:w="1276" w:type="dxa"/>
            <w:noWrap/>
          </w:tcPr>
          <w:p>
            <w:pPr>
              <w:pStyle w:val="yTableNAm"/>
              <w:rPr>
                <w:szCs w:val="22"/>
              </w:rPr>
            </w:pPr>
            <w:r>
              <w:rPr>
                <w:szCs w:val="22"/>
              </w:rPr>
              <w:t>13.</w:t>
            </w:r>
          </w:p>
        </w:tc>
        <w:tc>
          <w:tcPr>
            <w:tcW w:w="2126" w:type="dxa"/>
            <w:noWrap/>
          </w:tcPr>
          <w:p>
            <w:pPr>
              <w:pStyle w:val="yTableNAm"/>
              <w:rPr>
                <w:szCs w:val="22"/>
              </w:rPr>
            </w:pPr>
            <w:r>
              <w:rPr>
                <w:szCs w:val="22"/>
              </w:rPr>
              <w:t>s. 64(1)(f)</w:t>
            </w:r>
          </w:p>
        </w:tc>
        <w:tc>
          <w:tcPr>
            <w:tcW w:w="2835" w:type="dxa"/>
            <w:noWrap/>
          </w:tcPr>
          <w:p>
            <w:pPr>
              <w:pStyle w:val="yTableNAm"/>
              <w:ind w:right="1037"/>
              <w:jc w:val="right"/>
              <w:rPr>
                <w:szCs w:val="22"/>
              </w:rPr>
            </w:pPr>
            <w:r>
              <w:rPr>
                <w:szCs w:val="22"/>
              </w:rPr>
              <w:t>7 928.00</w:t>
            </w:r>
          </w:p>
        </w:tc>
      </w:tr>
      <w:tr>
        <w:trPr>
          <w:cantSplit/>
          <w:jc w:val="center"/>
        </w:trPr>
        <w:tc>
          <w:tcPr>
            <w:tcW w:w="1276" w:type="dxa"/>
            <w:noWrap/>
          </w:tcPr>
          <w:p>
            <w:pPr>
              <w:pStyle w:val="yTableNAm"/>
              <w:rPr>
                <w:szCs w:val="22"/>
              </w:rPr>
            </w:pPr>
            <w:r>
              <w:rPr>
                <w:szCs w:val="22"/>
              </w:rPr>
              <w:t>14.</w:t>
            </w:r>
          </w:p>
        </w:tc>
        <w:tc>
          <w:tcPr>
            <w:tcW w:w="2126" w:type="dxa"/>
            <w:noWrap/>
          </w:tcPr>
          <w:p>
            <w:pPr>
              <w:pStyle w:val="yTableNAm"/>
              <w:rPr>
                <w:szCs w:val="22"/>
              </w:rPr>
            </w:pPr>
            <w:r>
              <w:rPr>
                <w:szCs w:val="22"/>
              </w:rPr>
              <w:t>s. 71(2)(e)</w:t>
            </w:r>
          </w:p>
        </w:tc>
        <w:tc>
          <w:tcPr>
            <w:tcW w:w="2835" w:type="dxa"/>
            <w:noWrap/>
          </w:tcPr>
          <w:p>
            <w:pPr>
              <w:pStyle w:val="yTableNAm"/>
              <w:ind w:right="1037"/>
              <w:jc w:val="right"/>
              <w:rPr>
                <w:szCs w:val="22"/>
              </w:rPr>
            </w:pPr>
            <w:r>
              <w:rPr>
                <w:szCs w:val="22"/>
              </w:rPr>
              <w:t>7 928.00</w:t>
            </w:r>
          </w:p>
        </w:tc>
      </w:tr>
      <w:tr>
        <w:trPr>
          <w:cantSplit/>
          <w:jc w:val="center"/>
        </w:trPr>
        <w:tc>
          <w:tcPr>
            <w:tcW w:w="1276" w:type="dxa"/>
            <w:noWrap/>
          </w:tcPr>
          <w:p>
            <w:pPr>
              <w:pStyle w:val="yTableNAm"/>
              <w:rPr>
                <w:szCs w:val="22"/>
              </w:rPr>
            </w:pPr>
            <w:r>
              <w:rPr>
                <w:szCs w:val="22"/>
              </w:rPr>
              <w:t>15.</w:t>
            </w:r>
          </w:p>
        </w:tc>
        <w:tc>
          <w:tcPr>
            <w:tcW w:w="2126" w:type="dxa"/>
            <w:noWrap/>
          </w:tcPr>
          <w:p>
            <w:pPr>
              <w:pStyle w:val="yTableNAm"/>
              <w:rPr>
                <w:szCs w:val="22"/>
              </w:rPr>
            </w:pPr>
            <w:r>
              <w:rPr>
                <w:szCs w:val="22"/>
              </w:rPr>
              <w:t>s. 79(2)</w:t>
            </w:r>
          </w:p>
        </w:tc>
        <w:tc>
          <w:tcPr>
            <w:tcW w:w="2835" w:type="dxa"/>
            <w:noWrap/>
          </w:tcPr>
          <w:p>
            <w:pPr>
              <w:pStyle w:val="yTableNAm"/>
              <w:ind w:right="1037"/>
              <w:jc w:val="right"/>
              <w:rPr>
                <w:szCs w:val="22"/>
              </w:rPr>
            </w:pPr>
            <w:r>
              <w:rPr>
                <w:szCs w:val="22"/>
              </w:rPr>
              <w:t>149.00</w:t>
            </w:r>
          </w:p>
        </w:tc>
      </w:tr>
      <w:tr>
        <w:trPr>
          <w:cantSplit/>
          <w:jc w:val="center"/>
        </w:trPr>
        <w:tc>
          <w:tcPr>
            <w:tcW w:w="1276" w:type="dxa"/>
            <w:noWrap/>
          </w:tcPr>
          <w:p>
            <w:pPr>
              <w:pStyle w:val="yTableNAm"/>
              <w:rPr>
                <w:szCs w:val="22"/>
              </w:rPr>
            </w:pPr>
            <w:r>
              <w:rPr>
                <w:szCs w:val="22"/>
              </w:rPr>
              <w:t>16.</w:t>
            </w:r>
          </w:p>
        </w:tc>
        <w:tc>
          <w:tcPr>
            <w:tcW w:w="2126" w:type="dxa"/>
            <w:noWrap/>
          </w:tcPr>
          <w:p>
            <w:pPr>
              <w:pStyle w:val="yTableNAm"/>
              <w:rPr>
                <w:szCs w:val="22"/>
              </w:rPr>
            </w:pPr>
            <w:r>
              <w:rPr>
                <w:szCs w:val="22"/>
              </w:rPr>
              <w:t>s. 79(3)(b)</w:t>
            </w:r>
          </w:p>
        </w:tc>
        <w:tc>
          <w:tcPr>
            <w:tcW w:w="2835" w:type="dxa"/>
            <w:noWrap/>
          </w:tcPr>
          <w:p>
            <w:pPr>
              <w:pStyle w:val="yTableNAm"/>
              <w:ind w:right="1037"/>
              <w:jc w:val="right"/>
              <w:rPr>
                <w:szCs w:val="22"/>
              </w:rPr>
            </w:pPr>
            <w:r>
              <w:rPr>
                <w:szCs w:val="22"/>
              </w:rPr>
              <w:t>142.00</w:t>
            </w:r>
          </w:p>
        </w:tc>
      </w:tr>
      <w:tr>
        <w:trPr>
          <w:cantSplit/>
          <w:jc w:val="center"/>
        </w:trPr>
        <w:tc>
          <w:tcPr>
            <w:tcW w:w="1276" w:type="dxa"/>
            <w:noWrap/>
          </w:tcPr>
          <w:p>
            <w:pPr>
              <w:pStyle w:val="yTableNAm"/>
              <w:rPr>
                <w:szCs w:val="22"/>
              </w:rPr>
            </w:pPr>
            <w:r>
              <w:rPr>
                <w:szCs w:val="22"/>
              </w:rPr>
              <w:lastRenderedPageBreak/>
              <w:t>17.</w:t>
            </w:r>
          </w:p>
        </w:tc>
        <w:tc>
          <w:tcPr>
            <w:tcW w:w="2126" w:type="dxa"/>
            <w:noWrap/>
          </w:tcPr>
          <w:p>
            <w:pPr>
              <w:pStyle w:val="yTableNAm"/>
              <w:rPr>
                <w:szCs w:val="22"/>
              </w:rPr>
            </w:pPr>
            <w:r>
              <w:rPr>
                <w:szCs w:val="22"/>
              </w:rPr>
              <w:t>s. 86(1)</w:t>
            </w:r>
          </w:p>
        </w:tc>
        <w:tc>
          <w:tcPr>
            <w:tcW w:w="2835" w:type="dxa"/>
            <w:noWrap/>
          </w:tcPr>
          <w:p>
            <w:pPr>
              <w:pStyle w:val="yTableNAm"/>
              <w:ind w:right="1037"/>
              <w:jc w:val="right"/>
              <w:rPr>
                <w:szCs w:val="22"/>
              </w:rPr>
            </w:pPr>
            <w:r>
              <w:rPr>
                <w:szCs w:val="22"/>
              </w:rPr>
              <w:t>142.00</w:t>
            </w:r>
          </w:p>
        </w:tc>
      </w:tr>
      <w:tr>
        <w:trPr>
          <w:cantSplit/>
          <w:jc w:val="center"/>
        </w:trPr>
        <w:tc>
          <w:tcPr>
            <w:tcW w:w="1276" w:type="dxa"/>
            <w:noWrap/>
          </w:tcPr>
          <w:p>
            <w:pPr>
              <w:pStyle w:val="yTableNAm"/>
              <w:rPr>
                <w:szCs w:val="22"/>
              </w:rPr>
            </w:pPr>
            <w:r>
              <w:rPr>
                <w:szCs w:val="22"/>
              </w:rPr>
              <w:t>18.</w:t>
            </w:r>
          </w:p>
        </w:tc>
        <w:tc>
          <w:tcPr>
            <w:tcW w:w="2126" w:type="dxa"/>
            <w:noWrap/>
          </w:tcPr>
          <w:p>
            <w:pPr>
              <w:pStyle w:val="yTableNAm"/>
              <w:rPr>
                <w:szCs w:val="22"/>
              </w:rPr>
            </w:pPr>
            <w:r>
              <w:rPr>
                <w:szCs w:val="22"/>
              </w:rPr>
              <w:t>s. 87(3)</w:t>
            </w:r>
          </w:p>
        </w:tc>
        <w:tc>
          <w:tcPr>
            <w:tcW w:w="2835" w:type="dxa"/>
            <w:noWrap/>
          </w:tcPr>
          <w:p>
            <w:pPr>
              <w:pStyle w:val="yTableNAm"/>
              <w:ind w:right="1037"/>
              <w:jc w:val="right"/>
              <w:rPr>
                <w:szCs w:val="22"/>
              </w:rPr>
            </w:pPr>
            <w:r>
              <w:rPr>
                <w:szCs w:val="22"/>
              </w:rPr>
              <w:t>142.00</w:t>
            </w:r>
          </w:p>
        </w:tc>
      </w:tr>
      <w:tr>
        <w:trPr>
          <w:cantSplit/>
          <w:jc w:val="center"/>
        </w:trPr>
        <w:tc>
          <w:tcPr>
            <w:tcW w:w="1276" w:type="dxa"/>
            <w:noWrap/>
          </w:tcPr>
          <w:p>
            <w:pPr>
              <w:pStyle w:val="yTableNAm"/>
              <w:rPr>
                <w:szCs w:val="22"/>
              </w:rPr>
            </w:pPr>
            <w:r>
              <w:rPr>
                <w:szCs w:val="22"/>
              </w:rPr>
              <w:t>19.</w:t>
            </w:r>
          </w:p>
        </w:tc>
        <w:tc>
          <w:tcPr>
            <w:tcW w:w="2126" w:type="dxa"/>
            <w:noWrap/>
          </w:tcPr>
          <w:p>
            <w:pPr>
              <w:pStyle w:val="yTableNAm"/>
              <w:rPr>
                <w:szCs w:val="22"/>
              </w:rPr>
            </w:pPr>
            <w:r>
              <w:rPr>
                <w:szCs w:val="22"/>
              </w:rPr>
              <w:t>s. 111(2)(d)</w:t>
            </w:r>
          </w:p>
        </w:tc>
        <w:tc>
          <w:tcPr>
            <w:tcW w:w="2835" w:type="dxa"/>
            <w:noWrap/>
          </w:tcPr>
          <w:p>
            <w:pPr>
              <w:pStyle w:val="yTableNAm"/>
              <w:ind w:right="1037"/>
              <w:jc w:val="right"/>
              <w:rPr>
                <w:szCs w:val="22"/>
              </w:rPr>
            </w:pPr>
            <w:r>
              <w:rPr>
                <w:szCs w:val="22"/>
              </w:rPr>
              <w:t>7 928.00</w:t>
            </w:r>
          </w:p>
        </w:tc>
      </w:tr>
      <w:tr>
        <w:trPr>
          <w:cantSplit/>
          <w:jc w:val="center"/>
        </w:trPr>
        <w:tc>
          <w:tcPr>
            <w:tcW w:w="1276" w:type="dxa"/>
            <w:noWrap/>
          </w:tcPr>
          <w:p>
            <w:pPr>
              <w:pStyle w:val="yTableNAm"/>
              <w:rPr>
                <w:szCs w:val="22"/>
              </w:rPr>
            </w:pPr>
            <w:r>
              <w:rPr>
                <w:szCs w:val="22"/>
              </w:rPr>
              <w:t>20.</w:t>
            </w:r>
          </w:p>
        </w:tc>
        <w:tc>
          <w:tcPr>
            <w:tcW w:w="2126" w:type="dxa"/>
            <w:noWrap/>
          </w:tcPr>
          <w:p>
            <w:pPr>
              <w:pStyle w:val="yTableNAm"/>
              <w:rPr>
                <w:szCs w:val="22"/>
              </w:rPr>
            </w:pPr>
            <w:r>
              <w:rPr>
                <w:szCs w:val="22"/>
              </w:rPr>
              <w:t>s. 141</w:t>
            </w:r>
          </w:p>
        </w:tc>
        <w:tc>
          <w:tcPr>
            <w:tcW w:w="2835" w:type="dxa"/>
            <w:noWrap/>
          </w:tcPr>
          <w:p>
            <w:pPr>
              <w:pStyle w:val="yTableNAm"/>
              <w:ind w:right="1037"/>
              <w:jc w:val="right"/>
              <w:rPr>
                <w:szCs w:val="22"/>
              </w:rPr>
            </w:pPr>
            <w:r>
              <w:rPr>
                <w:szCs w:val="22"/>
              </w:rPr>
              <w:t>228.00</w:t>
            </w:r>
          </w:p>
        </w:tc>
      </w:tr>
    </w:tbl>
    <w:p>
      <w:pPr>
        <w:pStyle w:val="yFootnotesection"/>
      </w:pPr>
      <w:r>
        <w:tab/>
        <w:t>[Schedule 1 inserted: SL 2022/58 r. 27.]</w:t>
      </w:r>
    </w:p>
    <w:bookmarkEnd w:id="21"/>
    <w:p>
      <w:pPr>
        <w:pStyle w:val="yFootnotesection"/>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3" w:name="_Toc106874522"/>
      <w:bookmarkStart w:id="24" w:name="_Toc106874747"/>
      <w:bookmarkStart w:id="25" w:name="_Toc106895093"/>
      <w:r>
        <w:rPr>
          <w:rStyle w:val="CharSchNo"/>
        </w:rPr>
        <w:lastRenderedPageBreak/>
        <w:t>Schedule 2</w:t>
      </w:r>
      <w:bookmarkEnd w:id="23"/>
      <w:bookmarkEnd w:id="24"/>
      <w:bookmarkEnd w:id="25"/>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8"/>
          <w:pgSz w:w="11907" w:h="16840" w:code="9"/>
          <w:pgMar w:top="2381" w:right="2409" w:bottom="3543" w:left="2409" w:header="720" w:footer="3380" w:gutter="0"/>
          <w:cols w:space="720"/>
          <w:noEndnote/>
          <w:docGrid w:linePitch="326"/>
        </w:sectPr>
      </w:pPr>
    </w:p>
    <w:p>
      <w:pPr>
        <w:pStyle w:val="nHeading2"/>
      </w:pPr>
      <w:bookmarkStart w:id="26" w:name="_Toc106874523"/>
      <w:bookmarkStart w:id="27" w:name="_Toc106874748"/>
      <w:bookmarkStart w:id="28" w:name="_Toc106895094"/>
      <w:r>
        <w:lastRenderedPageBreak/>
        <w:t>Notes</w:t>
      </w:r>
      <w:bookmarkEnd w:id="26"/>
      <w:bookmarkEnd w:id="27"/>
      <w:bookmarkEnd w:id="28"/>
    </w:p>
    <w:p>
      <w:pPr>
        <w:pStyle w:val="nStatement"/>
      </w:pPr>
      <w:r>
        <w:t xml:space="preserve">This is a compilation of the </w:t>
      </w:r>
      <w:r>
        <w:rPr>
          <w:i/>
          <w:noProof/>
        </w:rPr>
        <w:t>Petroleum (Submerged Lands) Regulations 1990</w:t>
      </w:r>
      <w:r>
        <w:t xml:space="preserve"> and includes amendments made by other written laws. For provisions that have come into operation, and for information about any reprints, see the compilation table.</w:t>
      </w:r>
    </w:p>
    <w:p>
      <w:pPr>
        <w:pStyle w:val="nHeading3"/>
      </w:pPr>
      <w:bookmarkStart w:id="29" w:name="_Toc106895095"/>
      <w:r>
        <w:t>Compilation table</w:t>
      </w:r>
      <w:bookmarkEnd w:id="29"/>
    </w:p>
    <w:tbl>
      <w:tblPr>
        <w:tblW w:w="7125"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7"/>
      </w:tblGrid>
      <w:tr>
        <w:trPr>
          <w:gridAfter w:val="1"/>
          <w:wAfter w:w="37"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3" w:type="dxa"/>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lastRenderedPageBreak/>
              <w:t>Petroleum (Submerged Lands) Amendment Regulations (No. 2) 2010</w:t>
            </w:r>
          </w:p>
        </w:tc>
        <w:tc>
          <w:tcPr>
            <w:tcW w:w="1276" w:type="dxa"/>
          </w:tcPr>
          <w:p>
            <w:pPr>
              <w:pStyle w:val="nTable"/>
              <w:spacing w:after="40"/>
            </w:pPr>
            <w:r>
              <w:t>11 May 2010 p. 1819</w:t>
            </w:r>
            <w:r>
              <w:noBreakHyphen/>
              <w:t>21</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3" w:type="dxa"/>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3"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693"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pPr>
            <w:r>
              <w:rPr>
                <w:i/>
              </w:rPr>
              <w:lastRenderedPageBreak/>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693" w:type="dxa"/>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pPr>
              <w:pStyle w:val="nTable"/>
              <w:spacing w:after="40"/>
            </w:pPr>
            <w:r>
              <w:t>23 Jun 2017 p. 3279</w:t>
            </w:r>
            <w:r>
              <w:noBreakHyphen/>
              <w:t>309</w:t>
            </w:r>
          </w:p>
        </w:tc>
        <w:tc>
          <w:tcPr>
            <w:tcW w:w="273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12</w:t>
            </w:r>
          </w:p>
        </w:tc>
        <w:tc>
          <w:tcPr>
            <w:tcW w:w="1276" w:type="dxa"/>
            <w:tcBorders>
              <w:top w:val="nil"/>
              <w:bottom w:val="nil"/>
            </w:tcBorders>
          </w:tcPr>
          <w:p>
            <w:pPr>
              <w:pStyle w:val="nTable"/>
              <w:spacing w:after="40"/>
            </w:pPr>
            <w:r>
              <w:t>25 Jun 2018 p. 2297</w:t>
            </w:r>
            <w:r>
              <w:noBreakHyphen/>
              <w:t>324</w:t>
            </w:r>
          </w:p>
        </w:tc>
        <w:tc>
          <w:tcPr>
            <w:tcW w:w="2730"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11</w:t>
            </w:r>
          </w:p>
        </w:tc>
        <w:tc>
          <w:tcPr>
            <w:tcW w:w="1276" w:type="dxa"/>
            <w:tcBorders>
              <w:top w:val="nil"/>
              <w:bottom w:val="nil"/>
            </w:tcBorders>
          </w:tcPr>
          <w:p>
            <w:pPr>
              <w:pStyle w:val="nTable"/>
              <w:spacing w:after="40"/>
            </w:pPr>
            <w:r>
              <w:t>18 Jun 2019 p. 2040</w:t>
            </w:r>
            <w:r>
              <w:noBreakHyphen/>
              <w:t>56</w:t>
            </w:r>
          </w:p>
        </w:tc>
        <w:tc>
          <w:tcPr>
            <w:tcW w:w="2730" w:type="dxa"/>
            <w:gridSpan w:val="2"/>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11</w:t>
            </w:r>
          </w:p>
        </w:tc>
        <w:tc>
          <w:tcPr>
            <w:tcW w:w="1276" w:type="dxa"/>
            <w:tcBorders>
              <w:top w:val="nil"/>
              <w:bottom w:val="nil"/>
            </w:tcBorders>
          </w:tcPr>
          <w:p>
            <w:pPr>
              <w:pStyle w:val="nTable"/>
              <w:spacing w:after="40"/>
            </w:pPr>
            <w:r>
              <w:t>SL 2020/93 26 Jun 2020</w:t>
            </w:r>
          </w:p>
        </w:tc>
        <w:tc>
          <w:tcPr>
            <w:tcW w:w="2730"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15</w:t>
            </w:r>
          </w:p>
        </w:tc>
        <w:tc>
          <w:tcPr>
            <w:tcW w:w="1276" w:type="dxa"/>
            <w:tcBorders>
              <w:top w:val="nil"/>
              <w:bottom w:val="nil"/>
            </w:tcBorders>
          </w:tcPr>
          <w:p>
            <w:pPr>
              <w:pStyle w:val="nTable"/>
              <w:spacing w:after="40"/>
            </w:pPr>
            <w:r>
              <w:t>SL 2021/85 21 Jun 2021</w:t>
            </w:r>
          </w:p>
        </w:tc>
        <w:tc>
          <w:tcPr>
            <w:tcW w:w="2730" w:type="dxa"/>
            <w:gridSpan w:val="2"/>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2022</w:t>
            </w:r>
            <w:r>
              <w:t xml:space="preserve"> Pt. 11</w:t>
            </w:r>
          </w:p>
        </w:tc>
        <w:tc>
          <w:tcPr>
            <w:tcW w:w="1276" w:type="dxa"/>
            <w:tcBorders>
              <w:top w:val="nil"/>
              <w:bottom w:val="single" w:sz="4" w:space="0" w:color="auto"/>
            </w:tcBorders>
          </w:tcPr>
          <w:p>
            <w:pPr>
              <w:pStyle w:val="nTable"/>
              <w:spacing w:after="40"/>
            </w:pPr>
            <w:r>
              <w:t>SL 2022/58 20 May 2022</w:t>
            </w:r>
          </w:p>
        </w:tc>
        <w:tc>
          <w:tcPr>
            <w:tcW w:w="2730" w:type="dxa"/>
            <w:gridSpan w:val="2"/>
            <w:tcBorders>
              <w:top w:val="nil"/>
              <w:bottom w:val="single" w:sz="4" w:space="0" w:color="auto"/>
            </w:tcBorders>
          </w:tcPr>
          <w:p>
            <w:pPr>
              <w:pStyle w:val="nTable"/>
              <w:spacing w:after="40"/>
            </w:pPr>
            <w:r>
              <w:t>1 Jul 2022 (see r. 2(b))</w:t>
            </w:r>
          </w:p>
        </w:tc>
      </w:tr>
    </w:tbl>
    <w:p>
      <w:pPr>
        <w:pStyle w:val="nHeading3"/>
      </w:pPr>
      <w:bookmarkStart w:id="30" w:name="_Toc106895096"/>
      <w:r>
        <w:t>Other notes</w:t>
      </w:r>
      <w:bookmarkEnd w:id="30"/>
    </w:p>
    <w:p>
      <w:pPr>
        <w:pStyle w:val="nNote"/>
        <w:spacing w:before="160"/>
      </w:pPr>
      <w:r>
        <w:rPr>
          <w:vertAlign w:val="superscript"/>
        </w:rPr>
        <w:t>1</w:t>
      </w:r>
      <w:r>
        <w:tab/>
        <w:t xml:space="preserve">Commencement day was 16 December 2000 (see </w:t>
      </w:r>
      <w:r>
        <w:rPr>
          <w:i/>
        </w:rPr>
        <w:t>Gazette</w:t>
      </w:r>
      <w:r>
        <w:t xml:space="preserve"> 15 Dec 2000 p. 7201).</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2" w:name="_Toc106874527"/>
      <w:bookmarkStart w:id="33" w:name="_Toc106874751"/>
      <w:bookmarkStart w:id="34" w:name="_Toc106895097"/>
      <w:r>
        <w:rPr>
          <w:sz w:val="28"/>
        </w:rPr>
        <w:lastRenderedPageBreak/>
        <w:t>Defined terms</w:t>
      </w:r>
      <w:bookmarkEnd w:id="32"/>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2A</w:t>
      </w:r>
    </w:p>
    <w:p>
      <w:pPr>
        <w:pStyle w:val="DefinedTerms"/>
      </w:pPr>
      <w:r>
        <w:t>commencement day</w:t>
      </w:r>
      <w:r>
        <w:tab/>
        <w:t>10(4)</w:t>
      </w:r>
    </w:p>
    <w:p>
      <w:pPr>
        <w:pStyle w:val="DefinedTerms"/>
      </w:pPr>
      <w:r>
        <w:t>dealing</w:t>
      </w:r>
      <w:r>
        <w:tab/>
        <w:t>5(1)</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Prescribed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 w:name="Coversheet"/>
    <w:bookmarkEnd w:id="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847"/>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 w:name="WAFER_20200626092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820_GUID" w:val="c34ae22b-a623-433d-92d7-7dfd10ef12ea"/>
    <w:docVar w:name="WAFER_20210618153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3820_GUID" w:val="d72083f5-92b5-447b-a1fb-8cbc011931a5"/>
    <w:docVar w:name="WAFER_202106241339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04_GUID" w:val="18f7e6bf-c0b0-4782-8194-9ee79aa0cd3b"/>
    <w:docVar w:name="WAFER_202205171520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02_GUID" w:val="2fbf666c-5030-4ecb-870e-5fdf40e7cdbf"/>
    <w:docVar w:name="WAFER_202206230928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47_GUID" w:val="754951ce-7959-4c98-a648-eea0f1a2f7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1D19-A8C1-48B1-9523-1B8DE84D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3407</Words>
  <Characters>16630</Characters>
  <Application>Microsoft Office Word</Application>
  <DocSecurity>0</DocSecurity>
  <Lines>665</Lines>
  <Paragraphs>445</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1990 - 03-l0-00</dc:title>
  <dc:subject/>
  <dc:creator/>
  <cp:keywords/>
  <dc:description/>
  <cp:lastModifiedBy>Master Repository Process</cp:lastModifiedBy>
  <cp:revision>4</cp:revision>
  <cp:lastPrinted>2014-11-25T02:07:00Z</cp:lastPrinted>
  <dcterms:created xsi:type="dcterms:W3CDTF">2022-06-30T01:03:00Z</dcterms:created>
  <dcterms:modified xsi:type="dcterms:W3CDTF">2022-06-30T01:03:00Z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AsAtDate">
    <vt:lpwstr>01 Jul 2022</vt:lpwstr>
  </property>
  <property fmtid="{D5CDD505-2E9C-101B-9397-08002B2CF9AE}" pid="8" name="Suffix">
    <vt:lpwstr>03-l0-00</vt:lpwstr>
  </property>
  <property fmtid="{D5CDD505-2E9C-101B-9397-08002B2CF9AE}" pid="9" name="CommencementDate">
    <vt:lpwstr>20220701</vt:lpwstr>
  </property>
</Properties>
</file>