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_Toc106792906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_Toc106792907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_Toc106792908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_Toc106792909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_Toc106792910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_Toc106792911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_Toc106792913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_Toc106792914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_Toc106792915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_Toc106792918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_Toc106792919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_Toc106792920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_Toc106792921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_Toc106792922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_Toc106792924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codes of ethics and codes of conduct, establishing etc.</w:t>
      </w:r>
      <w:r>
        <w:tab/>
      </w:r>
      <w:r>
        <w:fldChar w:fldCharType="begin"/>
      </w:r>
      <w:r>
        <w:instrText xml:space="preserve"> PAGEREF _Toc106792925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_Toc106792926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_Toc106792927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_Toc106792928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_Toc106792929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_Toc106792930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_Toc106792931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_Toc106792932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_Toc106792933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_Toc106792934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_Toc106792937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_Toc106792938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_Toc106792939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_Toc106792940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_Toc106792941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_Toc106792942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_Toc106792943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_Toc106792945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_Toc106792946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_Toc106792947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_Toc106792948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_Toc106792950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_Toc106792952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_Toc106792953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_Toc106792954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_Toc106792956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_Toc106792957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_Toc106792958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_Toc106792959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_Toc106792960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_Toc106792963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_Toc106792964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_Toc106792965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_Toc106792966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_Toc106792967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_Toc106792968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_Toc106792969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_Toc106792970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_Toc106792972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_Toc106792973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_Toc106792974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_Toc106792975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_Toc106792976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_Toc106792977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_Toc106792978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_Toc106792979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_Toc106792980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_Toc106792981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_Toc106792982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Senior executive officers, transfer of</w:t>
      </w:r>
      <w:r>
        <w:tab/>
      </w:r>
      <w:r>
        <w:fldChar w:fldCharType="begin"/>
      </w:r>
      <w:r>
        <w:instrText xml:space="preserve"> PAGEREF _Toc106792983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_Toc106792984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_Toc106792985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_Toc106792986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_Toc106792987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_Toc106792988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_Toc106792989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_Toc106792990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_Toc106792991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_Toc106792992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_Toc106792994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_Toc106792995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_Toc106792996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_Toc106792997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_Toc106793000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_Toc106793001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_Toc106793002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_Toc106793003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_Toc106793004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_Toc106793005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_Toc106793006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_Toc106793008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_Toc106793011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_Toc106793012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_Toc106793013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_Toc106793015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_Toc106793017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_Toc106793018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_Toc106793019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_Toc106793020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_Toc106793021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_Toc106793022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_Toc106793023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_Toc106793024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_Toc106793025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_Toc106793026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_Toc106793027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_Toc106793028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_Toc106793030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_Toc106793031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_Toc106793032 \h </w:instrText>
      </w:r>
      <w:r>
        <w:fldChar w:fldCharType="separate"/>
      </w:r>
      <w:r>
        <w:t>96</w:t>
      </w:r>
      <w:r>
        <w:fldChar w:fldCharType="end"/>
      </w:r>
    </w:p>
    <w:p>
      <w:pPr>
        <w:pStyle w:val="TOC8"/>
        <w:rPr>
          <w:rFonts w:asciiTheme="minorHAnsi" w:eastAsiaTheme="minorEastAsia" w:hAnsiTheme="minorHAnsi" w:cstheme="minorBidi"/>
          <w:szCs w:val="22"/>
        </w:rPr>
      </w:pPr>
      <w:r>
        <w:lastRenderedPageBreak/>
        <w:t>95B.</w:t>
      </w:r>
      <w:r>
        <w:tab/>
        <w:t>Inconsistent provisions, instruments and contracts</w:t>
      </w:r>
      <w:r>
        <w:tab/>
      </w:r>
      <w:r>
        <w:fldChar w:fldCharType="begin"/>
      </w:r>
      <w:r>
        <w:instrText xml:space="preserve"> PAGEREF _Toc106793033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_Toc106793034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_Toc106793035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_Toc106793036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_Toc106793038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_Toc106793039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_Toc106793040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_Toc106793042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_Toc106793043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_Toc106793044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_Toc106793045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_Toc106793046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_Toc106793047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_Toc106793048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_Toc106793049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_Toc106793050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_Toc106793051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_Toc106793054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_Toc106793055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_Toc106793056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_Toc106793058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_Toc106793060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_Toc106793064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_Toc106793065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_Toc106793066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_Toc106793067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_Toc106793068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_Toc106793069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_Toc106793072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_Toc106793073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_Toc106793074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_Toc106793075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_Toc106793076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_Toc106793077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_Toc106793078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_Toc106793079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_Toc106793080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_Toc106793081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_Toc106793082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_Toc106793083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_Toc106793084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_Toc106793085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_Toc106793086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_Toc106793087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_Toc106793088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_Toc106793089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_Toc106793090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_Toc106793091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_Toc106793093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_Toc106793094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_Toc106793095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_Toc106793096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_Toc106793098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_Toc106793099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_Toc106793100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_Toc106793101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_Toc106793102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_Toc106793103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_Toc106793104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_Toc106793105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_Toc106793106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_Toc106793107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_Toc106793108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_Toc106793109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_Toc106793110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_Toc106793112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_Toc106793113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_Toc106793114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_Toc106793115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_Toc106793116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_Toc106793117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_Toc106793118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_Toc106793120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_Toc106793121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_Toc106793122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106788996"/>
      <w:bookmarkStart w:id="4" w:name="_Toc106789331"/>
      <w:bookmarkStart w:id="5" w:name="_Toc10679290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6792906"/>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10679290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0679290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lastRenderedPageBreak/>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lastRenderedPageBreak/>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lastRenderedPageBreak/>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106792909"/>
      <w:r>
        <w:rPr>
          <w:rStyle w:val="CharSectno"/>
        </w:rPr>
        <w:lastRenderedPageBreak/>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106792910"/>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lastRenderedPageBreak/>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lastRenderedPageBreak/>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106792911"/>
      <w:r>
        <w:rPr>
          <w:rStyle w:val="CharSectno"/>
        </w:rPr>
        <w:t>6</w:t>
      </w:r>
      <w:r>
        <w:rPr>
          <w:snapToGrid w:val="0"/>
        </w:rPr>
        <w:t>.</w:t>
      </w:r>
      <w:r>
        <w:rPr>
          <w:snapToGrid w:val="0"/>
        </w:rPr>
        <w:tab/>
        <w:t xml:space="preserve">Crown bound; application of </w:t>
      </w:r>
      <w:r>
        <w:rPr>
          <w:i/>
          <w:snapToGrid w:val="0"/>
        </w:rPr>
        <w:t>Industrial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106789003"/>
      <w:bookmarkStart w:id="13" w:name="_Toc106789338"/>
      <w:bookmarkStart w:id="14" w:name="_Toc106792912"/>
      <w:r>
        <w:rPr>
          <w:rStyle w:val="CharPartNo"/>
        </w:rPr>
        <w:lastRenderedPageBreak/>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106792913"/>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lastRenderedPageBreak/>
        <w:tab/>
        <w:t>(h)</w:t>
      </w:r>
      <w:r>
        <w:rPr>
          <w:snapToGrid w:val="0"/>
        </w:rPr>
        <w:tab/>
        <w:t>proper standards are to be maintained at all times in the creation, management, maintenance and retention of records.</w:t>
      </w:r>
    </w:p>
    <w:p>
      <w:pPr>
        <w:pStyle w:val="Heading5"/>
        <w:rPr>
          <w:snapToGrid w:val="0"/>
        </w:rPr>
      </w:pPr>
      <w:bookmarkStart w:id="16" w:name="_Toc106792914"/>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rPr>
        <w:t>Work Health and Safety Act 2020</w:t>
      </w:r>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lastRenderedPageBreak/>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No. 36 of 2020 s. 366.] </w:t>
      </w:r>
    </w:p>
    <w:p>
      <w:pPr>
        <w:pStyle w:val="Heading5"/>
        <w:rPr>
          <w:snapToGrid w:val="0"/>
        </w:rPr>
      </w:pPr>
      <w:bookmarkStart w:id="17" w:name="_Toc106792915"/>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106789007"/>
      <w:bookmarkStart w:id="19" w:name="_Toc106789342"/>
      <w:bookmarkStart w:id="20" w:name="_Toc106792916"/>
      <w:r>
        <w:rPr>
          <w:rStyle w:val="CharPartNo"/>
        </w:rPr>
        <w:lastRenderedPageBreak/>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106789008"/>
      <w:bookmarkStart w:id="22" w:name="_Toc106789343"/>
      <w:bookmarkStart w:id="23" w:name="_Toc106792917"/>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106792918"/>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106792919"/>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106792920"/>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lastRenderedPageBreak/>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w:t>
      </w:r>
      <w:r>
        <w:rPr>
          <w:i/>
          <w:snapToGrid w:val="0"/>
        </w:rPr>
        <w:lastRenderedPageBreak/>
        <w:t xml:space="preserve">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106792921"/>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106792922"/>
      <w:r>
        <w:rPr>
          <w:rStyle w:val="CharSectno"/>
        </w:rPr>
        <w:lastRenderedPageBreak/>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 xml:space="preserve">A person who ceases to hold the office of Commissioner and is employed in a department or organisation retains existing and accruing entitlements in respect of leave of absence as if service </w:t>
      </w:r>
      <w:r>
        <w:rPr>
          <w:snapToGrid w:val="0"/>
        </w:rPr>
        <w:lastRenderedPageBreak/>
        <w:t>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106789014"/>
      <w:bookmarkStart w:id="30" w:name="_Toc106789349"/>
      <w:bookmarkStart w:id="31" w:name="_Toc106792923"/>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106792924"/>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106792925"/>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 xml:space="preserve">the recruitment, selection, appointment, transfer, secondment, performance management, </w:t>
      </w:r>
      <w:r>
        <w:rPr>
          <w:snapToGrid w:val="0"/>
        </w:rPr>
        <w:lastRenderedPageBreak/>
        <w:t>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 xml:space="preserve">In establishing, amending or repealing any public sector standards, the Commissioner shall take into account the impact </w:t>
      </w:r>
      <w:r>
        <w:rPr>
          <w:snapToGrid w:val="0"/>
        </w:rPr>
        <w:lastRenderedPageBreak/>
        <w:t>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lastRenderedPageBreak/>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106792926"/>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lastRenderedPageBreak/>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lastRenderedPageBreak/>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106792927"/>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106792928"/>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106792929"/>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 xml:space="preserve">compliance by public sector bodies and employees, either generally or in particular, with the principles set out in sections 8(1)(a), (b) and (c) </w:t>
      </w:r>
      <w:r>
        <w:lastRenderedPageBreak/>
        <w:t>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106792930"/>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106792931"/>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lastRenderedPageBreak/>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106792932"/>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106792933"/>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106792934"/>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lastRenderedPageBreak/>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106789026"/>
      <w:bookmarkStart w:id="44" w:name="_Toc106789361"/>
      <w:bookmarkStart w:id="45" w:name="_Toc106792935"/>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106789027"/>
      <w:bookmarkStart w:id="47" w:name="_Toc106789362"/>
      <w:bookmarkStart w:id="48" w:name="_Toc106792936"/>
      <w:r>
        <w:t>Subdivision 1 — Reviews</w:t>
      </w:r>
      <w:bookmarkEnd w:id="46"/>
      <w:bookmarkEnd w:id="47"/>
      <w:bookmarkEnd w:id="48"/>
    </w:p>
    <w:p>
      <w:pPr>
        <w:pStyle w:val="Footnoteheading"/>
      </w:pPr>
      <w:r>
        <w:tab/>
        <w:t>[Heading inserted: No. 39 of 2010 s. 23.]</w:t>
      </w:r>
    </w:p>
    <w:p>
      <w:pPr>
        <w:pStyle w:val="Heading5"/>
      </w:pPr>
      <w:bookmarkStart w:id="49" w:name="_Toc106792937"/>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106792938"/>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lastRenderedPageBreak/>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106792939"/>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106792940"/>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lastRenderedPageBreak/>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106792941"/>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106792942"/>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106792943"/>
      <w:r>
        <w:rPr>
          <w:rStyle w:val="CharSectno"/>
        </w:rPr>
        <w:lastRenderedPageBreak/>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106789035"/>
      <w:bookmarkStart w:id="57" w:name="_Toc106789370"/>
      <w:bookmarkStart w:id="58" w:name="_Toc106792944"/>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106792945"/>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 xml:space="preserve">If the Commissioner refuses to comply with a direction given under subsection (2) the Commissioner must prepare written </w:t>
      </w:r>
      <w:r>
        <w:lastRenderedPageBreak/>
        <w:t>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106792946"/>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106792947"/>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lastRenderedPageBreak/>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106792948"/>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106789040"/>
      <w:bookmarkStart w:id="64" w:name="_Toc106789375"/>
      <w:bookmarkStart w:id="65" w:name="_Toc106792949"/>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106792950"/>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lastRenderedPageBreak/>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106789042"/>
      <w:bookmarkStart w:id="68" w:name="_Toc106789377"/>
      <w:bookmarkStart w:id="69" w:name="_Toc106792951"/>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106792952"/>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lastRenderedPageBreak/>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106792953"/>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lastRenderedPageBreak/>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106792954"/>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106789046"/>
      <w:bookmarkStart w:id="74" w:name="_Toc106789381"/>
      <w:bookmarkStart w:id="75" w:name="_Toc106792955"/>
      <w:r>
        <w:rPr>
          <w:rStyle w:val="CharPartNo"/>
        </w:rPr>
        <w:lastRenderedPageBreak/>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106792956"/>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lastRenderedPageBreak/>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rPr>
        <w:t>Work Health and Safety Act 2020</w:t>
      </w:r>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lastRenderedPageBreak/>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Gazette 15 Aug 2003 p. 3690; No. 39 of 2010 s. 30 and 70; No. 8 of 2014 s. 10; No. 36 of 2020 s. 367.] </w:t>
      </w:r>
    </w:p>
    <w:p>
      <w:pPr>
        <w:pStyle w:val="Heading5"/>
        <w:rPr>
          <w:snapToGrid w:val="0"/>
        </w:rPr>
      </w:pPr>
      <w:bookmarkStart w:id="77" w:name="_Toc106792957"/>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78" w:name="_Toc106792958"/>
      <w:r>
        <w:rPr>
          <w:rStyle w:val="CharSectno"/>
        </w:rPr>
        <w:lastRenderedPageBreak/>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106792959"/>
      <w:r>
        <w:rPr>
          <w:rStyle w:val="CharSectno"/>
        </w:rPr>
        <w:lastRenderedPageBreak/>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106792960"/>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lastRenderedPageBreak/>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106789052"/>
      <w:bookmarkStart w:id="82" w:name="_Toc106789387"/>
      <w:bookmarkStart w:id="83" w:name="_Toc106792961"/>
      <w:r>
        <w:rPr>
          <w:rStyle w:val="CharPartNo"/>
        </w:rPr>
        <w:lastRenderedPageBreak/>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106789053"/>
      <w:bookmarkStart w:id="85" w:name="_Toc106789388"/>
      <w:bookmarkStart w:id="86" w:name="_Toc106792962"/>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106792963"/>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106792964"/>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lastRenderedPageBreak/>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106792965"/>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106792966"/>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w:t>
      </w:r>
      <w:r>
        <w:rPr>
          <w:snapToGrid w:val="0"/>
        </w:rPr>
        <w:lastRenderedPageBreak/>
        <w:t xml:space="preserve">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1067929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106792968"/>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106792969"/>
      <w:r>
        <w:rPr>
          <w:rStyle w:val="CharSectno"/>
        </w:rPr>
        <w:lastRenderedPageBreak/>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106792970"/>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106789062"/>
      <w:bookmarkStart w:id="96" w:name="_Toc106789397"/>
      <w:bookmarkStart w:id="97" w:name="_Toc106792971"/>
      <w:r>
        <w:rPr>
          <w:rStyle w:val="CharDivNo"/>
        </w:rPr>
        <w:lastRenderedPageBreak/>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106792972"/>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106792973"/>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lastRenderedPageBreak/>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lastRenderedPageBreak/>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lastRenderedPageBreak/>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106792974"/>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lastRenderedPageBreak/>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106792975"/>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lastRenderedPageBreak/>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lastRenderedPageBreak/>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106792976"/>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lastRenderedPageBreak/>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106792977"/>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106792978"/>
      <w:r>
        <w:rPr>
          <w:rStyle w:val="CharSectno"/>
        </w:rPr>
        <w:lastRenderedPageBreak/>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106792979"/>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lastRenderedPageBreak/>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106792980"/>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lastRenderedPageBreak/>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106792981"/>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lastRenderedPageBreak/>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106792982"/>
      <w:r>
        <w:rPr>
          <w:rStyle w:val="CharSectno"/>
        </w:rPr>
        <w:lastRenderedPageBreak/>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106792983"/>
      <w:r>
        <w:rPr>
          <w:rStyle w:val="CharSectno"/>
        </w:rPr>
        <w:lastRenderedPageBreak/>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 xml:space="preserve">On the transfer of a senior executive officer under subsection (1), the employing authority of the agency to which that transfer takes place is substituted for the employing authority of the agency from which that transfer takes place as a </w:t>
      </w:r>
      <w:r>
        <w:rPr>
          <w:snapToGrid w:val="0"/>
        </w:rPr>
        <w:lastRenderedPageBreak/>
        <w:t>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106792984"/>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106792985"/>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lastRenderedPageBreak/>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106792986"/>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lastRenderedPageBreak/>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106792987"/>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lastRenderedPageBreak/>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lastRenderedPageBreak/>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106792988"/>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lastRenderedPageBreak/>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106792989"/>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106792990"/>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 xml:space="preserve">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w:t>
      </w:r>
      <w:r>
        <w:rPr>
          <w:snapToGrid w:val="0"/>
        </w:rPr>
        <w:lastRenderedPageBreak/>
        <w:t>department or organisation or that employer during such period as is specified in that arrangement.</w:t>
      </w:r>
    </w:p>
    <w:p>
      <w:pPr>
        <w:pStyle w:val="Heading5"/>
        <w:rPr>
          <w:snapToGrid w:val="0"/>
        </w:rPr>
      </w:pPr>
      <w:bookmarkStart w:id="117" w:name="_Toc106792991"/>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106792992"/>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lastRenderedPageBreak/>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106789084"/>
      <w:bookmarkStart w:id="120" w:name="_Toc106789419"/>
      <w:bookmarkStart w:id="121" w:name="_Toc106792993"/>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106792994"/>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lastRenderedPageBreak/>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106792995"/>
      <w:r>
        <w:rPr>
          <w:rStyle w:val="CharSectno"/>
        </w:rPr>
        <w:lastRenderedPageBreak/>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106792996"/>
      <w:r>
        <w:rPr>
          <w:rStyle w:val="CharSectno"/>
        </w:rPr>
        <w:lastRenderedPageBreak/>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106792997"/>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106789089"/>
      <w:bookmarkStart w:id="127" w:name="_Toc106789424"/>
      <w:bookmarkStart w:id="128" w:name="_Toc106792998"/>
      <w:r>
        <w:rPr>
          <w:rStyle w:val="CharPartNo"/>
        </w:rPr>
        <w:lastRenderedPageBreak/>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106789090"/>
      <w:bookmarkStart w:id="130" w:name="_Toc106789425"/>
      <w:bookmarkStart w:id="131" w:name="_Toc106792999"/>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106793000"/>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106793001"/>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106793002"/>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lastRenderedPageBreak/>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 xml:space="preserve">before the expiry of such period commencing on the payment of the compensation as is prescribed in relation to the amount of the compensation shall forthwith refund to the Treasurer of the State an amount that bears to the amount of the compensation </w:t>
      </w:r>
      <w:r>
        <w:rPr>
          <w:snapToGrid w:val="0"/>
        </w:rPr>
        <w:lastRenderedPageBreak/>
        <w:t>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106793003"/>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106793004"/>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 xml:space="preserve">payment to a ministerial officer in lieu of the period of notice referred to in paragraph (a) of an amount not </w:t>
      </w:r>
      <w:r>
        <w:rPr>
          <w:snapToGrid w:val="0"/>
        </w:rPr>
        <w:lastRenderedPageBreak/>
        <w:t>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106793005"/>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 xml:space="preserve">is not, while he or she remains employed as a ministerial officer or so engaged under a contract for services, eligible to apply for, </w:t>
      </w:r>
      <w:r>
        <w:rPr>
          <w:snapToGrid w:val="0"/>
        </w:rPr>
        <w:lastRenderedPageBreak/>
        <w:t>or to be appointed to, any office, post or position in any department or organisation.</w:t>
      </w:r>
    </w:p>
    <w:p>
      <w:pPr>
        <w:pStyle w:val="Heading5"/>
        <w:rPr>
          <w:snapToGrid w:val="0"/>
        </w:rPr>
      </w:pPr>
      <w:bookmarkStart w:id="138" w:name="_Toc106793006"/>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106789098"/>
      <w:bookmarkStart w:id="140" w:name="_Toc106789433"/>
      <w:bookmarkStart w:id="141" w:name="_Toc106793007"/>
      <w:r>
        <w:rPr>
          <w:rStyle w:val="CharDivNo"/>
        </w:rPr>
        <w:lastRenderedPageBreak/>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106793008"/>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106789100"/>
      <w:bookmarkStart w:id="144" w:name="_Toc106789435"/>
      <w:bookmarkStart w:id="145" w:name="_Toc106793009"/>
      <w:r>
        <w:rPr>
          <w:rStyle w:val="CharPartNo"/>
        </w:rPr>
        <w:lastRenderedPageBreak/>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106789101"/>
      <w:bookmarkStart w:id="147" w:name="_Toc106789436"/>
      <w:bookmarkStart w:id="148" w:name="_Toc106793010"/>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106793011"/>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lastRenderedPageBreak/>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106793012"/>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106793013"/>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lastRenderedPageBreak/>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w:t>
      </w:r>
      <w:r>
        <w:rPr>
          <w:snapToGrid w:val="0"/>
        </w:rPr>
        <w:lastRenderedPageBreak/>
        <w:t xml:space="preserve">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106789105"/>
      <w:bookmarkStart w:id="153" w:name="_Toc106789440"/>
      <w:bookmarkStart w:id="154" w:name="_Toc106793014"/>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106793015"/>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lastRenderedPageBreak/>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lastRenderedPageBreak/>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106789107"/>
      <w:bookmarkStart w:id="157" w:name="_Toc106789442"/>
      <w:bookmarkStart w:id="158" w:name="_Toc106793016"/>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106793017"/>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lastRenderedPageBreak/>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106793018"/>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lastRenderedPageBreak/>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106793019"/>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lastRenderedPageBreak/>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106793020"/>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w:t>
      </w:r>
      <w:r>
        <w:lastRenderedPageBreak/>
        <w:t xml:space="preserve">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106793021"/>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lastRenderedPageBreak/>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106793022"/>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lastRenderedPageBreak/>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106793023"/>
      <w:r>
        <w:rPr>
          <w:rStyle w:val="CharSectno"/>
        </w:rPr>
        <w:lastRenderedPageBreak/>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106793024"/>
      <w:r>
        <w:rPr>
          <w:rStyle w:val="CharSectno"/>
        </w:rPr>
        <w:t>89</w:t>
      </w:r>
      <w:r>
        <w:t>.</w:t>
      </w:r>
      <w:r>
        <w:tab/>
        <w:t>Dismissal of CEO for breach of discipline</w:t>
      </w:r>
      <w:bookmarkEnd w:id="166"/>
    </w:p>
    <w:p>
      <w:pPr>
        <w:pStyle w:val="Subsection"/>
      </w:pPr>
      <w:r>
        <w:tab/>
        <w:t>(1)</w:t>
      </w:r>
      <w:r>
        <w:tab/>
        <w:t xml:space="preserve">If a chief executive officer is the subject of a finding under section 82A(3)(a) or a finding under section 87(3)(a)(i) in respect of a section 94 breach of discipline, the Commissioner must recommend to the Governor that the chief executive </w:t>
      </w:r>
      <w:r>
        <w:lastRenderedPageBreak/>
        <w:t>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106793025"/>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106793026"/>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w:t>
      </w:r>
      <w:r>
        <w:rPr>
          <w:snapToGrid w:val="0"/>
        </w:rPr>
        <w:lastRenderedPageBreak/>
        <w:t>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106793027"/>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106793028"/>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106789120"/>
      <w:bookmarkStart w:id="172" w:name="_Toc106789455"/>
      <w:bookmarkStart w:id="173" w:name="_Toc106793029"/>
      <w:r>
        <w:rPr>
          <w:rStyle w:val="CharPartNo"/>
        </w:rPr>
        <w:lastRenderedPageBreak/>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106793030"/>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106793031"/>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lastRenderedPageBreak/>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w:t>
      </w:r>
      <w:r>
        <w:rPr>
          <w:snapToGrid w:val="0"/>
        </w:rPr>
        <w:lastRenderedPageBreak/>
        <w:t xml:space="preserve">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106793032"/>
      <w:r>
        <w:rPr>
          <w:rStyle w:val="CharSectno"/>
        </w:rPr>
        <w:lastRenderedPageBreak/>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106793033"/>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w:t>
      </w:r>
      <w:r>
        <w:lastRenderedPageBreak/>
        <w:t xml:space="preserve">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106793034"/>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lastRenderedPageBreak/>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106793035"/>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 xml:space="preserve">must confine itself to determining whether or not the employee concerned has been allowed the benefits to </w:t>
      </w:r>
      <w:r>
        <w:lastRenderedPageBreak/>
        <w:t>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106793036"/>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106789128"/>
      <w:bookmarkStart w:id="182" w:name="_Toc106789463"/>
      <w:bookmarkStart w:id="183" w:name="_Toc106793037"/>
      <w:r>
        <w:rPr>
          <w:rStyle w:val="CharPartNo"/>
        </w:rPr>
        <w:lastRenderedPageBreak/>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106793038"/>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106793039"/>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106793040"/>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lastRenderedPageBreak/>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106789132"/>
      <w:bookmarkStart w:id="188" w:name="_Toc106789467"/>
      <w:bookmarkStart w:id="189" w:name="_Toc106793041"/>
      <w:r>
        <w:rPr>
          <w:rStyle w:val="CharPartNo"/>
        </w:rPr>
        <w:lastRenderedPageBreak/>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106793042"/>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106793043"/>
      <w:r>
        <w:rPr>
          <w:rStyle w:val="CharSectno"/>
        </w:rPr>
        <w:lastRenderedPageBreak/>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106793044"/>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lastRenderedPageBreak/>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106793045"/>
      <w:r>
        <w:rPr>
          <w:rStyle w:val="CharSectno"/>
        </w:rPr>
        <w:lastRenderedPageBreak/>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lastRenderedPageBreak/>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106793046"/>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106793047"/>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lastRenderedPageBreak/>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106793048"/>
      <w:r>
        <w:rPr>
          <w:rStyle w:val="CharSectno"/>
        </w:rPr>
        <w:lastRenderedPageBreak/>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106793049"/>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 xml:space="preserve">The functions, obligations and rights directed to be performed or exercised under subsection (1) shall be performed or exercised in the same manner and to the same extent in all </w:t>
      </w:r>
      <w:r>
        <w:rPr>
          <w:snapToGrid w:val="0"/>
        </w:rPr>
        <w:lastRenderedPageBreak/>
        <w:t>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106793050"/>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106793051"/>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 xml:space="preserve">amending or supplementing, with effect from a time which is not earlier than the commencement of this section, the transitional provisions set out in Schedule 5 </w:t>
      </w:r>
      <w:r>
        <w:rPr>
          <w:snapToGrid w:val="0"/>
        </w:rPr>
        <w:lastRenderedPageBreak/>
        <w:t>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106789143"/>
      <w:bookmarkStart w:id="201" w:name="_Toc106789478"/>
      <w:bookmarkStart w:id="202" w:name="_Toc106793052"/>
      <w:r>
        <w:rPr>
          <w:rStyle w:val="CharPartNo"/>
        </w:rPr>
        <w:lastRenderedPageBreak/>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106789144"/>
      <w:bookmarkStart w:id="204" w:name="_Toc106789479"/>
      <w:bookmarkStart w:id="205" w:name="_Toc106793053"/>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10679305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106793055"/>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106793056"/>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106789148"/>
      <w:bookmarkStart w:id="210" w:name="_Toc106789483"/>
      <w:bookmarkStart w:id="211" w:name="_Toc106793057"/>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106793058"/>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106789150"/>
      <w:bookmarkStart w:id="214" w:name="_Toc106789485"/>
      <w:bookmarkStart w:id="215" w:name="_Toc106793059"/>
      <w:r>
        <w:rPr>
          <w:rStyle w:val="CharDivNo"/>
        </w:rPr>
        <w:lastRenderedPageBreak/>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106793060"/>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106789152"/>
      <w:bookmarkStart w:id="218" w:name="_Toc106789487"/>
      <w:bookmarkStart w:id="219" w:name="_Toc106793061"/>
      <w:r>
        <w:rPr>
          <w:rStyle w:val="CharSchNo"/>
        </w:rPr>
        <w:lastRenderedPageBreak/>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lastRenderedPageBreak/>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106789153"/>
      <w:bookmarkStart w:id="221" w:name="_Toc106789488"/>
      <w:bookmarkStart w:id="222" w:name="_Toc106793062"/>
      <w:r>
        <w:rPr>
          <w:rStyle w:val="CharSchNo"/>
        </w:rPr>
        <w:lastRenderedPageBreak/>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jc w:val="center"/>
            </w:pPr>
            <w:r>
              <w:t>1</w:t>
            </w:r>
          </w:p>
        </w:tc>
        <w:tc>
          <w:tcPr>
            <w:tcW w:w="6008" w:type="dxa"/>
          </w:tcPr>
          <w:p>
            <w:pPr>
              <w:pStyle w:val="yTableNAm"/>
            </w:pPr>
            <w:r>
              <w:t xml:space="preserve">Arts and Culture Trust, established under the </w:t>
            </w:r>
            <w:r>
              <w:rPr>
                <w:i/>
              </w:rPr>
              <w:t>Arts and Culture Trust Act 2021</w:t>
            </w:r>
          </w:p>
        </w:tc>
      </w:tr>
      <w:tr>
        <w:trPr>
          <w:cantSplit/>
        </w:trPr>
        <w:tc>
          <w:tcPr>
            <w:tcW w:w="1080" w:type="dxa"/>
          </w:tcPr>
          <w:p>
            <w:pPr>
              <w:pStyle w:val="yTableNAm"/>
              <w:spacing w:before="100"/>
              <w:jc w:val="center"/>
            </w:pPr>
            <w:r>
              <w:rPr>
                <w:i/>
              </w:rPr>
              <w:t>[2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lastRenderedPageBreak/>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w:t>
            </w:r>
            <w:r>
              <w:rPr>
                <w:i/>
              </w:rPr>
              <w:noBreakHyphen/>
              <w:t>35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lastRenderedPageBreak/>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lastRenderedPageBreak/>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No. 15 of 2021 s. 76(2) and (3).]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outlineLvl w:val="0"/>
      </w:pPr>
      <w:bookmarkStart w:id="224" w:name="_Toc106789154"/>
      <w:bookmarkStart w:id="225" w:name="_Toc106789489"/>
      <w:bookmarkStart w:id="226" w:name="_Toc106793063"/>
      <w:r>
        <w:rPr>
          <w:rStyle w:val="CharSchNo"/>
        </w:rPr>
        <w:lastRenderedPageBreak/>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106793064"/>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106793065"/>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106793066"/>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lastRenderedPageBreak/>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106793067"/>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 xml:space="preserve">Notwithstanding clause 6, a person is not excused from producing any books, documents or writings as required by a summons served under clause 1 on the ground that the production of the books, documents or </w:t>
      </w:r>
      <w:r>
        <w:rPr>
          <w:snapToGrid w:val="0"/>
        </w:rPr>
        <w:lastRenderedPageBreak/>
        <w:t>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106793068"/>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106793069"/>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233" w:name="_Toc106789161"/>
      <w:bookmarkStart w:id="234" w:name="_Toc106789496"/>
      <w:bookmarkStart w:id="235" w:name="_Toc106793070"/>
      <w:r>
        <w:rPr>
          <w:rStyle w:val="CharSchNo"/>
        </w:rPr>
        <w:lastRenderedPageBreak/>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outlineLvl w:val="0"/>
      </w:pPr>
      <w:bookmarkStart w:id="236" w:name="_Toc106789162"/>
      <w:bookmarkStart w:id="237" w:name="_Toc106789497"/>
      <w:bookmarkStart w:id="238" w:name="_Toc106793071"/>
      <w:r>
        <w:rPr>
          <w:rStyle w:val="CharSchNo"/>
        </w:rPr>
        <w:lastRenderedPageBreak/>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106793072"/>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10679307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10679307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lastRenderedPageBreak/>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106793075"/>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106793076"/>
      <w:r>
        <w:rPr>
          <w:rStyle w:val="CharSClsNo"/>
        </w:rPr>
        <w:lastRenderedPageBreak/>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10679307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106793078"/>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lastRenderedPageBreak/>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106793079"/>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106793080"/>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lastRenderedPageBreak/>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106793081"/>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10679308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 xml:space="preserve">If an application referred to in subclause (2) is granted, the applicant becomes, subject to the outcome of any appeal referred to in </w:t>
      </w:r>
      <w:r>
        <w:rPr>
          <w:snapToGrid w:val="0"/>
        </w:rPr>
        <w:lastRenderedPageBreak/>
        <w:t>section 32(2) of the repealed Act, by virtue of that grant a permanent officer within the meaning of this Act.</w:t>
      </w:r>
    </w:p>
    <w:p>
      <w:pPr>
        <w:pStyle w:val="yHeading5"/>
        <w:rPr>
          <w:snapToGrid w:val="0"/>
        </w:rPr>
      </w:pPr>
      <w:bookmarkStart w:id="250" w:name="_Toc10679308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 xml:space="preserve">in the case of a senior executive officer, reappointed to the office that he or she was holding when this clause </w:t>
      </w:r>
      <w:r>
        <w:rPr>
          <w:snapToGrid w:val="0"/>
        </w:rPr>
        <w:lastRenderedPageBreak/>
        <w:t>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 xml:space="preserve">in the case of a chief executive officer, is neither reappointed to the same office of chief executive officer nor appointed to </w:t>
      </w:r>
      <w:r>
        <w:rPr>
          <w:snapToGrid w:val="0"/>
        </w:rPr>
        <w:lastRenderedPageBreak/>
        <w:t>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lastRenderedPageBreak/>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lastRenderedPageBreak/>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lastRenderedPageBreak/>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106793084"/>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106793085"/>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lastRenderedPageBreak/>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106793086"/>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10679308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106793088"/>
      <w:r>
        <w:rPr>
          <w:rStyle w:val="CharSClsNo"/>
        </w:rPr>
        <w:lastRenderedPageBreak/>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10679308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10679309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10679309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106789183"/>
      <w:bookmarkStart w:id="260" w:name="_Toc106789518"/>
      <w:bookmarkStart w:id="261" w:name="_Toc106793092"/>
      <w:r>
        <w:rPr>
          <w:rStyle w:val="CharSchNo"/>
        </w:rPr>
        <w:lastRenderedPageBreak/>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106793093"/>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lastRenderedPageBreak/>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10679309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lastRenderedPageBreak/>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106793095"/>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 xml:space="preserve">A person referred to in clause 1(4) is not, while he or she is taken to remain engaged under a contract for services under section 100(1), eligible to apply for, or to be appointed to, any office, post or position </w:t>
      </w:r>
      <w:r>
        <w:rPr>
          <w:snapToGrid w:val="0"/>
        </w:rPr>
        <w:lastRenderedPageBreak/>
        <w:t>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10679309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106789188"/>
      <w:bookmarkStart w:id="267" w:name="_Toc106789523"/>
      <w:bookmarkStart w:id="268" w:name="_Toc106793097"/>
      <w:r>
        <w:rPr>
          <w:rStyle w:val="CharSchNo"/>
        </w:rPr>
        <w:lastRenderedPageBreak/>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106793098"/>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106793099"/>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106793100"/>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lastRenderedPageBreak/>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106793101"/>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lastRenderedPageBreak/>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106793102"/>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106793103"/>
      <w:r>
        <w:rPr>
          <w:rStyle w:val="CharSClsNo"/>
        </w:rPr>
        <w:lastRenderedPageBreak/>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106793104"/>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lastRenderedPageBreak/>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106793105"/>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106793106"/>
      <w:r>
        <w:rPr>
          <w:rStyle w:val="CharSClsNo"/>
        </w:rPr>
        <w:lastRenderedPageBreak/>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106793107"/>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106793108"/>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106793109"/>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lastRenderedPageBreak/>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106793110"/>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106789202"/>
      <w:bookmarkStart w:id="283" w:name="_Toc106789537"/>
      <w:bookmarkStart w:id="284" w:name="_Toc106793111"/>
      <w:r>
        <w:rPr>
          <w:rStyle w:val="CharSchNo"/>
        </w:rPr>
        <w:lastRenderedPageBreak/>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106793112"/>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106793113"/>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106793114"/>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lastRenderedPageBreak/>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106793115"/>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106793116"/>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106793117"/>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w:t>
      </w:r>
      <w:r>
        <w:lastRenderedPageBreak/>
        <w:t xml:space="preserve">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106793118"/>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92" w:name="_Toc106789210"/>
      <w:bookmarkStart w:id="293" w:name="_Toc106789545"/>
      <w:bookmarkStart w:id="294" w:name="_Toc106793119"/>
      <w:r>
        <w:lastRenderedPageBreak/>
        <w:t>Notes</w:t>
      </w:r>
      <w:bookmarkEnd w:id="292"/>
      <w:bookmarkEnd w:id="293"/>
      <w:bookmarkEnd w:id="294"/>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95" w:name="_Toc106793120"/>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lastRenderedPageBreak/>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lastRenderedPageBreak/>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lastRenderedPageBreak/>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lastRenderedPageBreak/>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lastRenderedPageBreak/>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lastRenderedPageBreak/>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lastRenderedPageBreak/>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lastRenderedPageBreak/>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trPr>
        <w:tc>
          <w:tcPr>
            <w:tcW w:w="2228" w:type="dxa"/>
            <w:shd w:val="clear" w:color="auto" w:fill="auto"/>
          </w:tcPr>
          <w:p>
            <w:pPr>
              <w:pStyle w:val="nTable"/>
              <w:spacing w:after="40"/>
              <w:ind w:right="113"/>
              <w:rPr>
                <w:i/>
              </w:rPr>
            </w:pPr>
            <w:r>
              <w:rPr>
                <w:i/>
              </w:rPr>
              <w:t>Work Health and Safety Act 2020</w:t>
            </w:r>
            <w:r>
              <w:t xml:space="preserve"> Pt 15 Div. 4 Subdiv. 7</w:t>
            </w:r>
          </w:p>
        </w:tc>
        <w:tc>
          <w:tcPr>
            <w:tcW w:w="1145" w:type="dxa"/>
            <w:gridSpan w:val="2"/>
            <w:shd w:val="clear" w:color="auto" w:fill="auto"/>
          </w:tcPr>
          <w:p>
            <w:pPr>
              <w:pStyle w:val="nTable"/>
              <w:spacing w:after="40"/>
            </w:pPr>
            <w:r>
              <w:t>36 of 2020</w:t>
            </w:r>
          </w:p>
        </w:tc>
        <w:tc>
          <w:tcPr>
            <w:tcW w:w="1134" w:type="dxa"/>
            <w:gridSpan w:val="2"/>
            <w:shd w:val="clear" w:color="auto" w:fill="auto"/>
          </w:tcPr>
          <w:p>
            <w:pPr>
              <w:pStyle w:val="nTable"/>
              <w:spacing w:after="40"/>
            </w:pPr>
            <w:r>
              <w:t>10 Nov 2020</w:t>
            </w:r>
          </w:p>
        </w:tc>
        <w:tc>
          <w:tcPr>
            <w:tcW w:w="2582" w:type="dxa"/>
            <w:gridSpan w:val="2"/>
            <w:shd w:val="clear" w:color="auto" w:fill="auto"/>
          </w:tcPr>
          <w:p>
            <w:pPr>
              <w:pStyle w:val="nTable"/>
              <w:spacing w:after="40"/>
            </w:pPr>
            <w:r>
              <w:t>31 Mar 2022 (see s. 2(1)(c) and SL 2022/18 cl. 2)</w:t>
            </w:r>
          </w:p>
        </w:tc>
      </w:tr>
      <w:tr>
        <w:trPr>
          <w:cantSplit/>
        </w:trPr>
        <w:tc>
          <w:tcPr>
            <w:tcW w:w="2228" w:type="dxa"/>
            <w:tcBorders>
              <w:bottom w:val="single" w:sz="4" w:space="0" w:color="auto"/>
            </w:tcBorders>
            <w:shd w:val="clear" w:color="auto" w:fill="auto"/>
          </w:tcPr>
          <w:p>
            <w:pPr>
              <w:pStyle w:val="nTable"/>
              <w:spacing w:after="40"/>
              <w:ind w:right="113"/>
              <w:rPr>
                <w:i/>
              </w:rPr>
            </w:pPr>
            <w:r>
              <w:rPr>
                <w:i/>
              </w:rPr>
              <w:t>Arts and Culture Trust Act 2021</w:t>
            </w:r>
            <w:r>
              <w:t xml:space="preserve"> s. 76</w:t>
            </w:r>
          </w:p>
        </w:tc>
        <w:tc>
          <w:tcPr>
            <w:tcW w:w="1145" w:type="dxa"/>
            <w:gridSpan w:val="2"/>
            <w:tcBorders>
              <w:bottom w:val="single" w:sz="4" w:space="0" w:color="auto"/>
            </w:tcBorders>
            <w:shd w:val="clear" w:color="auto" w:fill="auto"/>
          </w:tcPr>
          <w:p>
            <w:pPr>
              <w:pStyle w:val="nTable"/>
              <w:spacing w:after="40"/>
            </w:pPr>
            <w:r>
              <w:t>15 of 2021</w:t>
            </w:r>
          </w:p>
        </w:tc>
        <w:tc>
          <w:tcPr>
            <w:tcW w:w="1134" w:type="dxa"/>
            <w:gridSpan w:val="2"/>
            <w:tcBorders>
              <w:bottom w:val="single" w:sz="4" w:space="0" w:color="auto"/>
            </w:tcBorders>
            <w:shd w:val="clear" w:color="auto" w:fill="auto"/>
          </w:tcPr>
          <w:p>
            <w:pPr>
              <w:pStyle w:val="nTable"/>
              <w:spacing w:after="40"/>
            </w:pPr>
            <w:r>
              <w:t>9 Sep 2021</w:t>
            </w:r>
          </w:p>
        </w:tc>
        <w:tc>
          <w:tcPr>
            <w:tcW w:w="2582" w:type="dxa"/>
            <w:gridSpan w:val="2"/>
            <w:tcBorders>
              <w:bottom w:val="single" w:sz="4" w:space="0" w:color="auto"/>
            </w:tcBorders>
            <w:shd w:val="clear" w:color="auto" w:fill="auto"/>
          </w:tcPr>
          <w:p>
            <w:pPr>
              <w:pStyle w:val="nTable"/>
              <w:spacing w:after="40"/>
            </w:pPr>
            <w:r>
              <w:t>1 Jul 2022 (see s. 2(b) and SL 2022/77 cl. 2)</w:t>
            </w:r>
          </w:p>
        </w:tc>
      </w:tr>
    </w:tbl>
    <w:p>
      <w:pPr>
        <w:pStyle w:val="nHeading3"/>
      </w:pPr>
      <w:bookmarkStart w:id="296" w:name="_Toc106793121"/>
      <w:r>
        <w:t>Uncommenced provisions table</w:t>
      </w:r>
      <w:bookmarkEnd w:id="2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single" w:sz="4" w:space="0" w:color="auto"/>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single" w:sz="4" w:space="0" w:color="auto"/>
            </w:tcBorders>
            <w:shd w:val="clear" w:color="auto" w:fill="auto"/>
          </w:tcPr>
          <w:p>
            <w:pPr>
              <w:pStyle w:val="nTable"/>
              <w:spacing w:after="40"/>
            </w:pPr>
            <w:r>
              <w:t>21 of 2019</w:t>
            </w:r>
          </w:p>
        </w:tc>
        <w:tc>
          <w:tcPr>
            <w:tcW w:w="1135" w:type="dxa"/>
            <w:tcBorders>
              <w:top w:val="nil"/>
              <w:bottom w:val="single" w:sz="4" w:space="0" w:color="auto"/>
            </w:tcBorders>
            <w:shd w:val="clear" w:color="auto" w:fill="auto"/>
          </w:tcPr>
          <w:p>
            <w:pPr>
              <w:pStyle w:val="nTable"/>
              <w:spacing w:after="40"/>
            </w:pPr>
            <w:r>
              <w:t>18 Sep 2019</w:t>
            </w:r>
          </w:p>
        </w:tc>
        <w:tc>
          <w:tcPr>
            <w:tcW w:w="2552" w:type="dxa"/>
            <w:tcBorders>
              <w:top w:val="nil"/>
              <w:bottom w:val="single" w:sz="4" w:space="0" w:color="auto"/>
            </w:tcBorders>
            <w:shd w:val="clear" w:color="auto" w:fill="auto"/>
          </w:tcPr>
          <w:p>
            <w:pPr>
              <w:pStyle w:val="nTable"/>
              <w:spacing w:after="40"/>
            </w:pPr>
            <w:r>
              <w:t>To be proclaimed (see s. 2(1)(b)(xiii))</w:t>
            </w:r>
          </w:p>
        </w:tc>
      </w:tr>
    </w:tbl>
    <w:p>
      <w:pPr>
        <w:pStyle w:val="nHeading3"/>
      </w:pPr>
      <w:bookmarkStart w:id="297" w:name="_Toc106793122"/>
      <w:r>
        <w:lastRenderedPageBreak/>
        <w:t>Other notes</w:t>
      </w:r>
      <w:bookmarkEnd w:id="297"/>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99" w:name="_Toc106789214"/>
      <w:bookmarkStart w:id="300" w:name="_Toc106789549"/>
      <w:bookmarkStart w:id="301" w:name="_Toc106793123"/>
      <w:r>
        <w:rPr>
          <w:sz w:val="28"/>
        </w:rPr>
        <w:lastRenderedPageBreak/>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lastRenderedPageBreak/>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0452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 w:name="WAFER_20220622100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05_GUID" w:val="7d686b45-61cd-4ee3-8bd4-6554fd3aa627"/>
    <w:docVar w:name="WAFER_20220622104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28_GUID" w:val="8b5ecfe2-156d-4e1b-967b-94eec2ae9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852D-D9A7-40A2-BD81-34712454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43651</Words>
  <Characters>215640</Characters>
  <Application>Microsoft Office Word</Application>
  <DocSecurity>0</DocSecurity>
  <Lines>5828</Lines>
  <Paragraphs>3282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1994 - 12-l0-00</dc:title>
  <dc:subject/>
  <dc:creator/>
  <cp:keywords/>
  <dc:description/>
  <cp:lastModifiedBy>Master Repository Process</cp:lastModifiedBy>
  <cp:revision>4</cp:revision>
  <cp:lastPrinted>2018-05-30T04:50:00Z</cp:lastPrinted>
  <dcterms:created xsi:type="dcterms:W3CDTF">2022-06-30T01:17:00Z</dcterms:created>
  <dcterms:modified xsi:type="dcterms:W3CDTF">2022-06-30T01:17:00Z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01 Jul 2022</vt:lpwstr>
  </property>
  <property fmtid="{D5CDD505-2E9C-101B-9397-08002B2CF9AE}" pid="9" name="Suffix">
    <vt:lpwstr>12-l0-00</vt:lpwstr>
  </property>
  <property fmtid="{D5CDD505-2E9C-101B-9397-08002B2CF9AE}" pid="10" name="CommencementDate">
    <vt:lpwstr>20220701</vt:lpwstr>
  </property>
</Properties>
</file>