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Administration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Administration Regulations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_Toc107395115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_Toc107395116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 xml:space="preserve">Services prescribed (Act s. 3(1) </w:t>
      </w:r>
      <w:r>
        <w:rPr>
          <w:i/>
        </w:rPr>
        <w:t>public utility services</w:t>
      </w:r>
      <w:r>
        <w:t>)</w:t>
      </w:r>
      <w:r>
        <w:tab/>
      </w:r>
      <w:r>
        <w:fldChar w:fldCharType="begin"/>
      </w:r>
      <w:r>
        <w:instrText xml:space="preserve"> PAGEREF _Toc107395118 \h </w:instrText>
      </w:r>
      <w:r>
        <w:fldChar w:fldCharType="separate"/>
      </w:r>
      <w:r>
        <w:t>2</w:t>
      </w:r>
      <w:r>
        <w:fldChar w:fldCharType="end"/>
      </w:r>
    </w:p>
    <w:p>
      <w:pPr>
        <w:pStyle w:val="TOC8"/>
        <w:rPr>
          <w:rFonts w:asciiTheme="minorHAnsi" w:eastAsiaTheme="minorEastAsia" w:hAnsiTheme="minorHAnsi" w:cstheme="minorBidi"/>
          <w:szCs w:val="22"/>
        </w:rPr>
      </w:pPr>
      <w:r>
        <w:t>3A.</w:t>
      </w:r>
      <w:r>
        <w:tab/>
        <w:t>Classes of persons prescribed (Act s. 9(1)(c)) for certain delegations</w:t>
      </w:r>
      <w:r>
        <w:tab/>
      </w:r>
      <w:r>
        <w:fldChar w:fldCharType="begin"/>
      </w:r>
      <w:r>
        <w:instrText xml:space="preserve"> PAGEREF _Toc107395119 \h </w:instrText>
      </w:r>
      <w:r>
        <w:fldChar w:fldCharType="separate"/>
      </w:r>
      <w:r>
        <w:t>2</w:t>
      </w:r>
      <w:r>
        <w:fldChar w:fldCharType="end"/>
      </w:r>
    </w:p>
    <w:p>
      <w:pPr>
        <w:pStyle w:val="TOC8"/>
        <w:rPr>
          <w:rFonts w:asciiTheme="minorHAnsi" w:eastAsiaTheme="minorEastAsia" w:hAnsiTheme="minorHAnsi" w:cstheme="minorBidi"/>
          <w:szCs w:val="22"/>
        </w:rPr>
      </w:pPr>
      <w:r>
        <w:t>3B.</w:t>
      </w:r>
      <w:r>
        <w:tab/>
        <w:t>Persons prescribed (Act s. 9(1)(c))</w:t>
      </w:r>
      <w:r>
        <w:tab/>
      </w:r>
      <w:r>
        <w:fldChar w:fldCharType="begin"/>
      </w:r>
      <w:r>
        <w:instrText xml:space="preserve"> PAGEREF _Toc107395120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Conditions of delegation by Minister of powers to convey or transfer fee simple in Crown land (Act s. 9(1))</w:t>
      </w:r>
      <w:r>
        <w:tab/>
      </w:r>
      <w:r>
        <w:fldChar w:fldCharType="begin"/>
      </w:r>
      <w:r>
        <w:instrText xml:space="preserve"> PAGEREF _Toc107395121 \h </w:instrText>
      </w:r>
      <w:r>
        <w:fldChar w:fldCharType="separate"/>
      </w:r>
      <w:r>
        <w:t>4</w:t>
      </w:r>
      <w:r>
        <w:fldChar w:fldCharType="end"/>
      </w:r>
    </w:p>
    <w:p>
      <w:pPr>
        <w:pStyle w:val="TOC8"/>
        <w:rPr>
          <w:rFonts w:asciiTheme="minorHAnsi" w:eastAsiaTheme="minorEastAsia" w:hAnsiTheme="minorHAnsi" w:cstheme="minorBidi"/>
          <w:szCs w:val="22"/>
        </w:rPr>
      </w:pPr>
      <w:r>
        <w:t>5A.</w:t>
      </w:r>
      <w:r>
        <w:tab/>
        <w:t>Certain City Arcade transactions etc. prescribed (Act s. 18(7)(b))</w:t>
      </w:r>
      <w:r>
        <w:tab/>
      </w:r>
      <w:r>
        <w:fldChar w:fldCharType="begin"/>
      </w:r>
      <w:r>
        <w:instrText xml:space="preserve"> PAGEREF _Toc107395122 \h </w:instrText>
      </w:r>
      <w:r>
        <w:fldChar w:fldCharType="separate"/>
      </w:r>
      <w:r>
        <w:t>5</w:t>
      </w:r>
      <w:r>
        <w:fldChar w:fldCharType="end"/>
      </w:r>
    </w:p>
    <w:p>
      <w:pPr>
        <w:pStyle w:val="TOC8"/>
        <w:rPr>
          <w:rFonts w:asciiTheme="minorHAnsi" w:eastAsiaTheme="minorEastAsia" w:hAnsiTheme="minorHAnsi" w:cstheme="minorBidi"/>
          <w:szCs w:val="22"/>
        </w:rPr>
      </w:pPr>
      <w:r>
        <w:t>5B.</w:t>
      </w:r>
      <w:r>
        <w:tab/>
        <w:t>Certain Collier Park Retirement Complex transactions etc. prescribed (Act s. 18(7)(b))</w:t>
      </w:r>
      <w:r>
        <w:tab/>
      </w:r>
      <w:r>
        <w:fldChar w:fldCharType="begin"/>
      </w:r>
      <w:r>
        <w:instrText xml:space="preserve"> PAGEREF _Toc107395123 \h </w:instrText>
      </w:r>
      <w:r>
        <w:fldChar w:fldCharType="separate"/>
      </w:r>
      <w:r>
        <w:t>5</w:t>
      </w:r>
      <w:r>
        <w:fldChar w:fldCharType="end"/>
      </w:r>
    </w:p>
    <w:p>
      <w:pPr>
        <w:pStyle w:val="TOC8"/>
        <w:rPr>
          <w:rFonts w:asciiTheme="minorHAnsi" w:eastAsiaTheme="minorEastAsia" w:hAnsiTheme="minorHAnsi" w:cstheme="minorBidi"/>
          <w:szCs w:val="22"/>
        </w:rPr>
      </w:pPr>
      <w:r>
        <w:t>5C.</w:t>
      </w:r>
      <w:r>
        <w:tab/>
        <w:t>Certain Perth Convention and Exhibition Centre transactions etc. prescribed (Act s. 18(7)(b))</w:t>
      </w:r>
      <w:r>
        <w:tab/>
      </w:r>
      <w:r>
        <w:fldChar w:fldCharType="begin"/>
      </w:r>
      <w:r>
        <w:instrText xml:space="preserve"> PAGEREF _Toc107395124 \h </w:instrText>
      </w:r>
      <w:r>
        <w:fldChar w:fldCharType="separate"/>
      </w:r>
      <w:r>
        <w:t>6</w:t>
      </w:r>
      <w:r>
        <w:fldChar w:fldCharType="end"/>
      </w:r>
    </w:p>
    <w:p>
      <w:pPr>
        <w:pStyle w:val="TOC8"/>
        <w:rPr>
          <w:rFonts w:asciiTheme="minorHAnsi" w:eastAsiaTheme="minorEastAsia" w:hAnsiTheme="minorHAnsi" w:cstheme="minorBidi"/>
          <w:szCs w:val="22"/>
        </w:rPr>
      </w:pPr>
      <w:r>
        <w:t>5D.</w:t>
      </w:r>
      <w:r>
        <w:tab/>
        <w:t>Certain Old Swan Brewery transactions etc. prescribed (Act s. 18(7)(b))</w:t>
      </w:r>
      <w:r>
        <w:tab/>
      </w:r>
      <w:r>
        <w:fldChar w:fldCharType="begin"/>
      </w:r>
      <w:r>
        <w:instrText xml:space="preserve"> PAGEREF _Toc107395125 \h </w:instrText>
      </w:r>
      <w:r>
        <w:fldChar w:fldCharType="separate"/>
      </w:r>
      <w:r>
        <w:t>7</w:t>
      </w:r>
      <w:r>
        <w:fldChar w:fldCharType="end"/>
      </w:r>
    </w:p>
    <w:p>
      <w:pPr>
        <w:pStyle w:val="TOC8"/>
        <w:rPr>
          <w:rFonts w:asciiTheme="minorHAnsi" w:eastAsiaTheme="minorEastAsia" w:hAnsiTheme="minorHAnsi" w:cstheme="minorBidi"/>
          <w:szCs w:val="22"/>
        </w:rPr>
      </w:pPr>
      <w:r>
        <w:t>5E.</w:t>
      </w:r>
      <w:r>
        <w:tab/>
        <w:t>Land prescribed (Act s. 51A(1))</w:t>
      </w:r>
      <w:r>
        <w:tab/>
      </w:r>
      <w:r>
        <w:fldChar w:fldCharType="begin"/>
      </w:r>
      <w:r>
        <w:instrText xml:space="preserve"> PAGEREF _Toc107395126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Procedures to be followed by local government before requesting acquisition of alienated land designated for public purpose (Act s. 52(1)(a))</w:t>
      </w:r>
      <w:r>
        <w:tab/>
      </w:r>
      <w:r>
        <w:fldChar w:fldCharType="begin"/>
      </w:r>
      <w:r>
        <w:instrText xml:space="preserve"> PAGEREF _Toc107395127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Procedures to be followed by local government before requesting acquisition of private road (Act s. 52(1)(b))</w:t>
      </w:r>
      <w:r>
        <w:tab/>
      </w:r>
      <w:r>
        <w:fldChar w:fldCharType="begin"/>
      </w:r>
      <w:r>
        <w:instrText xml:space="preserve"> PAGEREF _Toc107395128 \h </w:instrText>
      </w:r>
      <w:r>
        <w:fldChar w:fldCharType="separate"/>
      </w:r>
      <w:r>
        <w:t>9</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Procedures to be followed by local government before requesting acquisition of alienated land in a townsite (Act s. 52(1)(c))</w:t>
      </w:r>
      <w:r>
        <w:tab/>
      </w:r>
      <w:r>
        <w:fldChar w:fldCharType="begin"/>
      </w:r>
      <w:r>
        <w:instrText xml:space="preserve"> PAGEREF _Toc107395129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Local government request to dedicate land as a road (Act s. 56), requirements for</w:t>
      </w:r>
      <w:r>
        <w:tab/>
      </w:r>
      <w:r>
        <w:fldChar w:fldCharType="begin"/>
      </w:r>
      <w:r>
        <w:instrText xml:space="preserve"> PAGEREF _Toc107395130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Local government request to close road permanently (Act s. 58(2)), requirements for</w:t>
      </w:r>
      <w:r>
        <w:tab/>
      </w:r>
      <w:r>
        <w:fldChar w:fldCharType="begin"/>
      </w:r>
      <w:r>
        <w:instrText xml:space="preserve"> PAGEREF _Toc107395131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Manner of advertising prescribed etc. for proposed mall reserve (Act s. 59)</w:t>
      </w:r>
      <w:r>
        <w:tab/>
      </w:r>
      <w:r>
        <w:fldChar w:fldCharType="begin"/>
      </w:r>
      <w:r>
        <w:instrText xml:space="preserve"> PAGEREF _Toc107395132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Manner of advertising prescribed etc. for cancelling mall reserve (Act s. 62)</w:t>
      </w:r>
      <w:r>
        <w:tab/>
      </w:r>
      <w:r>
        <w:fldChar w:fldCharType="begin"/>
      </w:r>
      <w:r>
        <w:instrText xml:space="preserve"> PAGEREF _Toc107395133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Procedure to be followed by Minister when determining and altering prices of Crown land (Act s. 74(2)(a))</w:t>
      </w:r>
      <w:r>
        <w:tab/>
      </w:r>
      <w:r>
        <w:fldChar w:fldCharType="begin"/>
      </w:r>
      <w:r>
        <w:instrText xml:space="preserve"> PAGEREF _Toc107395134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for entering joint ventures prescribed (Act s. 78(1))</w:t>
      </w:r>
      <w:r>
        <w:tab/>
      </w:r>
      <w:r>
        <w:fldChar w:fldCharType="begin"/>
      </w:r>
      <w:r>
        <w:instrText xml:space="preserve"> PAGEREF _Toc107395135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prescribed (Act s. 89)</w:t>
      </w:r>
      <w:r>
        <w:tab/>
      </w:r>
      <w:r>
        <w:fldChar w:fldCharType="begin"/>
      </w:r>
      <w:r>
        <w:instrText xml:space="preserve"> PAGEREF _Toc107395136 \h </w:instrText>
      </w:r>
      <w:r>
        <w:fldChar w:fldCharType="separate"/>
      </w:r>
      <w:r>
        <w:t>17</w:t>
      </w:r>
      <w:r>
        <w:fldChar w:fldCharType="end"/>
      </w:r>
    </w:p>
    <w:p>
      <w:pPr>
        <w:pStyle w:val="TOC8"/>
        <w:rPr>
          <w:rFonts w:asciiTheme="minorHAnsi" w:eastAsiaTheme="minorEastAsia" w:hAnsiTheme="minorHAnsi" w:cstheme="minorBidi"/>
          <w:szCs w:val="22"/>
        </w:rPr>
      </w:pPr>
      <w:r>
        <w:t>15.</w:t>
      </w:r>
      <w:r>
        <w:tab/>
        <w:t>Phasing in of increased rents for pastoral leases (Act s. 124A)</w:t>
      </w:r>
      <w:r>
        <w:tab/>
      </w:r>
      <w:r>
        <w:fldChar w:fldCharType="begin"/>
      </w:r>
      <w:r>
        <w:instrText xml:space="preserve"> PAGEREF _Toc107395137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Rate of interest prescribed (Act s. 125(4))</w:t>
      </w:r>
      <w:r>
        <w:tab/>
      </w:r>
      <w:r>
        <w:fldChar w:fldCharType="begin"/>
      </w:r>
      <w:r>
        <w:instrText xml:space="preserve"> PAGEREF _Toc107395138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(Sch. 1)</w:t>
      </w:r>
      <w:r>
        <w:tab/>
      </w:r>
      <w:r>
        <w:fldChar w:fldCharType="begin"/>
      </w:r>
      <w:r>
        <w:instrText xml:space="preserve"> PAGEREF _Toc107395139 \h </w:instrText>
      </w:r>
      <w:r>
        <w:fldChar w:fldCharType="separate"/>
      </w:r>
      <w:r>
        <w:t>18</w:t>
      </w:r>
      <w:r>
        <w:fldChar w:fldCharType="end"/>
      </w:r>
    </w:p>
    <w:p>
      <w:pPr>
        <w:pStyle w:val="TOC8"/>
        <w:rPr>
          <w:rFonts w:asciiTheme="minorHAnsi" w:eastAsiaTheme="minorEastAsia" w:hAnsiTheme="minorHAnsi" w:cstheme="minorBidi"/>
          <w:szCs w:val="22"/>
        </w:rPr>
      </w:pPr>
      <w:r>
        <w:t>17A.</w:t>
      </w:r>
      <w:r>
        <w:tab/>
        <w:t>Geocentric Datum of Australia 2020 prescribed (Act s. 5A)</w:t>
      </w:r>
      <w:r>
        <w:tab/>
      </w:r>
      <w:r>
        <w:fldChar w:fldCharType="begin"/>
      </w:r>
      <w:r>
        <w:instrText xml:space="preserve"> PAGEREF _Toc107395140 \h </w:instrText>
      </w:r>
      <w:r>
        <w:fldChar w:fldCharType="separate"/>
      </w:r>
      <w:r>
        <w:t>19</w:t>
      </w:r>
      <w:r>
        <w:fldChar w:fldCharType="end"/>
      </w:r>
    </w:p>
    <w:p>
      <w:pPr>
        <w:pStyle w:val="TOC8"/>
        <w:rPr>
          <w:rFonts w:asciiTheme="minorHAnsi" w:eastAsiaTheme="minorEastAsia" w:hAnsiTheme="minorHAnsi" w:cstheme="minorBidi"/>
          <w:szCs w:val="22"/>
        </w:rPr>
      </w:pPr>
      <w:r>
        <w:t>17B.</w:t>
      </w:r>
      <w:r>
        <w:tab/>
        <w:t>Acts prescribed (Act s. 18(8)(b)(ii))</w:t>
      </w:r>
      <w:r>
        <w:tab/>
      </w:r>
      <w:r>
        <w:fldChar w:fldCharType="begin"/>
      </w:r>
      <w:r>
        <w:instrText xml:space="preserve"> PAGEREF _Toc107395141 \h </w:instrText>
      </w:r>
      <w:r>
        <w:fldChar w:fldCharType="separate"/>
      </w:r>
      <w:r>
        <w:t>20</w:t>
      </w:r>
      <w:r>
        <w:fldChar w:fldCharType="end"/>
      </w:r>
    </w:p>
    <w:p>
      <w:pPr>
        <w:pStyle w:val="TOC8"/>
        <w:rPr>
          <w:rFonts w:asciiTheme="minorHAnsi" w:eastAsiaTheme="minorEastAsia" w:hAnsiTheme="minorHAnsi" w:cstheme="minorBidi"/>
          <w:szCs w:val="22"/>
        </w:rPr>
      </w:pPr>
      <w:r>
        <w:t>17C.</w:t>
      </w:r>
      <w:r>
        <w:tab/>
        <w:t xml:space="preserve">Stock prescribed (Act s. 93 </w:t>
      </w:r>
      <w:r>
        <w:rPr>
          <w:i/>
        </w:rPr>
        <w:t>authorised stock</w:t>
      </w:r>
      <w:r>
        <w:t>)</w:t>
      </w:r>
      <w:r>
        <w:tab/>
      </w:r>
      <w:r>
        <w:fldChar w:fldCharType="begin"/>
      </w:r>
      <w:r>
        <w:instrText xml:space="preserve"> PAGEREF _Toc107395142 \h </w:instrText>
      </w:r>
      <w:r>
        <w:fldChar w:fldCharType="separate"/>
      </w:r>
      <w:r>
        <w:t>20</w:t>
      </w:r>
      <w:r>
        <w:fldChar w:fldCharType="end"/>
      </w:r>
    </w:p>
    <w:p>
      <w:pPr>
        <w:pStyle w:val="TOC8"/>
        <w:rPr>
          <w:rFonts w:asciiTheme="minorHAnsi" w:eastAsiaTheme="minorEastAsia" w:hAnsiTheme="minorHAnsi" w:cstheme="minorBidi"/>
          <w:szCs w:val="22"/>
        </w:rPr>
      </w:pPr>
      <w:r>
        <w:t>17D.</w:t>
      </w:r>
      <w:r>
        <w:tab/>
        <w:t>Longer period prescribed (Act 143(6g) etc.)</w:t>
      </w:r>
      <w:r>
        <w:tab/>
      </w:r>
      <w:r>
        <w:fldChar w:fldCharType="begin"/>
      </w:r>
      <w:r>
        <w:instrText xml:space="preserve"> PAGEREF _Toc107395143 \h </w:instrText>
      </w:r>
      <w:r>
        <w:fldChar w:fldCharType="separate"/>
      </w:r>
      <w:r>
        <w:t>20</w:t>
      </w:r>
      <w:r>
        <w:fldChar w:fldCharType="end"/>
      </w:r>
    </w:p>
    <w:p>
      <w:pPr>
        <w:pStyle w:val="TOC8"/>
        <w:rPr>
          <w:rFonts w:asciiTheme="minorHAnsi" w:eastAsiaTheme="minorEastAsia" w:hAnsiTheme="minorHAnsi" w:cstheme="minorBidi"/>
          <w:szCs w:val="22"/>
        </w:rPr>
      </w:pPr>
      <w:r>
        <w:t>17E.</w:t>
      </w:r>
      <w:r>
        <w:tab/>
        <w:t>Circumstances prescribed (Act s. 75(7a))</w:t>
      </w:r>
      <w:r>
        <w:tab/>
      </w:r>
      <w:r>
        <w:fldChar w:fldCharType="begin"/>
      </w:r>
      <w:r>
        <w:instrText xml:space="preserve"> PAGEREF _Toc107395144 \h </w:instrText>
      </w:r>
      <w:r>
        <w:fldChar w:fldCharType="separate"/>
      </w:r>
      <w:r>
        <w:t>21</w:t>
      </w:r>
      <w:r>
        <w:fldChar w:fldCharType="end"/>
      </w:r>
    </w:p>
    <w:p>
      <w:pPr>
        <w:pStyle w:val="TOC8"/>
        <w:rPr>
          <w:rFonts w:asciiTheme="minorHAnsi" w:eastAsiaTheme="minorEastAsia" w:hAnsiTheme="minorHAnsi" w:cstheme="minorBidi"/>
          <w:szCs w:val="22"/>
        </w:rPr>
      </w:pPr>
      <w:r>
        <w:t>17F.</w:t>
      </w:r>
      <w:r>
        <w:tab/>
        <w:t xml:space="preserve">Commonwealth agencies prescribed (Act s. 275A(1) </w:t>
      </w:r>
      <w:r>
        <w:rPr>
          <w:i/>
        </w:rPr>
        <w:t>public authority</w:t>
      </w:r>
      <w:r>
        <w:t>)</w:t>
      </w:r>
      <w:r>
        <w:tab/>
      </w:r>
      <w:r>
        <w:fldChar w:fldCharType="begin"/>
      </w:r>
      <w:r>
        <w:instrText xml:space="preserve"> PAGEREF _Toc107395145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Surveys</w:t>
      </w:r>
    </w:p>
    <w:p>
      <w:pPr>
        <w:pStyle w:val="TOC8"/>
        <w:rPr>
          <w:rFonts w:asciiTheme="minorHAnsi" w:eastAsiaTheme="minorEastAsia" w:hAnsiTheme="minorHAnsi" w:cstheme="minorBidi"/>
          <w:szCs w:val="22"/>
        </w:rPr>
      </w:pPr>
      <w:r>
        <w:t>18</w:t>
      </w:r>
      <w:r>
        <w:rPr>
          <w:snapToGrid w:val="0"/>
        </w:rPr>
        <w:t>.</w:t>
      </w:r>
      <w:r>
        <w:rPr>
          <w:snapToGrid w:val="0"/>
        </w:rPr>
        <w:tab/>
        <w:t>Terms used</w:t>
      </w:r>
      <w:r>
        <w:tab/>
      </w:r>
      <w:r>
        <w:fldChar w:fldCharType="begin"/>
      </w:r>
      <w:r>
        <w:instrText xml:space="preserve"> PAGEREF _Toc107395147 \h </w:instrText>
      </w:r>
      <w:r>
        <w:fldChar w:fldCharType="separate"/>
      </w:r>
      <w:r>
        <w:t>24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Doubts etc. about survey, duties of departmental surveyor as to</w:t>
      </w:r>
      <w:r>
        <w:tab/>
      </w:r>
      <w:r>
        <w:fldChar w:fldCharType="begin"/>
      </w:r>
      <w:r>
        <w:instrText xml:space="preserve"> PAGEREF _Toc107395148 \h </w:instrText>
      </w:r>
      <w:r>
        <w:fldChar w:fldCharType="separate"/>
      </w:r>
      <w:r>
        <w:t>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Authorised land officer’s powers for Act s. 32</w:t>
      </w:r>
      <w:r>
        <w:tab/>
      </w:r>
      <w:r>
        <w:fldChar w:fldCharType="begin"/>
      </w:r>
      <w:r>
        <w:instrText xml:space="preserve"> PAGEREF _Toc107395149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Alternative methodology for authorised surveys in special cases</w:t>
      </w:r>
      <w:r>
        <w:tab/>
      </w:r>
      <w:r>
        <w:fldChar w:fldCharType="begin"/>
      </w:r>
      <w:r>
        <w:instrText xml:space="preserve"> PAGEREF _Toc107395150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of departmental surveyor are Crown property</w:t>
      </w:r>
      <w:r>
        <w:tab/>
      </w:r>
      <w:r>
        <w:fldChar w:fldCharType="begin"/>
      </w:r>
      <w:r>
        <w:instrText xml:space="preserve"> PAGEREF _Toc107395151 \h </w:instrText>
      </w:r>
      <w:r>
        <w:fldChar w:fldCharType="separate"/>
      </w:r>
      <w:r>
        <w:t>25</w:t>
      </w:r>
      <w:r>
        <w:fldChar w:fldCharType="end"/>
      </w:r>
    </w:p>
    <w:p>
      <w:pPr>
        <w:pStyle w:val="TOC8"/>
        <w:rPr>
          <w:rFonts w:asciiTheme="minorHAnsi" w:eastAsiaTheme="minorEastAsia" w:hAnsiTheme="minorHAnsi" w:cstheme="minorBidi"/>
          <w:szCs w:val="22"/>
        </w:rPr>
      </w:pPr>
      <w:r>
        <w:lastRenderedPageBreak/>
        <w:t>23</w:t>
      </w:r>
      <w:r>
        <w:rPr>
          <w:snapToGrid w:val="0"/>
        </w:rPr>
        <w:t>.</w:t>
      </w:r>
      <w:r>
        <w:rPr>
          <w:snapToGrid w:val="0"/>
        </w:rPr>
        <w:tab/>
        <w:t xml:space="preserve">Inconsistency with </w:t>
      </w:r>
      <w:r>
        <w:rPr>
          <w:i/>
          <w:snapToGrid w:val="0"/>
        </w:rPr>
        <w:t>Licensed Surveyors (Guidance of Surveyors) Regulations 1961</w:t>
      </w:r>
      <w:r>
        <w:tab/>
      </w:r>
      <w:r>
        <w:fldChar w:fldCharType="begin"/>
      </w:r>
      <w:r>
        <w:instrText xml:space="preserve"> PAGEREF _Toc107395152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panels</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_Toc107395154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 of panels</w:t>
      </w:r>
      <w:r>
        <w:tab/>
      </w:r>
      <w:r>
        <w:fldChar w:fldCharType="begin"/>
      </w:r>
      <w:r>
        <w:instrText xml:space="preserve"> PAGEREF _Toc107395155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Remuneration of members</w:t>
      </w:r>
      <w:r>
        <w:tab/>
      </w:r>
      <w:r>
        <w:fldChar w:fldCharType="begin"/>
      </w:r>
      <w:r>
        <w:instrText xml:space="preserve"> PAGEREF _Toc107395156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Term of office</w:t>
      </w:r>
      <w:r>
        <w:tab/>
      </w:r>
      <w:r>
        <w:fldChar w:fldCharType="begin"/>
      </w:r>
      <w:r>
        <w:instrText xml:space="preserve"> PAGEREF _Toc107395157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Member unable to act</w:t>
      </w:r>
      <w:r>
        <w:tab/>
      </w:r>
      <w:r>
        <w:fldChar w:fldCharType="begin"/>
      </w:r>
      <w:r>
        <w:instrText xml:space="preserve"> PAGEREF _Toc107395158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Calling of meetings</w:t>
      </w:r>
      <w:r>
        <w:tab/>
      </w:r>
      <w:r>
        <w:fldChar w:fldCharType="begin"/>
      </w:r>
      <w:r>
        <w:instrText xml:space="preserve"> PAGEREF _Toc107395159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Who presides at meetings</w:t>
      </w:r>
      <w:r>
        <w:tab/>
      </w:r>
      <w:r>
        <w:fldChar w:fldCharType="begin"/>
      </w:r>
      <w:r>
        <w:instrText xml:space="preserve"> PAGEREF _Toc107395160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_Toc107395161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_Toc107395162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_Toc107395163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Telephone or video meetings</w:t>
      </w:r>
      <w:r>
        <w:tab/>
      </w:r>
      <w:r>
        <w:fldChar w:fldCharType="begin"/>
      </w:r>
      <w:r>
        <w:instrText xml:space="preserve"> PAGEREF _Toc107395164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How panel is to inform itself</w:t>
      </w:r>
      <w:r>
        <w:tab/>
      </w:r>
      <w:r>
        <w:fldChar w:fldCharType="begin"/>
      </w:r>
      <w:r>
        <w:instrText xml:space="preserve"> PAGEREF _Toc107395165 \h </w:instrText>
      </w:r>
      <w:r>
        <w:fldChar w:fldCharType="separate"/>
      </w:r>
      <w:r>
        <w:t>29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Public hearings</w:t>
      </w:r>
      <w:r>
        <w:tab/>
      </w:r>
      <w:r>
        <w:fldChar w:fldCharType="begin"/>
      </w:r>
      <w:r>
        <w:instrText xml:space="preserve"> PAGEREF _Toc107395166 \h </w:instrText>
      </w:r>
      <w:r>
        <w:fldChar w:fldCharType="separate"/>
      </w:r>
      <w:r>
        <w:t>29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Panel to determine own procedures</w:t>
      </w:r>
      <w:r>
        <w:tab/>
      </w:r>
      <w:r>
        <w:fldChar w:fldCharType="begin"/>
      </w:r>
      <w:r>
        <w:instrText xml:space="preserve"> PAGEREF _Toc107395167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Conflict of interest</w:t>
      </w:r>
      <w:r>
        <w:tab/>
      </w:r>
      <w:r>
        <w:fldChar w:fldCharType="begin"/>
      </w:r>
      <w:r>
        <w:instrText xml:space="preserve"> PAGEREF _Toc107395168 \h </w:instrText>
      </w:r>
      <w:r>
        <w:fldChar w:fldCharType="separate"/>
      </w:r>
      <w:r>
        <w:t>30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w:t>
      </w:r>
      <w:r>
        <w:tab/>
      </w:r>
      <w:r>
        <w:fldChar w:fldCharType="begin"/>
      </w:r>
      <w:r>
        <w:instrText xml:space="preserve"> PAGEREF _Toc107395169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payable to chief executive officer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_Toc107395172 \h </w:instrText>
      </w:r>
      <w:r>
        <w:fldChar w:fldCharType="separate"/>
      </w:r>
      <w:r>
        <w:t>33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_Toc107395173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Land Administration Act 1997</w:t>
      </w:r>
    </w:p>
    <w:p>
      <w:pPr>
        <w:pStyle w:val="NameofActReg"/>
        <w:spacing w:before="960" w:after="1200"/>
      </w:pPr>
      <w:r>
        <w:t>Land Administration Regulations 1998</w:t>
      </w:r>
    </w:p>
    <w:p>
      <w:pPr>
        <w:pStyle w:val="Heading2"/>
        <w:pageBreakBefore w:val="0"/>
      </w:pPr>
      <w:bookmarkStart w:id="3" w:name="_Toc107221662"/>
      <w:bookmarkStart w:id="4" w:name="_Toc107221724"/>
      <w:bookmarkStart w:id="5" w:name="_Toc107221970"/>
      <w:bookmarkStart w:id="6" w:name="_Toc107395114"/>
      <w:r>
        <w:rPr>
          <w:rStyle w:val="CharPartNo"/>
        </w:rPr>
        <w:t>Part 1 </w:t>
      </w:r>
      <w:r>
        <w:t>— </w:t>
      </w:r>
      <w:r>
        <w:rPr>
          <w:rStyle w:val="CharPartText"/>
        </w:rPr>
        <w:t>Preliminary</w:t>
      </w:r>
      <w:bookmarkEnd w:id="3"/>
      <w:bookmarkEnd w:id="4"/>
      <w:bookmarkEnd w:id="5"/>
      <w:bookmarkEnd w:id="6"/>
    </w:p>
    <w:p>
      <w:pPr>
        <w:pStyle w:val="Heading5"/>
        <w:rPr>
          <w:snapToGrid w:val="0"/>
        </w:rPr>
      </w:pPr>
      <w:bookmarkStart w:id="7" w:name="_Toc107395115"/>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Land Administration Regulations 1998</w:t>
      </w:r>
      <w:r>
        <w:rPr>
          <w:snapToGrid w:val="0"/>
        </w:rPr>
        <w:t>.</w:t>
      </w:r>
    </w:p>
    <w:p>
      <w:pPr>
        <w:pStyle w:val="Heading5"/>
        <w:rPr>
          <w:snapToGrid w:val="0"/>
        </w:rPr>
      </w:pPr>
      <w:bookmarkStart w:id="8" w:name="_Toc107395116"/>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These regulations come into operation on the day fixed under section 2(1) of the Act.</w:t>
      </w:r>
    </w:p>
    <w:p>
      <w:pPr>
        <w:pStyle w:val="Heading2"/>
      </w:pPr>
      <w:bookmarkStart w:id="9" w:name="_Toc107221665"/>
      <w:bookmarkStart w:id="10" w:name="_Toc107221727"/>
      <w:bookmarkStart w:id="11" w:name="_Toc107221973"/>
      <w:bookmarkStart w:id="12" w:name="_Toc107395117"/>
      <w:r>
        <w:rPr>
          <w:rStyle w:val="CharPartNo"/>
        </w:rPr>
        <w:lastRenderedPageBreak/>
        <w:t>Part 2</w:t>
      </w:r>
      <w:r>
        <w:rPr>
          <w:rStyle w:val="CharDivNo"/>
        </w:rPr>
        <w:t> </w:t>
      </w:r>
      <w:r>
        <w:t>—</w:t>
      </w:r>
      <w:r>
        <w:rPr>
          <w:rStyle w:val="CharDivText"/>
        </w:rPr>
        <w:t> </w:t>
      </w:r>
      <w:r>
        <w:rPr>
          <w:rStyle w:val="CharPartText"/>
        </w:rPr>
        <w:t>General</w:t>
      </w:r>
      <w:bookmarkEnd w:id="9"/>
      <w:bookmarkEnd w:id="10"/>
      <w:bookmarkEnd w:id="11"/>
      <w:bookmarkEnd w:id="12"/>
    </w:p>
    <w:p>
      <w:pPr>
        <w:pStyle w:val="Heading5"/>
      </w:pPr>
      <w:bookmarkStart w:id="13" w:name="_Toc107395118"/>
      <w:r>
        <w:rPr>
          <w:rStyle w:val="CharSectno"/>
        </w:rPr>
        <w:t>3</w:t>
      </w:r>
      <w:r>
        <w:t>.</w:t>
      </w:r>
      <w:r>
        <w:tab/>
        <w:t xml:space="preserve">Services prescribed (Act s. 3(1) </w:t>
      </w:r>
      <w:r>
        <w:rPr>
          <w:i/>
        </w:rPr>
        <w:t>public utility services</w:t>
      </w:r>
      <w:r>
        <w:t>)</w:t>
      </w:r>
      <w:bookmarkEnd w:id="13"/>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Gazette 6 Jul 2012 p. 3024.]</w:t>
      </w:r>
    </w:p>
    <w:p>
      <w:pPr>
        <w:pStyle w:val="Heading5"/>
      </w:pPr>
      <w:bookmarkStart w:id="14" w:name="_Toc107395119"/>
      <w:r>
        <w:t>3A.</w:t>
      </w:r>
      <w:r>
        <w:tab/>
        <w:t>Classes of persons prescribed (Act s. 9(1)(c)) for certain delegations</w:t>
      </w:r>
      <w:bookmarkEnd w:id="14"/>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lastRenderedPageBreak/>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Gazette 20 Nov 1998 p. 6268.]</w:t>
      </w:r>
    </w:p>
    <w:p>
      <w:pPr>
        <w:pStyle w:val="Heading5"/>
      </w:pPr>
      <w:bookmarkStart w:id="15" w:name="_Toc107395120"/>
      <w:r>
        <w:rPr>
          <w:rStyle w:val="CharSectno"/>
        </w:rPr>
        <w:t>3B</w:t>
      </w:r>
      <w:r>
        <w:t>.</w:t>
      </w:r>
      <w:r>
        <w:tab/>
        <w:t>Persons prescribed (Act s. 9(1)(c))</w:t>
      </w:r>
      <w:bookmarkEnd w:id="15"/>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lastRenderedPageBreak/>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Gazette 27 Jun 2003 p. 2396; amended: Gazette 16 Nov 2004 p. 5068; 29 Dec 2006 p. 5896; 16 Jul 2013 p. 3247</w:t>
      </w:r>
      <w:r>
        <w:noBreakHyphen/>
        <w:t>8.]</w:t>
      </w:r>
    </w:p>
    <w:p>
      <w:pPr>
        <w:pStyle w:val="Heading5"/>
        <w:rPr>
          <w:snapToGrid w:val="0"/>
        </w:rPr>
      </w:pPr>
      <w:bookmarkStart w:id="16" w:name="_Toc107395121"/>
      <w:r>
        <w:rPr>
          <w:rStyle w:val="CharSectno"/>
        </w:rPr>
        <w:t>4</w:t>
      </w:r>
      <w:r>
        <w:rPr>
          <w:snapToGrid w:val="0"/>
        </w:rPr>
        <w:t>.</w:t>
      </w:r>
      <w:r>
        <w:rPr>
          <w:snapToGrid w:val="0"/>
        </w:rPr>
        <w:tab/>
        <w:t>Conditions of delegation by Minister of powers to convey or transfer fee simple in Crown land (Act s. 9(1))</w:t>
      </w:r>
      <w:bookmarkEnd w:id="16"/>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Gazette 10 Apr 2001 p. 2074.]</w:t>
      </w:r>
    </w:p>
    <w:p>
      <w:pPr>
        <w:pStyle w:val="Ednotesection"/>
        <w:spacing w:before="180"/>
      </w:pPr>
      <w:r>
        <w:t>[</w:t>
      </w:r>
      <w:r>
        <w:rPr>
          <w:b/>
          <w:bCs/>
        </w:rPr>
        <w:t>4A.</w:t>
      </w:r>
      <w:r>
        <w:tab/>
        <w:t>Deleted: Gazette 18 Sep 2009 p. 3619.]</w:t>
      </w:r>
    </w:p>
    <w:p>
      <w:pPr>
        <w:pStyle w:val="Heading5"/>
        <w:spacing w:before="180"/>
      </w:pPr>
      <w:bookmarkStart w:id="17" w:name="_Toc107395122"/>
      <w:r>
        <w:rPr>
          <w:rStyle w:val="CharSectno"/>
        </w:rPr>
        <w:lastRenderedPageBreak/>
        <w:t>5A</w:t>
      </w:r>
      <w:r>
        <w:t>.</w:t>
      </w:r>
      <w:r>
        <w:tab/>
        <w:t>Certain City Arcade transactions etc. prescribed (Act s. 18(7)(b))</w:t>
      </w:r>
      <w:bookmarkEnd w:id="17"/>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Gazette 18 Sep 2009 p. 3619-20.]</w:t>
      </w:r>
    </w:p>
    <w:p>
      <w:pPr>
        <w:pStyle w:val="Heading5"/>
      </w:pPr>
      <w:bookmarkStart w:id="18" w:name="_Toc107395123"/>
      <w:r>
        <w:rPr>
          <w:rStyle w:val="CharSectno"/>
        </w:rPr>
        <w:t>5B</w:t>
      </w:r>
      <w:r>
        <w:t>.</w:t>
      </w:r>
      <w:r>
        <w:tab/>
        <w:t>Certain Collier Park Retirement Complex transactions etc. prescribed (Act s. 18(7)(b))</w:t>
      </w:r>
      <w:bookmarkEnd w:id="18"/>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lastRenderedPageBreak/>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Gazette 18 Sep 2009 p. 3620-1.]</w:t>
      </w:r>
    </w:p>
    <w:p>
      <w:pPr>
        <w:pStyle w:val="Heading5"/>
      </w:pPr>
      <w:bookmarkStart w:id="19" w:name="_Toc107395124"/>
      <w:r>
        <w:rPr>
          <w:rStyle w:val="CharSectno"/>
        </w:rPr>
        <w:t>5C</w:t>
      </w:r>
      <w:r>
        <w:t>.</w:t>
      </w:r>
      <w:r>
        <w:tab/>
        <w:t>Certain Perth Convention and Exhibition Centre transactions etc. prescribed (Act s. 18(7)(b))</w:t>
      </w:r>
      <w:bookmarkEnd w:id="19"/>
    </w:p>
    <w:p>
      <w:pPr>
        <w:pStyle w:val="Subsection"/>
      </w:pPr>
      <w:r>
        <w:tab/>
        <w:t>(1)</w:t>
      </w:r>
      <w:r>
        <w:tab/>
        <w:t xml:space="preserve">The circumstances and conditions prescribed for the purposes of section 18(7)(b) of the Act in relation to a transaction being the </w:t>
      </w:r>
      <w:r>
        <w:lastRenderedPageBreak/>
        <w:t xml:space="preserve">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Gazette 18 Sep 2009 p. 3621.]</w:t>
      </w:r>
    </w:p>
    <w:p>
      <w:pPr>
        <w:pStyle w:val="Heading5"/>
      </w:pPr>
      <w:bookmarkStart w:id="20" w:name="_Toc107395125"/>
      <w:r>
        <w:rPr>
          <w:rStyle w:val="CharSectno"/>
        </w:rPr>
        <w:t>5D</w:t>
      </w:r>
      <w:r>
        <w:t>.</w:t>
      </w:r>
      <w:r>
        <w:tab/>
        <w:t>Certain Old Swan Brewery transactions etc. prescribed (Act s. 18(7)(b))</w:t>
      </w:r>
      <w:bookmarkEnd w:id="20"/>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lastRenderedPageBreak/>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Gazette 18 Sep 2009 p. 3621-2.]</w:t>
      </w:r>
    </w:p>
    <w:p>
      <w:pPr>
        <w:pStyle w:val="Heading5"/>
        <w:spacing w:before="240"/>
      </w:pPr>
      <w:bookmarkStart w:id="21" w:name="_Toc107395126"/>
      <w:r>
        <w:rPr>
          <w:rStyle w:val="CharSectno"/>
        </w:rPr>
        <w:t>5E</w:t>
      </w:r>
      <w:r>
        <w:t>.</w:t>
      </w:r>
      <w:r>
        <w:tab/>
        <w:t>Land prescribed (Act s. 51A(1))</w:t>
      </w:r>
      <w:bookmarkEnd w:id="21"/>
    </w:p>
    <w:p>
      <w:pPr>
        <w:pStyle w:val="Subsection"/>
      </w:pPr>
      <w:r>
        <w:tab/>
      </w:r>
      <w:r>
        <w:tab/>
        <w:t>Reserve 26741 is land that is prescribed for the purposes of section 51A(1) of the Act.</w:t>
      </w:r>
    </w:p>
    <w:p>
      <w:pPr>
        <w:pStyle w:val="Footnotesection"/>
      </w:pPr>
      <w:r>
        <w:tab/>
        <w:t>[Regulation 5E inserted: Gazette 18 Sep 2009 p. 3622.]</w:t>
      </w:r>
    </w:p>
    <w:p>
      <w:pPr>
        <w:pStyle w:val="Heading5"/>
        <w:spacing w:before="240"/>
        <w:rPr>
          <w:snapToGrid w:val="0"/>
        </w:rPr>
      </w:pPr>
      <w:bookmarkStart w:id="22" w:name="_Toc107395127"/>
      <w:r>
        <w:rPr>
          <w:rStyle w:val="CharSectno"/>
        </w:rPr>
        <w:t>5</w:t>
      </w:r>
      <w:r>
        <w:rPr>
          <w:snapToGrid w:val="0"/>
        </w:rPr>
        <w:t>.</w:t>
      </w:r>
      <w:r>
        <w:rPr>
          <w:snapToGrid w:val="0"/>
        </w:rPr>
        <w:tab/>
        <w:t>Procedures to be followed by local government before requesting acquisition of alienated land designated for public purpose (Act s. 52(1)(a))</w:t>
      </w:r>
      <w:bookmarkEnd w:id="22"/>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lastRenderedPageBreak/>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23" w:name="_Toc107395128"/>
      <w:r>
        <w:rPr>
          <w:rStyle w:val="CharSectno"/>
        </w:rPr>
        <w:t>6</w:t>
      </w:r>
      <w:r>
        <w:rPr>
          <w:snapToGrid w:val="0"/>
        </w:rPr>
        <w:t>.</w:t>
      </w:r>
      <w:r>
        <w:rPr>
          <w:snapToGrid w:val="0"/>
        </w:rPr>
        <w:tab/>
        <w:t>Procedures to be followed by local government before requesting acquisition of private road (Act s. 52(1)(b))</w:t>
      </w:r>
      <w:bookmarkEnd w:id="23"/>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 xml:space="preserve">copies of any submissions (other than objections given under section 52(2)(b) of the Act) relating to the proposed request to acquire the subject land that, after complying with the requirements to give notice and advertise under section 52(3) </w:t>
      </w:r>
      <w:r>
        <w:rPr>
          <w:snapToGrid w:val="0"/>
        </w:rPr>
        <w:lastRenderedPageBreak/>
        <w:t>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Gazette 16 Jun 2000 p. 2943.]</w:t>
      </w:r>
    </w:p>
    <w:p>
      <w:pPr>
        <w:pStyle w:val="Heading5"/>
        <w:rPr>
          <w:snapToGrid w:val="0"/>
        </w:rPr>
      </w:pPr>
      <w:bookmarkStart w:id="24" w:name="_Toc107395129"/>
      <w:r>
        <w:rPr>
          <w:rStyle w:val="CharSectno"/>
        </w:rPr>
        <w:t>7</w:t>
      </w:r>
      <w:r>
        <w:rPr>
          <w:snapToGrid w:val="0"/>
        </w:rPr>
        <w:t>.</w:t>
      </w:r>
      <w:r>
        <w:rPr>
          <w:snapToGrid w:val="0"/>
        </w:rPr>
        <w:tab/>
        <w:t>Procedures to be followed by local government before requesting acquisition of alienated land in a townsite (Act s. 52(1)(c))</w:t>
      </w:r>
      <w:bookmarkEnd w:id="24"/>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spacing w:before="60"/>
        <w:rPr>
          <w:snapToGrid w:val="0"/>
        </w:rPr>
      </w:pPr>
      <w:r>
        <w:rPr>
          <w:snapToGrid w:val="0"/>
        </w:rPr>
        <w:lastRenderedPageBreak/>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25" w:name="_Toc107395130"/>
      <w:r>
        <w:rPr>
          <w:rStyle w:val="CharSectno"/>
        </w:rPr>
        <w:t>8</w:t>
      </w:r>
      <w:r>
        <w:rPr>
          <w:snapToGrid w:val="0"/>
        </w:rPr>
        <w:t>.</w:t>
      </w:r>
      <w:r>
        <w:rPr>
          <w:snapToGrid w:val="0"/>
        </w:rPr>
        <w:tab/>
        <w:t>Local government request to dedicate land as a road (Act s. 56), requirements for</w:t>
      </w:r>
      <w:bookmarkEnd w:id="25"/>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lastRenderedPageBreak/>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26" w:name="_Toc107395131"/>
      <w:r>
        <w:rPr>
          <w:rStyle w:val="CharSectno"/>
        </w:rPr>
        <w:t>9</w:t>
      </w:r>
      <w:r>
        <w:rPr>
          <w:snapToGrid w:val="0"/>
        </w:rPr>
        <w:t>.</w:t>
      </w:r>
      <w:r>
        <w:rPr>
          <w:snapToGrid w:val="0"/>
        </w:rPr>
        <w:tab/>
        <w:t>Local government request to close road permanently (Act s. 58(2)), requirements for</w:t>
      </w:r>
      <w:bookmarkEnd w:id="26"/>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27" w:name="_Toc107395132"/>
      <w:r>
        <w:rPr>
          <w:rStyle w:val="CharSectno"/>
        </w:rPr>
        <w:lastRenderedPageBreak/>
        <w:t>10</w:t>
      </w:r>
      <w:r>
        <w:rPr>
          <w:snapToGrid w:val="0"/>
        </w:rPr>
        <w:t>.</w:t>
      </w:r>
      <w:r>
        <w:rPr>
          <w:snapToGrid w:val="0"/>
        </w:rPr>
        <w:tab/>
        <w:t>Manner of advertising prescribed etc. for proposed mall reserve (Act s. 59)</w:t>
      </w:r>
      <w:bookmarkEnd w:id="27"/>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28" w:name="_Toc107395133"/>
      <w:r>
        <w:rPr>
          <w:rStyle w:val="CharSectno"/>
        </w:rPr>
        <w:t>11</w:t>
      </w:r>
      <w:r>
        <w:rPr>
          <w:snapToGrid w:val="0"/>
        </w:rPr>
        <w:t>.</w:t>
      </w:r>
      <w:r>
        <w:rPr>
          <w:snapToGrid w:val="0"/>
        </w:rPr>
        <w:tab/>
        <w:t>Manner of advertising prescribed etc. for cancelling mall reserve (Act s. 62)</w:t>
      </w:r>
      <w:bookmarkEnd w:id="28"/>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lastRenderedPageBreak/>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29" w:name="_Toc107395134"/>
      <w:r>
        <w:rPr>
          <w:rStyle w:val="CharSectno"/>
        </w:rPr>
        <w:t>12</w:t>
      </w:r>
      <w:r>
        <w:rPr>
          <w:snapToGrid w:val="0"/>
        </w:rPr>
        <w:t>.</w:t>
      </w:r>
      <w:r>
        <w:rPr>
          <w:snapToGrid w:val="0"/>
        </w:rPr>
        <w:tab/>
        <w:t>Procedure to be followed by Minister when determining and altering prices of Crown land (Act s. 74(2)(a))</w:t>
      </w:r>
      <w:bookmarkEnd w:id="29"/>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keepNext/>
        <w:spacing w:before="120"/>
      </w:pPr>
      <w:r>
        <w:lastRenderedPageBreak/>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1</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lastRenderedPageBreak/>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Gazette 16 Jun 2000 p. 2943</w:t>
      </w:r>
      <w:r>
        <w:noBreakHyphen/>
        <w:t>5; 5 Mar 2004 p. 699.]</w:t>
      </w:r>
    </w:p>
    <w:p>
      <w:pPr>
        <w:pStyle w:val="Heading5"/>
        <w:rPr>
          <w:snapToGrid w:val="0"/>
        </w:rPr>
      </w:pPr>
      <w:bookmarkStart w:id="30" w:name="_Toc107395135"/>
      <w:r>
        <w:rPr>
          <w:rStyle w:val="CharSectno"/>
        </w:rPr>
        <w:t>13</w:t>
      </w:r>
      <w:r>
        <w:rPr>
          <w:snapToGrid w:val="0"/>
        </w:rPr>
        <w:t>.</w:t>
      </w:r>
      <w:r>
        <w:rPr>
          <w:snapToGrid w:val="0"/>
        </w:rPr>
        <w:tab/>
        <w:t>Requirements for entering joint ventures prescribed (Act s. 78(1))</w:t>
      </w:r>
      <w:bookmarkEnd w:id="30"/>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lastRenderedPageBreak/>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31" w:name="_Toc107395136"/>
      <w:r>
        <w:rPr>
          <w:rStyle w:val="CharSectno"/>
        </w:rPr>
        <w:t>14</w:t>
      </w:r>
      <w:r>
        <w:rPr>
          <w:snapToGrid w:val="0"/>
        </w:rPr>
        <w:t>.</w:t>
      </w:r>
      <w:r>
        <w:rPr>
          <w:snapToGrid w:val="0"/>
        </w:rPr>
        <w:tab/>
        <w:t>Conditions prescribed (Act s. 89)</w:t>
      </w:r>
      <w:bookmarkEnd w:id="31"/>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32" w:name="_Toc107395137"/>
      <w:r>
        <w:rPr>
          <w:rStyle w:val="CharSectno"/>
        </w:rPr>
        <w:t>15</w:t>
      </w:r>
      <w:r>
        <w:t>.</w:t>
      </w:r>
      <w:r>
        <w:tab/>
        <w:t>Phasing in of increased rents for pastoral leases (Act s. 124A)</w:t>
      </w:r>
      <w:bookmarkEnd w:id="32"/>
    </w:p>
    <w:p>
      <w:pPr>
        <w:pStyle w:val="Subsection"/>
      </w:pPr>
      <w:r>
        <w:tab/>
        <w:t>(1)</w:t>
      </w:r>
      <w:r>
        <w:tab/>
        <w:t xml:space="preserve">This regulation applies, for the purposes of section 124A of the Act, to the annual rent for a pastoral lease (the </w:t>
      </w:r>
      <w:r>
        <w:rPr>
          <w:rStyle w:val="CharDefText"/>
        </w:rPr>
        <w:t>2019 determined rent</w:t>
      </w:r>
      <w:r>
        <w:t xml:space="preserve">) that, as the result of a determination under section 123 of the Act as at 1 July 2019, is greater than 120% of the </w:t>
      </w:r>
      <w:r>
        <w:rPr>
          <w:b/>
          <w:i/>
        </w:rPr>
        <w:t>2014 determined rent</w:t>
      </w:r>
      <w:r>
        <w:t xml:space="preserve"> (see subregulation (2)).</w:t>
      </w:r>
    </w:p>
    <w:p>
      <w:pPr>
        <w:pStyle w:val="Subsection"/>
      </w:pPr>
      <w:r>
        <w:lastRenderedPageBreak/>
        <w:tab/>
        <w:t>(2)</w:t>
      </w:r>
      <w:r>
        <w:tab/>
        <w:t xml:space="preserve">The </w:t>
      </w:r>
      <w:r>
        <w:rPr>
          <w:rStyle w:val="CharDefText"/>
        </w:rPr>
        <w:t>2014 determined rent</w:t>
      </w:r>
      <w:r>
        <w:t xml:space="preserve"> is the annual rent for the pastoral lease that applied immediately before the determination referred to in subregulation (1).</w:t>
      </w:r>
    </w:p>
    <w:p>
      <w:pPr>
        <w:pStyle w:val="Subsection"/>
      </w:pPr>
      <w:r>
        <w:tab/>
        <w:t>(3)</w:t>
      </w:r>
      <w:r>
        <w:tab/>
        <w:t>Subregulations (4) and (5) apply if the 2019 determined rent is not greater than 144% of the 2014 determined rent.</w:t>
      </w:r>
    </w:p>
    <w:p>
      <w:pPr>
        <w:pStyle w:val="Subsection"/>
      </w:pPr>
      <w:r>
        <w:tab/>
        <w:t>(4)</w:t>
      </w:r>
      <w:r>
        <w:tab/>
        <w:t>Instead of the 2019 determined rent, the annual rent payable for the pastoral lease as at 1 July 2019 is 120% of the 2014 determined rent.</w:t>
      </w:r>
    </w:p>
    <w:p>
      <w:pPr>
        <w:pStyle w:val="Subsection"/>
      </w:pPr>
      <w:r>
        <w:tab/>
        <w:t>(5)</w:t>
      </w:r>
      <w:r>
        <w:tab/>
        <w:t>The annual rent payable for the pastoral lease as at 1 July 2020 is the 2019 determined rent.</w:t>
      </w:r>
    </w:p>
    <w:p>
      <w:pPr>
        <w:pStyle w:val="Subsection"/>
      </w:pPr>
      <w:r>
        <w:tab/>
        <w:t>(6)</w:t>
      </w:r>
      <w:r>
        <w:tab/>
        <w:t>Subregulations (7) and (8) apply if the 2019 determined rent is greater than 144% of the 2014 determined rent.</w:t>
      </w:r>
    </w:p>
    <w:p>
      <w:pPr>
        <w:pStyle w:val="Subsection"/>
      </w:pPr>
      <w:r>
        <w:tab/>
        <w:t>(7)</w:t>
      </w:r>
      <w:r>
        <w:tab/>
        <w:t xml:space="preserve">Instead of the 2019 determined rent, the annual rent payable for the pastoral lease — </w:t>
      </w:r>
    </w:p>
    <w:p>
      <w:pPr>
        <w:pStyle w:val="Indenta"/>
      </w:pPr>
      <w:r>
        <w:tab/>
        <w:t>(a)</w:t>
      </w:r>
      <w:r>
        <w:tab/>
        <w:t>as at 1 July 2019, is 120% of the 2014 determined rent; and</w:t>
      </w:r>
    </w:p>
    <w:p>
      <w:pPr>
        <w:pStyle w:val="Indenta"/>
      </w:pPr>
      <w:r>
        <w:tab/>
        <w:t>(b)</w:t>
      </w:r>
      <w:r>
        <w:tab/>
        <w:t>as at 1 July 2020, is 144% of the 2014 determined rent.</w:t>
      </w:r>
    </w:p>
    <w:p>
      <w:pPr>
        <w:pStyle w:val="Subsection"/>
      </w:pPr>
      <w:r>
        <w:tab/>
        <w:t>(8)</w:t>
      </w:r>
      <w:r>
        <w:tab/>
        <w:t>The annual rent payable for the pastoral lease as at 1 July 2021 is the 2019 determined rent.</w:t>
      </w:r>
    </w:p>
    <w:p>
      <w:pPr>
        <w:pStyle w:val="Footnotesection"/>
      </w:pPr>
      <w:r>
        <w:tab/>
        <w:t>[Regulation 15 inserted: Gazette 28 Jun 2019 p. 2484</w:t>
      </w:r>
      <w:r>
        <w:noBreakHyphen/>
        <w:t>5.]</w:t>
      </w:r>
    </w:p>
    <w:p>
      <w:pPr>
        <w:pStyle w:val="Heading5"/>
        <w:rPr>
          <w:snapToGrid w:val="0"/>
        </w:rPr>
      </w:pPr>
      <w:bookmarkStart w:id="33" w:name="_Toc107395138"/>
      <w:r>
        <w:rPr>
          <w:rStyle w:val="CharSectno"/>
        </w:rPr>
        <w:t>16</w:t>
      </w:r>
      <w:r>
        <w:rPr>
          <w:snapToGrid w:val="0"/>
        </w:rPr>
        <w:t>.</w:t>
      </w:r>
      <w:r>
        <w:rPr>
          <w:snapToGrid w:val="0"/>
        </w:rPr>
        <w:tab/>
        <w:t>Rate of interest prescribed (Act s. 125(4))</w:t>
      </w:r>
      <w:bookmarkEnd w:id="33"/>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34" w:name="_Toc107395139"/>
      <w:r>
        <w:rPr>
          <w:rStyle w:val="CharSectno"/>
        </w:rPr>
        <w:t>17</w:t>
      </w:r>
      <w:r>
        <w:rPr>
          <w:snapToGrid w:val="0"/>
        </w:rPr>
        <w:t>.</w:t>
      </w:r>
      <w:r>
        <w:rPr>
          <w:snapToGrid w:val="0"/>
        </w:rPr>
        <w:tab/>
        <w:t>Fees (Sch. 1)</w:t>
      </w:r>
      <w:bookmarkEnd w:id="34"/>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keepNext/>
      </w:pPr>
      <w:r>
        <w:lastRenderedPageBreak/>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Gazette 10 Apr 2001 p. 2074; 27 Jun 2017 p. 3436.]</w:t>
      </w:r>
    </w:p>
    <w:p>
      <w:pPr>
        <w:pStyle w:val="Heading5"/>
      </w:pPr>
      <w:bookmarkStart w:id="35" w:name="_Toc107395140"/>
      <w:r>
        <w:rPr>
          <w:rStyle w:val="CharSectno"/>
        </w:rPr>
        <w:t>17A</w:t>
      </w:r>
      <w:r>
        <w:t>.</w:t>
      </w:r>
      <w:r>
        <w:tab/>
        <w:t>Geocentric Datum of Australia 2020 prescribed (Act s. 5A)</w:t>
      </w:r>
      <w:bookmarkEnd w:id="35"/>
    </w:p>
    <w:p>
      <w:pPr>
        <w:pStyle w:val="Subsection"/>
      </w:pPr>
      <w:r>
        <w:tab/>
        <w:t>(1)</w:t>
      </w:r>
      <w:r>
        <w:tab/>
        <w:t xml:space="preserve">In this regulation — </w:t>
      </w:r>
    </w:p>
    <w:p>
      <w:pPr>
        <w:pStyle w:val="Defstart"/>
      </w:pPr>
      <w:r>
        <w:tab/>
      </w:r>
      <w:r>
        <w:rPr>
          <w:rStyle w:val="CharDefText"/>
        </w:rPr>
        <w:t>2017 Determination</w:t>
      </w:r>
      <w:r>
        <w:t xml:space="preserve"> means the </w:t>
      </w:r>
      <w:r>
        <w:rPr>
          <w:i/>
        </w:rPr>
        <w:t>National Measurement (Recognized</w:t>
      </w:r>
      <w:r>
        <w:rPr>
          <w:i/>
        </w:rPr>
        <w:noBreakHyphen/>
        <w:t xml:space="preserve">Value Standard of Measurement of Position) Determination 2017 </w:t>
      </w:r>
      <w:r>
        <w:t>(Commonwealth), as in force on 1 July 2020;</w:t>
      </w:r>
    </w:p>
    <w:p>
      <w:pPr>
        <w:pStyle w:val="Defstart"/>
      </w:pPr>
      <w:r>
        <w:tab/>
      </w:r>
      <w:r>
        <w:rPr>
          <w:rStyle w:val="CharDefText"/>
        </w:rPr>
        <w:t>Geocentric Datum of Australia 2020</w:t>
      </w:r>
      <w:r>
        <w:t xml:space="preserve"> means the Reference Frame defined in the 2017 Determination clause 4.</w:t>
      </w:r>
    </w:p>
    <w:p>
      <w:pPr>
        <w:pStyle w:val="Subsection"/>
      </w:pPr>
      <w:r>
        <w:tab/>
        <w:t>(2)</w:t>
      </w:r>
      <w:r>
        <w:tab/>
        <w:t>For the purposes of section 5A(1) of the Act, the Geocentric Datum of Australia 2020 is prescribed.</w:t>
      </w:r>
    </w:p>
    <w:p>
      <w:pPr>
        <w:pStyle w:val="Footnotesection"/>
      </w:pPr>
      <w:r>
        <w:tab/>
        <w:t>[Regulation 17A inserted: SL 2020/64 r. 4.]</w:t>
      </w:r>
    </w:p>
    <w:p>
      <w:pPr>
        <w:pStyle w:val="Heading5"/>
      </w:pPr>
      <w:bookmarkStart w:id="36" w:name="_Toc107395141"/>
      <w:r>
        <w:rPr>
          <w:rStyle w:val="CharSectno"/>
        </w:rPr>
        <w:lastRenderedPageBreak/>
        <w:t>17B</w:t>
      </w:r>
      <w:r>
        <w:t>.</w:t>
      </w:r>
      <w:r>
        <w:tab/>
        <w:t>Acts prescribed (Act s. 18(8)(b)(ii))</w:t>
      </w:r>
      <w:bookmarkEnd w:id="36"/>
    </w:p>
    <w:p>
      <w:pPr>
        <w:pStyle w:val="Subsection"/>
        <w:keepNext/>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Tree Plantation Agreements Act 2003</w:t>
      </w:r>
      <w:r>
        <w:t>.</w:t>
      </w:r>
    </w:p>
    <w:p>
      <w:pPr>
        <w:pStyle w:val="Footnotesection"/>
      </w:pPr>
      <w:r>
        <w:tab/>
        <w:t>[Regulation 17B inserted: Gazette 10 Apr 2001 p. 2074; amended: Gazette 18 Sep 2009 p. 3622.]</w:t>
      </w:r>
    </w:p>
    <w:p>
      <w:pPr>
        <w:pStyle w:val="Heading5"/>
      </w:pPr>
      <w:bookmarkStart w:id="37" w:name="_Toc107395142"/>
      <w:r>
        <w:rPr>
          <w:rStyle w:val="CharSectno"/>
        </w:rPr>
        <w:t>17C</w:t>
      </w:r>
      <w:r>
        <w:t>.</w:t>
      </w:r>
      <w:r>
        <w:tab/>
        <w:t xml:space="preserve">Stock prescribed (Act s. 93 </w:t>
      </w:r>
      <w:r>
        <w:rPr>
          <w:i/>
        </w:rPr>
        <w:t>authorised stock</w:t>
      </w:r>
      <w:r>
        <w:t>)</w:t>
      </w:r>
      <w:bookmarkEnd w:id="37"/>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Gazette 10 Apr 2001 p. 2074; amended: Gazette 27 Aug 2002 p. 4355.]</w:t>
      </w:r>
    </w:p>
    <w:p>
      <w:pPr>
        <w:pStyle w:val="Heading5"/>
      </w:pPr>
      <w:bookmarkStart w:id="38" w:name="_Toc107395143"/>
      <w:r>
        <w:rPr>
          <w:rStyle w:val="CharSectno"/>
        </w:rPr>
        <w:t>17D</w:t>
      </w:r>
      <w:r>
        <w:t>.</w:t>
      </w:r>
      <w:r>
        <w:tab/>
        <w:t>Longer period prescribed (Act 143(6g) etc.)</w:t>
      </w:r>
      <w:bookmarkEnd w:id="38"/>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Gazette 24 Nov 2004 p. 5255</w:t>
      </w:r>
      <w:r>
        <w:noBreakHyphen/>
        <w:t>6.]</w:t>
      </w:r>
    </w:p>
    <w:p>
      <w:pPr>
        <w:pStyle w:val="Heading5"/>
      </w:pPr>
      <w:bookmarkStart w:id="39" w:name="_Toc107395144"/>
      <w:r>
        <w:rPr>
          <w:rStyle w:val="CharSectno"/>
        </w:rPr>
        <w:lastRenderedPageBreak/>
        <w:t>17E</w:t>
      </w:r>
      <w:r>
        <w:t>.</w:t>
      </w:r>
      <w:r>
        <w:tab/>
        <w:t>Circumstances prescribed (Act s. 75(7a))</w:t>
      </w:r>
      <w:bookmarkEnd w:id="39"/>
    </w:p>
    <w:p>
      <w:pPr>
        <w:pStyle w:val="Subsection"/>
        <w:keepNext/>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Knutsford land</w:t>
      </w:r>
      <w:r>
        <w:t xml:space="preserve"> means all of the following — </w:t>
      </w:r>
    </w:p>
    <w:p>
      <w:pPr>
        <w:pStyle w:val="Defpara"/>
      </w:pPr>
      <w:r>
        <w:tab/>
        <w:t>(a)</w:t>
      </w:r>
      <w:r>
        <w:tab/>
        <w:t>Lots 1186 to 1192, 1197 to 1200, 1207, 1208, 1213 and 1214 on Deposited Plan 40767, being the whole of the land in Certificates of Title Volume 2183 Folio 606 to 620;</w:t>
      </w:r>
    </w:p>
    <w:p>
      <w:pPr>
        <w:pStyle w:val="Defpara"/>
      </w:pPr>
      <w:r>
        <w:tab/>
        <w:t>(b)</w:t>
      </w:r>
      <w:r>
        <w:tab/>
        <w:t>Lot 1215 on Deposited Plan 40767, being the whole of the land in Certificate of Title Volume 1686 Folio 343;</w:t>
      </w:r>
    </w:p>
    <w:p>
      <w:pPr>
        <w:pStyle w:val="Defpara"/>
      </w:pPr>
      <w:r>
        <w:tab/>
        <w:t>(c)</w:t>
      </w:r>
      <w:r>
        <w:tab/>
        <w:t>Lot 1725 on Deposited Plan 40767, being the whole of the land in Certificate of Title Volume 1044 Folio 112;</w:t>
      </w:r>
    </w:p>
    <w:p>
      <w:pPr>
        <w:pStyle w:val="Defstart"/>
      </w:pPr>
      <w:r>
        <w:tab/>
      </w:r>
      <w:r>
        <w:rPr>
          <w:rStyle w:val="CharDefText"/>
        </w:rPr>
        <w:t>Mosman Park land</w:t>
      </w:r>
      <w:r>
        <w:t xml:space="preserve"> means any part of Lot 591 on Deposited Plan 68376, being the whole of the land in Certificate of Title Volume 2741 Folio 263;</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 xml:space="preserve">The Minister may exercise the power described in section 75(7a) of the Act if the application under section 75(7) of the </w:t>
      </w:r>
      <w:r>
        <w:lastRenderedPageBreak/>
        <w:t>Act is made by the Western Australian Land Authority in respect of Jolimont land.</w:t>
      </w:r>
    </w:p>
    <w:p>
      <w:pPr>
        <w:pStyle w:val="Subsection"/>
      </w:pPr>
      <w:r>
        <w:tab/>
        <w:t>(4)</w:t>
      </w:r>
      <w:r>
        <w:tab/>
        <w:t>The Minister may exercise the power described in section 75(7a) of the Act if the application under section 75(7) of the Act is made by the Trustees of Public Education Endowment in respect of the Knutsford land.</w:t>
      </w:r>
    </w:p>
    <w:p>
      <w:pPr>
        <w:pStyle w:val="Subsection"/>
      </w:pPr>
      <w:r>
        <w:tab/>
        <w:t>(5)</w:t>
      </w:r>
      <w:r>
        <w:tab/>
        <w:t>The Minister may exercise the power described in section 75(7a) of the Act if the application under section 75(7) of the Act is made by Rocky Bay Limited (ACN 636 892 898) in respect of Mosman Park land.</w:t>
      </w:r>
    </w:p>
    <w:p>
      <w:pPr>
        <w:pStyle w:val="Footnotesection"/>
      </w:pPr>
      <w:r>
        <w:tab/>
        <w:t>[Regulation 17E inserted: Gazette 6 Sep 2016 p. 3826</w:t>
      </w:r>
      <w:r>
        <w:noBreakHyphen/>
        <w:t>7; amended: Gazette 6 Sep 2016 p. 3825-6; SL 2021/189 r. 4.]</w:t>
      </w:r>
    </w:p>
    <w:p>
      <w:pPr>
        <w:pStyle w:val="Heading5"/>
      </w:pPr>
      <w:bookmarkStart w:id="40" w:name="_Toc107395145"/>
      <w:r>
        <w:rPr>
          <w:rStyle w:val="CharSectno"/>
        </w:rPr>
        <w:t>17F</w:t>
      </w:r>
      <w:r>
        <w:t>.</w:t>
      </w:r>
      <w:r>
        <w:tab/>
        <w:t xml:space="preserve">Commonwealth agencies prescribed (Act s. 275A(1) </w:t>
      </w:r>
      <w:r>
        <w:rPr>
          <w:i/>
        </w:rPr>
        <w:t>public authority</w:t>
      </w:r>
      <w:r>
        <w:t>)</w:t>
      </w:r>
      <w:bookmarkEnd w:id="40"/>
    </w:p>
    <w:p>
      <w:pPr>
        <w:pStyle w:val="Subsection"/>
        <w:keepNext/>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lastRenderedPageBreak/>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Gazette 6 Jul 2012 p. 3024</w:t>
      </w:r>
      <w:r>
        <w:noBreakHyphen/>
        <w:t>5.]</w:t>
      </w:r>
    </w:p>
    <w:p>
      <w:pPr>
        <w:pStyle w:val="Heading2"/>
      </w:pPr>
      <w:bookmarkStart w:id="41" w:name="_Toc107221694"/>
      <w:bookmarkStart w:id="42" w:name="_Toc107221756"/>
      <w:bookmarkStart w:id="43" w:name="_Toc107222002"/>
      <w:bookmarkStart w:id="44" w:name="_Toc107395146"/>
      <w:r>
        <w:rPr>
          <w:rStyle w:val="CharPartNo"/>
        </w:rPr>
        <w:lastRenderedPageBreak/>
        <w:t>Part 3</w:t>
      </w:r>
      <w:r>
        <w:rPr>
          <w:rStyle w:val="CharDivNo"/>
        </w:rPr>
        <w:t> </w:t>
      </w:r>
      <w:r>
        <w:t>—</w:t>
      </w:r>
      <w:r>
        <w:rPr>
          <w:rStyle w:val="CharDivText"/>
        </w:rPr>
        <w:t> </w:t>
      </w:r>
      <w:r>
        <w:rPr>
          <w:rStyle w:val="CharPartText"/>
        </w:rPr>
        <w:t>Surveys</w:t>
      </w:r>
      <w:bookmarkEnd w:id="41"/>
      <w:bookmarkEnd w:id="42"/>
      <w:bookmarkEnd w:id="43"/>
      <w:bookmarkEnd w:id="44"/>
    </w:p>
    <w:p>
      <w:pPr>
        <w:pStyle w:val="Heading5"/>
        <w:rPr>
          <w:snapToGrid w:val="0"/>
        </w:rPr>
      </w:pPr>
      <w:bookmarkStart w:id="45" w:name="_Toc107395147"/>
      <w:r>
        <w:rPr>
          <w:rStyle w:val="CharSectno"/>
        </w:rPr>
        <w:t>18</w:t>
      </w:r>
      <w:r>
        <w:rPr>
          <w:snapToGrid w:val="0"/>
        </w:rPr>
        <w:t>.</w:t>
      </w:r>
      <w:r>
        <w:rPr>
          <w:snapToGrid w:val="0"/>
        </w:rPr>
        <w:tab/>
        <w:t>Terms used</w:t>
      </w:r>
      <w:bookmarkEnd w:id="45"/>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46" w:name="_Toc107395148"/>
      <w:r>
        <w:rPr>
          <w:rStyle w:val="CharSectno"/>
        </w:rPr>
        <w:t>19</w:t>
      </w:r>
      <w:r>
        <w:rPr>
          <w:snapToGrid w:val="0"/>
        </w:rPr>
        <w:t>.</w:t>
      </w:r>
      <w:r>
        <w:rPr>
          <w:snapToGrid w:val="0"/>
        </w:rPr>
        <w:tab/>
        <w:t>Doubts etc. about survey, duties of departmental surveyor as to</w:t>
      </w:r>
      <w:bookmarkEnd w:id="46"/>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47" w:name="_Toc107395149"/>
      <w:r>
        <w:rPr>
          <w:rStyle w:val="CharSectno"/>
        </w:rPr>
        <w:t>20</w:t>
      </w:r>
      <w:r>
        <w:rPr>
          <w:snapToGrid w:val="0"/>
        </w:rPr>
        <w:t>.</w:t>
      </w:r>
      <w:r>
        <w:rPr>
          <w:snapToGrid w:val="0"/>
        </w:rPr>
        <w:tab/>
        <w:t>Authorised land officer’s powers for Act s. 32</w:t>
      </w:r>
      <w:bookmarkEnd w:id="47"/>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lastRenderedPageBreak/>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48" w:name="_Toc107395150"/>
      <w:r>
        <w:rPr>
          <w:rStyle w:val="CharSectno"/>
        </w:rPr>
        <w:t>21</w:t>
      </w:r>
      <w:r>
        <w:rPr>
          <w:snapToGrid w:val="0"/>
        </w:rPr>
        <w:t>.</w:t>
      </w:r>
      <w:r>
        <w:rPr>
          <w:snapToGrid w:val="0"/>
        </w:rPr>
        <w:tab/>
        <w:t>Alternative methodology for authorised surveys in special cases</w:t>
      </w:r>
      <w:bookmarkEnd w:id="48"/>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49" w:name="_Toc107395151"/>
      <w:r>
        <w:rPr>
          <w:rStyle w:val="CharSectno"/>
        </w:rPr>
        <w:t>22</w:t>
      </w:r>
      <w:r>
        <w:rPr>
          <w:snapToGrid w:val="0"/>
        </w:rPr>
        <w:t>.</w:t>
      </w:r>
      <w:r>
        <w:rPr>
          <w:snapToGrid w:val="0"/>
        </w:rPr>
        <w:tab/>
        <w:t>Documents of departmental surveyor are Crown property</w:t>
      </w:r>
      <w:bookmarkEnd w:id="49"/>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50" w:name="_Toc107395152"/>
      <w:r>
        <w:rPr>
          <w:rStyle w:val="CharSectno"/>
        </w:rPr>
        <w:lastRenderedPageBreak/>
        <w:t>23</w:t>
      </w:r>
      <w:r>
        <w:rPr>
          <w:snapToGrid w:val="0"/>
        </w:rPr>
        <w:t>.</w:t>
      </w:r>
      <w:r>
        <w:rPr>
          <w:snapToGrid w:val="0"/>
        </w:rPr>
        <w:tab/>
        <w:t xml:space="preserve">Inconsistency with </w:t>
      </w:r>
      <w:r>
        <w:rPr>
          <w:i/>
          <w:snapToGrid w:val="0"/>
        </w:rPr>
        <w:t>Licensed Surveyors (Guidance of Surveyors) Regulations 1961</w:t>
      </w:r>
      <w:bookmarkEnd w:id="50"/>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51" w:name="_Toc107221701"/>
      <w:bookmarkStart w:id="52" w:name="_Toc107221763"/>
      <w:bookmarkStart w:id="53" w:name="_Toc107222009"/>
      <w:bookmarkStart w:id="54" w:name="_Toc107395153"/>
      <w:r>
        <w:rPr>
          <w:rStyle w:val="CharPartNo"/>
        </w:rPr>
        <w:lastRenderedPageBreak/>
        <w:t>Part 4</w:t>
      </w:r>
      <w:r>
        <w:rPr>
          <w:rStyle w:val="CharDivNo"/>
        </w:rPr>
        <w:t> </w:t>
      </w:r>
      <w:r>
        <w:t>—</w:t>
      </w:r>
      <w:r>
        <w:rPr>
          <w:rStyle w:val="CharDivText"/>
        </w:rPr>
        <w:t> </w:t>
      </w:r>
      <w:r>
        <w:rPr>
          <w:rStyle w:val="CharPartText"/>
        </w:rPr>
        <w:t>Advisory panels</w:t>
      </w:r>
      <w:bookmarkEnd w:id="51"/>
      <w:bookmarkEnd w:id="52"/>
      <w:bookmarkEnd w:id="53"/>
      <w:bookmarkEnd w:id="54"/>
    </w:p>
    <w:p>
      <w:pPr>
        <w:pStyle w:val="Heading5"/>
        <w:rPr>
          <w:snapToGrid w:val="0"/>
        </w:rPr>
      </w:pPr>
      <w:bookmarkStart w:id="55" w:name="_Toc107395154"/>
      <w:r>
        <w:rPr>
          <w:rStyle w:val="CharSectno"/>
        </w:rPr>
        <w:t>24</w:t>
      </w:r>
      <w:r>
        <w:rPr>
          <w:snapToGrid w:val="0"/>
        </w:rPr>
        <w:t>.</w:t>
      </w:r>
      <w:r>
        <w:rPr>
          <w:snapToGrid w:val="0"/>
        </w:rPr>
        <w:tab/>
        <w:t>Terms used</w:t>
      </w:r>
      <w:bookmarkEnd w:id="55"/>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56" w:name="_Toc107395155"/>
      <w:r>
        <w:rPr>
          <w:rStyle w:val="CharSectno"/>
        </w:rPr>
        <w:t>25</w:t>
      </w:r>
      <w:r>
        <w:rPr>
          <w:snapToGrid w:val="0"/>
        </w:rPr>
        <w:t>.</w:t>
      </w:r>
      <w:r>
        <w:rPr>
          <w:snapToGrid w:val="0"/>
        </w:rPr>
        <w:tab/>
        <w:t>Members of panels</w:t>
      </w:r>
      <w:bookmarkEnd w:id="56"/>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57" w:name="_Toc107395156"/>
      <w:r>
        <w:rPr>
          <w:rStyle w:val="CharSectno"/>
        </w:rPr>
        <w:t>26</w:t>
      </w:r>
      <w:r>
        <w:rPr>
          <w:snapToGrid w:val="0"/>
        </w:rPr>
        <w:t>.</w:t>
      </w:r>
      <w:r>
        <w:rPr>
          <w:snapToGrid w:val="0"/>
        </w:rPr>
        <w:tab/>
        <w:t>Remuneration of members</w:t>
      </w:r>
      <w:bookmarkEnd w:id="57"/>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Gazette </w:t>
      </w:r>
      <w:r>
        <w:rPr>
          <w:szCs w:val="24"/>
        </w:rPr>
        <w:t>11 Feb 2011 p. 506</w:t>
      </w:r>
      <w:r>
        <w:rPr>
          <w:szCs w:val="24"/>
        </w:rPr>
        <w:noBreakHyphen/>
        <w:t>7.]</w:t>
      </w:r>
    </w:p>
    <w:p>
      <w:pPr>
        <w:pStyle w:val="Heading5"/>
        <w:rPr>
          <w:snapToGrid w:val="0"/>
        </w:rPr>
      </w:pPr>
      <w:bookmarkStart w:id="58" w:name="_Toc107395157"/>
      <w:r>
        <w:rPr>
          <w:rStyle w:val="CharSectno"/>
        </w:rPr>
        <w:t>27</w:t>
      </w:r>
      <w:r>
        <w:rPr>
          <w:snapToGrid w:val="0"/>
        </w:rPr>
        <w:t>.</w:t>
      </w:r>
      <w:r>
        <w:rPr>
          <w:snapToGrid w:val="0"/>
        </w:rPr>
        <w:tab/>
        <w:t>Term of office</w:t>
      </w:r>
      <w:bookmarkEnd w:id="58"/>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59" w:name="_Toc107395158"/>
      <w:r>
        <w:rPr>
          <w:rStyle w:val="CharSectno"/>
        </w:rPr>
        <w:lastRenderedPageBreak/>
        <w:t>28</w:t>
      </w:r>
      <w:r>
        <w:rPr>
          <w:snapToGrid w:val="0"/>
        </w:rPr>
        <w:t>.</w:t>
      </w:r>
      <w:r>
        <w:rPr>
          <w:snapToGrid w:val="0"/>
        </w:rPr>
        <w:tab/>
        <w:t>Member unable to act</w:t>
      </w:r>
      <w:bookmarkEnd w:id="59"/>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60" w:name="_Toc107395159"/>
      <w:r>
        <w:rPr>
          <w:rStyle w:val="CharSectno"/>
        </w:rPr>
        <w:t>29</w:t>
      </w:r>
      <w:r>
        <w:rPr>
          <w:snapToGrid w:val="0"/>
        </w:rPr>
        <w:t>.</w:t>
      </w:r>
      <w:r>
        <w:rPr>
          <w:snapToGrid w:val="0"/>
        </w:rPr>
        <w:tab/>
        <w:t>Calling of meetings</w:t>
      </w:r>
      <w:bookmarkEnd w:id="60"/>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61" w:name="_Toc107395160"/>
      <w:r>
        <w:rPr>
          <w:rStyle w:val="CharSectno"/>
        </w:rPr>
        <w:t>30</w:t>
      </w:r>
      <w:r>
        <w:rPr>
          <w:snapToGrid w:val="0"/>
        </w:rPr>
        <w:t>.</w:t>
      </w:r>
      <w:r>
        <w:rPr>
          <w:snapToGrid w:val="0"/>
        </w:rPr>
        <w:tab/>
        <w:t>Who presides at meetings</w:t>
      </w:r>
      <w:bookmarkEnd w:id="61"/>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62" w:name="_Toc107395161"/>
      <w:r>
        <w:rPr>
          <w:rStyle w:val="CharSectno"/>
        </w:rPr>
        <w:t>31</w:t>
      </w:r>
      <w:r>
        <w:rPr>
          <w:snapToGrid w:val="0"/>
        </w:rPr>
        <w:t>.</w:t>
      </w:r>
      <w:r>
        <w:rPr>
          <w:snapToGrid w:val="0"/>
        </w:rPr>
        <w:tab/>
        <w:t>Quorum</w:t>
      </w:r>
      <w:bookmarkEnd w:id="62"/>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63" w:name="_Toc107395162"/>
      <w:r>
        <w:rPr>
          <w:rStyle w:val="CharSectno"/>
        </w:rPr>
        <w:t>32</w:t>
      </w:r>
      <w:r>
        <w:rPr>
          <w:snapToGrid w:val="0"/>
        </w:rPr>
        <w:t>.</w:t>
      </w:r>
      <w:r>
        <w:rPr>
          <w:snapToGrid w:val="0"/>
        </w:rPr>
        <w:tab/>
        <w:t>Voting</w:t>
      </w:r>
      <w:bookmarkEnd w:id="63"/>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64" w:name="_Toc107395163"/>
      <w:r>
        <w:rPr>
          <w:rStyle w:val="CharSectno"/>
        </w:rPr>
        <w:lastRenderedPageBreak/>
        <w:t>33</w:t>
      </w:r>
      <w:r>
        <w:rPr>
          <w:snapToGrid w:val="0"/>
        </w:rPr>
        <w:t>.</w:t>
      </w:r>
      <w:r>
        <w:rPr>
          <w:snapToGrid w:val="0"/>
        </w:rPr>
        <w:tab/>
        <w:t>Minutes</w:t>
      </w:r>
      <w:bookmarkEnd w:id="64"/>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65" w:name="_Toc107395164"/>
      <w:r>
        <w:rPr>
          <w:rStyle w:val="CharSectno"/>
        </w:rPr>
        <w:t>34</w:t>
      </w:r>
      <w:r>
        <w:rPr>
          <w:snapToGrid w:val="0"/>
        </w:rPr>
        <w:t>.</w:t>
      </w:r>
      <w:r>
        <w:rPr>
          <w:snapToGrid w:val="0"/>
        </w:rPr>
        <w:tab/>
        <w:t>Telephone or video meetings</w:t>
      </w:r>
      <w:bookmarkEnd w:id="65"/>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66" w:name="_Toc107395165"/>
      <w:r>
        <w:rPr>
          <w:rStyle w:val="CharSectno"/>
        </w:rPr>
        <w:t>35</w:t>
      </w:r>
      <w:r>
        <w:rPr>
          <w:snapToGrid w:val="0"/>
        </w:rPr>
        <w:t>.</w:t>
      </w:r>
      <w:r>
        <w:rPr>
          <w:snapToGrid w:val="0"/>
        </w:rPr>
        <w:tab/>
        <w:t>How panel is to inform itself</w:t>
      </w:r>
      <w:bookmarkEnd w:id="66"/>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Gazette 5 Mar 2004 p. 700.]</w:t>
      </w:r>
    </w:p>
    <w:p>
      <w:pPr>
        <w:pStyle w:val="Heading5"/>
        <w:spacing w:before="200"/>
        <w:rPr>
          <w:snapToGrid w:val="0"/>
        </w:rPr>
      </w:pPr>
      <w:bookmarkStart w:id="67" w:name="_Toc107395166"/>
      <w:r>
        <w:rPr>
          <w:rStyle w:val="CharSectno"/>
        </w:rPr>
        <w:t>36</w:t>
      </w:r>
      <w:r>
        <w:rPr>
          <w:snapToGrid w:val="0"/>
        </w:rPr>
        <w:t>.</w:t>
      </w:r>
      <w:r>
        <w:rPr>
          <w:snapToGrid w:val="0"/>
        </w:rPr>
        <w:tab/>
        <w:t>Public hearings</w:t>
      </w:r>
      <w:bookmarkEnd w:id="67"/>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lastRenderedPageBreak/>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68" w:name="_Toc107395167"/>
      <w:r>
        <w:rPr>
          <w:rStyle w:val="CharSectno"/>
        </w:rPr>
        <w:t>37</w:t>
      </w:r>
      <w:r>
        <w:rPr>
          <w:snapToGrid w:val="0"/>
        </w:rPr>
        <w:t>.</w:t>
      </w:r>
      <w:r>
        <w:rPr>
          <w:snapToGrid w:val="0"/>
        </w:rPr>
        <w:tab/>
        <w:t>Panel to determine own procedures</w:t>
      </w:r>
      <w:bookmarkEnd w:id="68"/>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69" w:name="_Toc107395168"/>
      <w:r>
        <w:rPr>
          <w:rStyle w:val="CharSectno"/>
        </w:rPr>
        <w:t>38</w:t>
      </w:r>
      <w:r>
        <w:rPr>
          <w:snapToGrid w:val="0"/>
        </w:rPr>
        <w:t>.</w:t>
      </w:r>
      <w:r>
        <w:rPr>
          <w:snapToGrid w:val="0"/>
        </w:rPr>
        <w:tab/>
        <w:t>Conflict of interest</w:t>
      </w:r>
      <w:bookmarkEnd w:id="69"/>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70" w:name="_Toc107395169"/>
      <w:r>
        <w:rPr>
          <w:rStyle w:val="CharSectno"/>
        </w:rPr>
        <w:t>39</w:t>
      </w:r>
      <w:r>
        <w:rPr>
          <w:snapToGrid w:val="0"/>
        </w:rPr>
        <w:t>.</w:t>
      </w:r>
      <w:r>
        <w:rPr>
          <w:snapToGrid w:val="0"/>
        </w:rPr>
        <w:tab/>
        <w:t>Confidentiality</w:t>
      </w:r>
      <w:bookmarkEnd w:id="70"/>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71" w:name="_Toc107221718"/>
      <w:bookmarkStart w:id="72" w:name="_Toc107221780"/>
      <w:bookmarkStart w:id="73" w:name="_Toc107222026"/>
      <w:bookmarkStart w:id="74" w:name="_Toc107395170"/>
      <w:r>
        <w:rPr>
          <w:rStyle w:val="CharSchNo"/>
        </w:rPr>
        <w:lastRenderedPageBreak/>
        <w:t>Schedule 1</w:t>
      </w:r>
      <w:r>
        <w:t> — </w:t>
      </w:r>
      <w:r>
        <w:rPr>
          <w:rStyle w:val="CharSchText"/>
        </w:rPr>
        <w:t>Fees payable to chief executive officer</w:t>
      </w:r>
      <w:bookmarkEnd w:id="71"/>
      <w:bookmarkEnd w:id="72"/>
      <w:bookmarkEnd w:id="73"/>
      <w:bookmarkEnd w:id="74"/>
    </w:p>
    <w:p>
      <w:pPr>
        <w:pStyle w:val="yShoulderClause"/>
        <w:rPr>
          <w:snapToGrid w:val="0"/>
        </w:rPr>
      </w:pPr>
      <w:r>
        <w:t>[r. 17]</w:t>
      </w:r>
    </w:p>
    <w:p>
      <w:pPr>
        <w:pStyle w:val="yFootnoteheading"/>
      </w:pPr>
      <w:r>
        <w:tab/>
        <w:t>[Heading amended: SL 2021/103 r. 4(1).]</w:t>
      </w:r>
    </w:p>
    <w:tbl>
      <w:tblPr>
        <w:tblW w:w="7350" w:type="dxa"/>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r>
              <w:rPr>
                <w:szCs w:val="22"/>
              </w:rPr>
              <w:t>197.00</w:t>
            </w:r>
          </w:p>
        </w:tc>
      </w:tr>
      <w:tr>
        <w:tc>
          <w:tcPr>
            <w:tcW w:w="5790" w:type="dxa"/>
          </w:tcPr>
          <w:p>
            <w:pPr>
              <w:pStyle w:val="yTableNAm"/>
              <w:ind w:left="578" w:hanging="578"/>
            </w:pPr>
            <w:r>
              <w:tab/>
              <w:t>(b)</w:t>
            </w:r>
            <w:r>
              <w:tab/>
              <w:t>moderate document</w:t>
            </w:r>
          </w:p>
        </w:tc>
        <w:tc>
          <w:tcPr>
            <w:tcW w:w="1560" w:type="dxa"/>
          </w:tcPr>
          <w:p>
            <w:pPr>
              <w:pStyle w:val="yTableNAm"/>
            </w:pPr>
            <w:r>
              <w:rPr>
                <w:szCs w:val="22"/>
              </w:rPr>
              <w:t>757.00</w:t>
            </w:r>
          </w:p>
        </w:tc>
      </w:tr>
      <w:tr>
        <w:tc>
          <w:tcPr>
            <w:tcW w:w="5790" w:type="dxa"/>
          </w:tcPr>
          <w:p>
            <w:pPr>
              <w:pStyle w:val="yTableNAm"/>
              <w:ind w:left="578" w:hanging="578"/>
            </w:pPr>
            <w:r>
              <w:tab/>
              <w:t>(c)</w:t>
            </w:r>
            <w:r>
              <w:tab/>
              <w:t>complex document</w:t>
            </w:r>
          </w:p>
        </w:tc>
        <w:tc>
          <w:tcPr>
            <w:tcW w:w="1560" w:type="dxa"/>
          </w:tcPr>
          <w:p>
            <w:pPr>
              <w:pStyle w:val="yTableNAm"/>
            </w:pPr>
            <w:r>
              <w:rPr>
                <w:szCs w:val="22"/>
              </w:rPr>
              <w:t>1 383.00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r>
              <w:rPr>
                <w:szCs w:val="22"/>
              </w:rPr>
              <w:t>156.00</w:t>
            </w:r>
          </w:p>
        </w:tc>
      </w:tr>
      <w:tr>
        <w:tc>
          <w:tcPr>
            <w:tcW w:w="7350" w:type="dxa"/>
            <w:gridSpan w:val="2"/>
          </w:tcPr>
          <w:p>
            <w:pPr>
              <w:pStyle w:val="yEdnoteitem"/>
            </w:pPr>
            <w:r>
              <w:t>[2</w:t>
            </w:r>
            <w:r>
              <w:noBreakHyphen/>
              <w:t>4 deleted]</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7350" w:type="dxa"/>
            <w:gridSpan w:val="2"/>
          </w:tcPr>
          <w:p>
            <w:pPr>
              <w:pStyle w:val="yEdnoteitem"/>
            </w:pPr>
            <w:r>
              <w:t>[6 and 7 deleted]</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cantSplit/>
        </w:trPr>
        <w:tc>
          <w:tcPr>
            <w:tcW w:w="5790" w:type="dxa"/>
          </w:tcPr>
          <w:p>
            <w:pPr>
              <w:pStyle w:val="yTableNAm"/>
              <w:ind w:left="578" w:hanging="578"/>
            </w:pPr>
            <w:r>
              <w:lastRenderedPageBreak/>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 18 Jun 2019 p. 2057; SL 2021/103 r. 4; SL 2022/90 r. 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76" w:name="_Toc107221719"/>
      <w:bookmarkStart w:id="77" w:name="_Toc107221781"/>
      <w:bookmarkStart w:id="78" w:name="_Toc107222027"/>
      <w:bookmarkStart w:id="79" w:name="_Toc107395171"/>
      <w:r>
        <w:lastRenderedPageBreak/>
        <w:t>Notes</w:t>
      </w:r>
      <w:bookmarkEnd w:id="76"/>
      <w:bookmarkEnd w:id="77"/>
      <w:bookmarkEnd w:id="78"/>
      <w:bookmarkEnd w:id="79"/>
    </w:p>
    <w:p>
      <w:pPr>
        <w:pStyle w:val="nStatement"/>
      </w:pPr>
      <w:r>
        <w:t xml:space="preserve">This is a compilation of the </w:t>
      </w:r>
      <w:r>
        <w:rPr>
          <w:i/>
          <w:noProof/>
        </w:rPr>
        <w:t>Land Administration Regulations 1998</w:t>
      </w:r>
      <w:r>
        <w:t xml:space="preserve"> and includes amendments made by other written laws. For provisions that have come into operation, and for information about any reprints, see the compilation table.</w:t>
      </w:r>
    </w:p>
    <w:p>
      <w:pPr>
        <w:pStyle w:val="nHeading3"/>
      </w:pPr>
      <w:bookmarkStart w:id="80" w:name="_Toc107395172"/>
      <w:r>
        <w:t>Compilation table</w:t>
      </w:r>
      <w:bookmarkEnd w:id="8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2</w:t>
            </w:r>
          </w:p>
        </w:tc>
        <w:tc>
          <w:tcPr>
            <w:tcW w:w="1276" w:type="dxa"/>
          </w:tcPr>
          <w:p>
            <w:pPr>
              <w:pStyle w:val="nTable"/>
              <w:spacing w:after="40"/>
            </w:pPr>
            <w:r>
              <w:t>16 Nov 2004 p. 5068</w:t>
            </w:r>
          </w:p>
        </w:tc>
        <w:tc>
          <w:tcPr>
            <w:tcW w:w="2693" w:type="dxa"/>
          </w:tcPr>
          <w:p>
            <w:pPr>
              <w:pStyle w:val="nTable"/>
              <w:spacing w:after="40"/>
            </w:pPr>
            <w:r>
              <w:t>16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snapToGrid w:val="0"/>
              </w:rPr>
            </w:pPr>
            <w:r>
              <w:rPr>
                <w:snapToGrid w:val="0"/>
              </w:rPr>
              <w:t>r. 4: 1 Jul 2009 (see r. 2(c));</w:t>
            </w:r>
            <w:r>
              <w:rPr>
                <w:snapToGrid w:val="0"/>
              </w:rPr>
              <w:br/>
              <w:t>r. 1 and 2: 24 Dec 2009 (see r. 2(a));</w:t>
            </w:r>
            <w:r>
              <w:rPr>
                <w:snapToGrid w:val="0"/>
              </w:rPr>
              <w:br/>
              <w:t>r. 3: 25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snapToGrid w:val="0"/>
              </w:rPr>
            </w:pPr>
            <w:r>
              <w:rPr>
                <w:snapToGrid w:val="0"/>
              </w:rPr>
              <w:t>r. 1 and 2: 6 Jul 2012 (see r. 2(a));</w:t>
            </w:r>
            <w:r>
              <w:rPr>
                <w:snapToGrid w:val="0"/>
              </w:rPr>
              <w:br/>
              <w:t>Regulations other than r. 1 and 2: 7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4: The </w:t>
            </w:r>
            <w:r>
              <w:rPr>
                <w:b/>
                <w:i/>
              </w:rPr>
              <w:t>Land Administration Regulations 1998</w:t>
            </w:r>
            <w:r>
              <w:rPr>
                <w:b/>
              </w:rPr>
              <w:t xml:space="preserve"> as at 17 Aug 2012</w:t>
            </w:r>
            <w:r>
              <w:b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pPr>
            <w:r>
              <w:t>16 Jul 2013 p. 3247</w:t>
            </w:r>
            <w:r>
              <w:noBreakHyphen/>
              <w:t>8</w:t>
            </w:r>
          </w:p>
        </w:tc>
        <w:tc>
          <w:tcPr>
            <w:tcW w:w="2693" w:type="dxa"/>
            <w:shd w:val="clear" w:color="auto" w:fill="auto"/>
          </w:tcPr>
          <w:p>
            <w:pPr>
              <w:pStyle w:val="nTable"/>
              <w:spacing w:after="40"/>
              <w:rPr>
                <w:snapToGrid w:val="0"/>
              </w:rPr>
            </w:pPr>
            <w:r>
              <w:rPr>
                <w:snapToGrid w:val="0"/>
              </w:rPr>
              <w:t>r. 1 and 2: 16 Jul 2013 (see r. 2(a));</w:t>
            </w:r>
            <w:r>
              <w:rPr>
                <w:snapToGrid w:val="0"/>
              </w:rPr>
              <w:br/>
              <w:t>Regulations other than r. 1 and 2: 17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lastRenderedPageBreak/>
              <w:t>Land Administration Amendment Regulations 2015</w:t>
            </w:r>
          </w:p>
        </w:tc>
        <w:tc>
          <w:tcPr>
            <w:tcW w:w="1276" w:type="dxa"/>
            <w:shd w:val="clear" w:color="auto" w:fill="auto"/>
          </w:tcPr>
          <w:p>
            <w:pPr>
              <w:pStyle w:val="nTable"/>
              <w:keepNext/>
              <w:spacing w:after="40"/>
            </w:pPr>
            <w:r>
              <w:t>13 Oct 2015 p. 4062</w:t>
            </w:r>
            <w:r>
              <w:noBreakHyphen/>
              <w:t>3</w:t>
            </w:r>
          </w:p>
        </w:tc>
        <w:tc>
          <w:tcPr>
            <w:tcW w:w="2693" w:type="dxa"/>
            <w:shd w:val="clear" w:color="auto" w:fill="auto"/>
          </w:tcPr>
          <w:p>
            <w:pPr>
              <w:pStyle w:val="nTable"/>
              <w:keepNext/>
              <w:spacing w:after="40"/>
              <w:rPr>
                <w:snapToGrid w:val="0"/>
              </w:rPr>
            </w:pPr>
            <w:r>
              <w:rPr>
                <w:bCs/>
                <w:snapToGrid w:val="0"/>
                <w:spacing w:val="-2"/>
              </w:rPr>
              <w:t>r. 1 and 2: 13 Oct 2015 (see r. 2(a));</w:t>
            </w:r>
            <w:r>
              <w:rPr>
                <w:bCs/>
                <w:snapToGrid w:val="0"/>
                <w:spacing w:val="-2"/>
              </w:rPr>
              <w:br/>
              <w:t>Regulations other than r. 1 and 2: 14 Oct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 xml:space="preserve">Regulations other than r. 1 and 2: 7 Sep 2016 (see r. 2(b) and </w:t>
            </w:r>
            <w:r>
              <w:rPr>
                <w:bCs/>
                <w:i/>
                <w:snapToGrid w:val="0"/>
                <w:spacing w:val="-2"/>
              </w:rPr>
              <w:t xml:space="preserve">Gazette </w:t>
            </w:r>
            <w:r>
              <w:rPr>
                <w:bCs/>
                <w:snapToGrid w:val="0"/>
                <w:spacing w:val="-2"/>
              </w:rPr>
              <w:t>6 Sep 2016 p. 3826)</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bCs/>
                <w:snapToGrid w:val="0"/>
                <w:spacing w:val="-2"/>
              </w:rPr>
            </w:pPr>
            <w:r>
              <w:rPr>
                <w:bCs/>
                <w:snapToGrid w:val="0"/>
                <w:spacing w:val="-2"/>
              </w:rPr>
              <w:t>7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2018</w:t>
            </w:r>
          </w:p>
        </w:tc>
        <w:tc>
          <w:tcPr>
            <w:tcW w:w="1276" w:type="dxa"/>
            <w:shd w:val="clear" w:color="auto" w:fill="auto"/>
          </w:tcPr>
          <w:p>
            <w:pPr>
              <w:pStyle w:val="nTable"/>
              <w:spacing w:after="40"/>
            </w:pPr>
            <w:r>
              <w:t>22 Jun 2018 p. 2181</w:t>
            </w:r>
            <w:r>
              <w:noBreakHyphen/>
              <w:t>2</w:t>
            </w:r>
          </w:p>
        </w:tc>
        <w:tc>
          <w:tcPr>
            <w:tcW w:w="2693" w:type="dxa"/>
            <w:shd w:val="clear" w:color="auto" w:fill="auto"/>
          </w:tcPr>
          <w:p>
            <w:pPr>
              <w:pStyle w:val="nTable"/>
              <w:spacing w:after="40"/>
              <w:rPr>
                <w:bCs/>
                <w:snapToGrid w:val="0"/>
                <w:spacing w:val="-2"/>
              </w:rPr>
            </w:pPr>
            <w:r>
              <w:rPr>
                <w:bCs/>
                <w:snapToGrid w:val="0"/>
                <w:spacing w:val="-2"/>
              </w:rPr>
              <w:t>r. 1 and 2: 22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2019</w:t>
            </w:r>
          </w:p>
        </w:tc>
        <w:tc>
          <w:tcPr>
            <w:tcW w:w="1276" w:type="dxa"/>
            <w:shd w:val="clear" w:color="auto" w:fill="auto"/>
          </w:tcPr>
          <w:p>
            <w:pPr>
              <w:pStyle w:val="nTable"/>
              <w:spacing w:after="40"/>
            </w:pPr>
            <w:r>
              <w:t>18 Jun 2019 p. 2056</w:t>
            </w:r>
            <w:r>
              <w:noBreakHyphen/>
              <w:t>7</w:t>
            </w:r>
          </w:p>
        </w:tc>
        <w:tc>
          <w:tcPr>
            <w:tcW w:w="2693" w:type="dxa"/>
            <w:shd w:val="clear" w:color="auto" w:fill="auto"/>
          </w:tcPr>
          <w:p>
            <w:pPr>
              <w:pStyle w:val="nTable"/>
              <w:spacing w:after="40"/>
              <w:rPr>
                <w:bCs/>
                <w:snapToGrid w:val="0"/>
                <w:spacing w:val="-2"/>
              </w:rPr>
            </w:pPr>
            <w:r>
              <w:rPr>
                <w:bCs/>
                <w:snapToGrid w:val="0"/>
                <w:spacing w:val="-2"/>
              </w:rPr>
              <w:t>r. 1 and 2: 18 Jun 2018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2019</w:t>
            </w:r>
          </w:p>
        </w:tc>
        <w:tc>
          <w:tcPr>
            <w:tcW w:w="1276" w:type="dxa"/>
            <w:tcBorders>
              <w:top w:val="nil"/>
              <w:bottom w:val="nil"/>
            </w:tcBorders>
            <w:shd w:val="clear" w:color="auto" w:fill="auto"/>
          </w:tcPr>
          <w:p>
            <w:pPr>
              <w:pStyle w:val="nTable"/>
              <w:spacing w:after="40"/>
            </w:pPr>
            <w:r>
              <w:t>28 Jun 2019 p. 2484</w:t>
            </w:r>
            <w:r>
              <w:noBreakHyphen/>
              <w:t>5 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Jun 2019</w:t>
            </w:r>
            <w:r>
              <w:rPr>
                <w:bCs/>
                <w:snapToGrid w:val="0"/>
                <w:spacing w:val="-2"/>
              </w:rPr>
              <w:t xml:space="preserve">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Regulations Amendment (Geocentric Datum) Regulations 2020</w:t>
            </w:r>
            <w:r>
              <w:rPr>
                <w:noProof/>
              </w:rPr>
              <w:t xml:space="preserve"> Pt. 2</w:t>
            </w:r>
          </w:p>
        </w:tc>
        <w:tc>
          <w:tcPr>
            <w:tcW w:w="1276" w:type="dxa"/>
            <w:tcBorders>
              <w:top w:val="nil"/>
              <w:bottom w:val="nil"/>
            </w:tcBorders>
            <w:shd w:val="clear" w:color="auto" w:fill="auto"/>
          </w:tcPr>
          <w:p>
            <w:pPr>
              <w:pStyle w:val="nTable"/>
              <w:spacing w:after="40"/>
            </w:pPr>
            <w:r>
              <w:t>SL 2020/64 22 May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2020 (see r. 2(b))</w:t>
            </w:r>
          </w:p>
        </w:tc>
      </w:tr>
      <w:tr>
        <w:tc>
          <w:tcPr>
            <w:tcW w:w="3119" w:type="dxa"/>
            <w:tcBorders>
              <w:top w:val="nil"/>
              <w:bottom w:val="nil"/>
            </w:tcBorders>
            <w:shd w:val="clear" w:color="auto" w:fill="auto"/>
          </w:tcPr>
          <w:p>
            <w:pPr>
              <w:pStyle w:val="nTable"/>
              <w:spacing w:after="40"/>
              <w:rPr>
                <w:i/>
              </w:rPr>
            </w:pPr>
            <w:r>
              <w:rPr>
                <w:i/>
              </w:rPr>
              <w:t>Land Administration Amendment Regulations 2021</w:t>
            </w:r>
          </w:p>
        </w:tc>
        <w:tc>
          <w:tcPr>
            <w:tcW w:w="1276" w:type="dxa"/>
            <w:tcBorders>
              <w:top w:val="nil"/>
              <w:bottom w:val="nil"/>
            </w:tcBorders>
            <w:shd w:val="clear" w:color="auto" w:fill="auto"/>
          </w:tcPr>
          <w:p>
            <w:pPr>
              <w:pStyle w:val="nTable"/>
              <w:spacing w:after="40"/>
            </w:pPr>
            <w:r>
              <w:t>SL 2021/103 29 Jun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2021</w:t>
            </w:r>
          </w:p>
        </w:tc>
        <w:tc>
          <w:tcPr>
            <w:tcW w:w="1276" w:type="dxa"/>
            <w:tcBorders>
              <w:top w:val="nil"/>
              <w:bottom w:val="nil"/>
            </w:tcBorders>
            <w:shd w:val="clear" w:color="auto" w:fill="auto"/>
          </w:tcPr>
          <w:p>
            <w:pPr>
              <w:pStyle w:val="nTable"/>
              <w:spacing w:after="40"/>
            </w:pPr>
            <w:r>
              <w:t>SL 2021/189 19 Nov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19 Nov 2021 (see r. 2(a));</w:t>
            </w:r>
            <w:r>
              <w:rPr>
                <w:bCs/>
                <w:snapToGrid w:val="0"/>
                <w:spacing w:val="-2"/>
              </w:rPr>
              <w:br/>
              <w:t>Regulations other than r. 1 and 2: 20 Nov 2021 (see r. 2(b))</w:t>
            </w:r>
          </w:p>
        </w:tc>
      </w:tr>
      <w:tr>
        <w:trPr>
          <w:cantSplit/>
        </w:trPr>
        <w:tc>
          <w:tcPr>
            <w:tcW w:w="3119" w:type="dxa"/>
            <w:tcBorders>
              <w:top w:val="nil"/>
              <w:bottom w:val="single" w:sz="4" w:space="0" w:color="auto"/>
            </w:tcBorders>
            <w:shd w:val="clear" w:color="auto" w:fill="auto"/>
          </w:tcPr>
          <w:p>
            <w:pPr>
              <w:pStyle w:val="nTable"/>
              <w:spacing w:after="40"/>
              <w:rPr>
                <w:i/>
              </w:rPr>
            </w:pPr>
            <w:r>
              <w:rPr>
                <w:i/>
              </w:rPr>
              <w:t>Land Administration Amendment Regulations 2022</w:t>
            </w:r>
          </w:p>
        </w:tc>
        <w:tc>
          <w:tcPr>
            <w:tcW w:w="1276" w:type="dxa"/>
            <w:tcBorders>
              <w:top w:val="nil"/>
              <w:bottom w:val="single" w:sz="4" w:space="0" w:color="auto"/>
            </w:tcBorders>
            <w:shd w:val="clear" w:color="auto" w:fill="auto"/>
          </w:tcPr>
          <w:p>
            <w:pPr>
              <w:pStyle w:val="nTable"/>
              <w:spacing w:after="40"/>
            </w:pPr>
            <w:r>
              <w:t>SL 2022/90 17 Jun 2022</w:t>
            </w:r>
          </w:p>
        </w:tc>
        <w:tc>
          <w:tcPr>
            <w:tcW w:w="2693" w:type="dxa"/>
            <w:tcBorders>
              <w:top w:val="nil"/>
              <w:bottom w:val="single" w:sz="4" w:space="0" w:color="auto"/>
            </w:tcBorders>
            <w:shd w:val="clear" w:color="auto" w:fill="auto"/>
          </w:tcPr>
          <w:p>
            <w:pPr>
              <w:pStyle w:val="nTable"/>
              <w:spacing w:after="40"/>
              <w:rPr>
                <w:bCs/>
                <w:snapToGrid w:val="0"/>
                <w:spacing w:val="-2"/>
              </w:rPr>
            </w:pPr>
            <w:r>
              <w:t>r. 1 and 2: 17 Jun 2022 (see r. 2(a));</w:t>
            </w:r>
            <w:r>
              <w:br/>
              <w:t>Regulations other than r. 1 and 2: 1 Jul 2022 (see r. 2(b))</w:t>
            </w:r>
          </w:p>
        </w:tc>
      </w:tr>
    </w:tbl>
    <w:p>
      <w:pPr>
        <w:pStyle w:val="nHeading3"/>
      </w:pPr>
      <w:bookmarkStart w:id="81" w:name="_Toc107395173"/>
      <w:r>
        <w:lastRenderedPageBreak/>
        <w:t>Other notes</w:t>
      </w:r>
      <w:bookmarkEnd w:id="81"/>
    </w:p>
    <w:p>
      <w:pPr>
        <w:pStyle w:val="nNote"/>
        <w:keepNext/>
      </w:pPr>
      <w:r>
        <w:rPr>
          <w:vertAlign w:val="superscript"/>
        </w:rPr>
        <w:t>1</w:t>
      </w:r>
      <w:r>
        <w:tab/>
        <w:t xml:space="preserve">Repealed by the </w:t>
      </w:r>
      <w:r>
        <w:rPr>
          <w:i/>
          <w:iCs/>
        </w:rPr>
        <w:t>Planning and Development (Consequential and Transitional Provisions) Act 2005</w:t>
      </w:r>
      <w:r>
        <w:t>.</w:t>
      </w:r>
    </w:p>
    <w:p>
      <w:pPr>
        <w:pStyle w:val="nNote"/>
      </w:pPr>
      <w:r>
        <w:rPr>
          <w:vertAlign w:val="superscript"/>
        </w:rPr>
        <w:t>2</w:t>
      </w:r>
      <w:r>
        <w:tab/>
        <w:t xml:space="preserve">Published again in </w:t>
      </w:r>
      <w:r>
        <w:rPr>
          <w:i/>
          <w:iCs/>
        </w:rPr>
        <w:t>Gazette</w:t>
      </w:r>
      <w:r>
        <w:t xml:space="preserve"> 19 Nov 2004 p. 5081 but amendment of 19 Nov 2004 has no effect.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83" w:name="_Toc107221723"/>
      <w:bookmarkStart w:id="84" w:name="_Toc107221785"/>
      <w:bookmarkStart w:id="85" w:name="_Toc107222030"/>
      <w:bookmarkStart w:id="86" w:name="_Toc107395174"/>
      <w:r>
        <w:rPr>
          <w:sz w:val="28"/>
        </w:rPr>
        <w:lastRenderedPageBreak/>
        <w:t>Defined terms</w:t>
      </w:r>
      <w:bookmarkEnd w:id="83"/>
      <w:bookmarkEnd w:id="84"/>
      <w:bookmarkEnd w:id="85"/>
      <w:bookmarkEnd w:id="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2014 determined rent</w:t>
      </w:r>
      <w:r>
        <w:tab/>
        <w:t>15(2)</w:t>
      </w:r>
    </w:p>
    <w:p>
      <w:pPr>
        <w:pStyle w:val="DefinedTerms"/>
      </w:pPr>
      <w:r>
        <w:t>2017 Determination</w:t>
      </w:r>
      <w:r>
        <w:tab/>
        <w:t>17A(1)</w:t>
      </w:r>
    </w:p>
    <w:p>
      <w:pPr>
        <w:pStyle w:val="DefinedTerms"/>
      </w:pPr>
      <w:r>
        <w:t>2019 determined rent</w:t>
      </w:r>
      <w:r>
        <w:tab/>
        <w:t>15(1)</w:t>
      </w:r>
    </w:p>
    <w:p>
      <w:pPr>
        <w:pStyle w:val="DefinedTerms"/>
      </w:pPr>
      <w:r>
        <w:t>authorised survey</w:t>
      </w:r>
      <w:r>
        <w:tab/>
        <w:t>18</w:t>
      </w:r>
    </w:p>
    <w:p>
      <w:pPr>
        <w:pStyle w:val="DefinedTerms"/>
      </w:pPr>
      <w:r>
        <w:t>Crown land transaction</w:t>
      </w:r>
      <w:r>
        <w:tab/>
        <w:t>3A(3)</w:t>
      </w:r>
    </w:p>
    <w:p>
      <w:pPr>
        <w:pStyle w:val="DefinedTerms"/>
      </w:pPr>
      <w:r>
        <w:t>departmental surveyor</w:t>
      </w:r>
      <w:r>
        <w:tab/>
        <w:t>18</w:t>
      </w:r>
    </w:p>
    <w:p>
      <w:pPr>
        <w:pStyle w:val="DefinedTerms"/>
      </w:pPr>
      <w:r>
        <w:t>Geocentric Datum of Australia 2020</w:t>
      </w:r>
      <w:r>
        <w:tab/>
        <w:t>17A(1)</w:t>
      </w:r>
    </w:p>
    <w:p>
      <w:pPr>
        <w:pStyle w:val="DefinedTerms"/>
      </w:pPr>
      <w:r>
        <w:t>Jolimont land</w:t>
      </w:r>
      <w:r>
        <w:tab/>
        <w:t>17E(1)</w:t>
      </w:r>
    </w:p>
    <w:p>
      <w:pPr>
        <w:pStyle w:val="DefinedTerms"/>
      </w:pPr>
      <w:r>
        <w:t>Knutsford land</w:t>
      </w:r>
      <w:r>
        <w:tab/>
        <w:t>17E(1)</w:t>
      </w:r>
    </w:p>
    <w:p>
      <w:pPr>
        <w:pStyle w:val="DefinedTerms"/>
      </w:pPr>
      <w:r>
        <w:t>marine navigational aid</w:t>
      </w:r>
      <w:r>
        <w:tab/>
        <w:t>3(1)</w:t>
      </w:r>
    </w:p>
    <w:p>
      <w:pPr>
        <w:pStyle w:val="DefinedTerms"/>
      </w:pPr>
      <w:r>
        <w:t>member</w:t>
      </w:r>
      <w:r>
        <w:tab/>
        <w:t>24</w:t>
      </w:r>
    </w:p>
    <w:p>
      <w:pPr>
        <w:pStyle w:val="DefinedTerms"/>
      </w:pPr>
      <w:r>
        <w:t>Mosman Park land</w:t>
      </w:r>
      <w:r>
        <w:tab/>
        <w:t>17E(1)</w:t>
      </w:r>
    </w:p>
    <w:p>
      <w:pPr>
        <w:pStyle w:val="DefinedTerms"/>
      </w:pPr>
      <w:r>
        <w:t>Narrogin land</w:t>
      </w:r>
      <w:r>
        <w:tab/>
        <w:t>17E(1)</w:t>
      </w:r>
    </w:p>
    <w:p>
      <w:pPr>
        <w:pStyle w:val="DefinedTerms"/>
      </w:pPr>
      <w:r>
        <w:t>other joint venturer</w:t>
      </w:r>
      <w:r>
        <w:tab/>
        <w:t>13(1)</w:t>
      </w:r>
    </w:p>
    <w:p>
      <w:pPr>
        <w:pStyle w:val="DefinedTerms"/>
      </w:pPr>
      <w:r>
        <w:t>panel</w:t>
      </w:r>
      <w:r>
        <w:tab/>
        <w:t>24</w:t>
      </w:r>
    </w:p>
    <w:p>
      <w:pPr>
        <w:pStyle w:val="DefinedTerms"/>
      </w:pPr>
      <w:r>
        <w:t>relevant matter</w:t>
      </w:r>
      <w:r>
        <w:tab/>
        <w:t>24</w:t>
      </w:r>
    </w:p>
    <w:p>
      <w:pPr>
        <w:pStyle w:val="DefinedTerms"/>
      </w:pPr>
      <w:r>
        <w:t>subject land</w:t>
      </w:r>
      <w:r>
        <w:tab/>
        <w:t>5, 6(1), 7</w:t>
      </w:r>
    </w:p>
    <w:p>
      <w:pPr>
        <w:pStyle w:val="DefinedTerms"/>
      </w:pPr>
      <w:r>
        <w:t>survey</w:t>
      </w:r>
      <w:r>
        <w:tab/>
        <w:t>18</w:t>
      </w:r>
    </w:p>
    <w:p>
      <w:pPr>
        <w:pStyle w:val="DefinedTerms"/>
      </w:pPr>
      <w:r>
        <w:t>survey mark</w:t>
      </w:r>
      <w:r>
        <w:tab/>
        <w:t>3(1)</w:t>
      </w:r>
    </w:p>
    <w:p>
      <w:pPr>
        <w:pStyle w:val="DefinedTerms"/>
      </w:pPr>
      <w:r>
        <w:t>surveyor at fault</w:t>
      </w:r>
      <w:r>
        <w:tab/>
        <w:t>20(2)</w:t>
      </w:r>
    </w:p>
    <w:p>
      <w:pPr>
        <w:pStyle w:val="DefinedTerms"/>
      </w:pPr>
      <w:r>
        <w:t>telecommunications network</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5" w:name="Schedule"/>
    <w:bookmarkEnd w:id="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7" w:name="DefinedTerms"/>
    <w:bookmarkEnd w:id="8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 w:name="Coversheet"/>
    <w:bookmarkEnd w:id="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12651"/>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 w:name="WAFER_2020052116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65845_GUID" w:val="de90559b-f10d-4dc1-8817-9c9f6e38c7be"/>
    <w:docVar w:name="WAFER_202006161555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55537_GUID" w:val="e867e31a-f451-4a86-bd3e-820a479c4689"/>
    <w:docVar w:name="WAFER_2021062809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92210_GUID" w:val="664271a1-3af9-46f7-ab57-12dc86028828"/>
    <w:docVar w:name="WAFER_20211116120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20520_GUID" w:val="668d48cd-010c-4ed4-a343-3f606c09f3e5"/>
    <w:docVar w:name="WAFER_202206151116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1616_GUID" w:val="c823457e-72e5-4651-920f-3da1e63b63d3"/>
    <w:docVar w:name="WAFER_20220627112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12651_GUID" w:val="86d2c402-274f-4142-813e-44718b3e5c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5:docId w15:val="{62E0E769-FF61-42EA-868D-EFA76E74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9101</Words>
  <Characters>43689</Characters>
  <Application>Microsoft Office Word</Application>
  <DocSecurity>0</DocSecurity>
  <Lines>1365</Lines>
  <Paragraphs>776</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52014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1998 - 04-n0-00</dc:title>
  <dc:subject/>
  <dc:creator/>
  <cp:keywords/>
  <dc:description/>
  <cp:lastModifiedBy>Master Repository Process</cp:lastModifiedBy>
  <cp:revision>4</cp:revision>
  <cp:lastPrinted>2019-06-28T02:23:00Z</cp:lastPrinted>
  <dcterms:created xsi:type="dcterms:W3CDTF">2022-06-30T01:49:00Z</dcterms:created>
  <dcterms:modified xsi:type="dcterms:W3CDTF">2022-06-30T01:49:00Z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AsAtDate">
    <vt:lpwstr>01 Jul 2022</vt:lpwstr>
  </property>
  <property fmtid="{D5CDD505-2E9C-101B-9397-08002B2CF9AE}" pid="8" name="Suffix">
    <vt:lpwstr>04-n0-00</vt:lpwstr>
  </property>
  <property fmtid="{D5CDD505-2E9C-101B-9397-08002B2CF9AE}" pid="9" name="CommencementDate">
    <vt:lpwstr>20220701</vt:lpwstr>
  </property>
</Properties>
</file>