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Land Valuers Licensing Act 1978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_Toc106875566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_Toc106875567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r>
        <w:tab/>
      </w:r>
      <w:r>
        <w:fldChar w:fldCharType="begin"/>
      </w:r>
      <w:r>
        <w:instrText xml:space="preserve"> PAGEREF _Toc106875568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r>
        <w:tab/>
      </w:r>
      <w:r>
        <w:fldChar w:fldCharType="begin"/>
      </w:r>
      <w:r>
        <w:instrText xml:space="preserve"> PAGEREF _Toc106875569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r>
        <w:tab/>
      </w:r>
      <w:r>
        <w:fldChar w:fldCharType="begin"/>
      </w:r>
      <w:r>
        <w:instrText xml:space="preserve"> PAGEREF _Toc106875570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r>
        <w:tab/>
      </w:r>
      <w:r>
        <w:fldChar w:fldCharType="begin"/>
      </w:r>
      <w:r>
        <w:instrText xml:space="preserve"> PAGEREF _Toc106875571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r>
        <w:tab/>
      </w:r>
      <w:r>
        <w:fldChar w:fldCharType="begin"/>
      </w:r>
      <w:r>
        <w:instrText xml:space="preserve"> PAGEREF _Toc106875572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r>
        <w:tab/>
      </w:r>
      <w:r>
        <w:fldChar w:fldCharType="begin"/>
      </w:r>
      <w:r>
        <w:instrText xml:space="preserve"> PAGEREF _Toc106875573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Infringement notices, offences etc. prescribed (Sch. 2)</w:t>
      </w:r>
      <w:r>
        <w:tab/>
      </w:r>
      <w:r>
        <w:fldChar w:fldCharType="begin"/>
      </w:r>
      <w:r>
        <w:instrText xml:space="preserve"> PAGEREF _Toc106875574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Infringement notices, forms prescribed (Sch. 3)</w:t>
      </w:r>
      <w:r>
        <w:tab/>
      </w:r>
      <w:r>
        <w:fldChar w:fldCharType="begin"/>
      </w:r>
      <w:r>
        <w:instrText xml:space="preserve"> PAGEREF _Toc106875575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Fees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 — Prescribed offences and modified penalties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3 — 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_Toc106875580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_Toc106875581 \h </w:instrText>
      </w:r>
      <w:r>
        <w:fldChar w:fldCharType="separate"/>
      </w:r>
      <w:r>
        <w:t>14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lastRenderedPageBreak/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3" w:name="_Toc10687556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</w:p>
    <w:p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Land Valuers Licensing Regulations 1979</w:t>
      </w:r>
      <w:r>
        <w:t>.</w:t>
      </w:r>
    </w:p>
    <w:p>
      <w:pPr>
        <w:pStyle w:val="Heading5"/>
        <w:rPr>
          <w:snapToGrid w:val="0"/>
        </w:rPr>
      </w:pPr>
      <w:bookmarkStart w:id="4" w:name="_Toc10687556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4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Land Valuers Licensing Act 1978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Footnotesection"/>
      </w:pPr>
      <w:r>
        <w:tab/>
        <w:t>[Regulation 2 amended: Gazette 22 Sep 2006 p. 4119; 30 Jun 2011 p. 2649; SL 2020/196 r. 36; SL 2021/86 r. 39.]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  <w:t>Deleted: Gazette 30 Jun 2011 p. 2650.]</w:t>
      </w:r>
    </w:p>
    <w:p>
      <w:pPr>
        <w:pStyle w:val="Heading5"/>
        <w:rPr>
          <w:snapToGrid w:val="0"/>
        </w:rPr>
      </w:pPr>
      <w:bookmarkStart w:id="5" w:name="_Toc106875568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</w:pPr>
      <w:r>
        <w:tab/>
        <w:t>[Regulation 4 amended: Gazette 25 Jun 1996 p. 2922; 27 Jun 2006 p. 2256.]</w:t>
      </w:r>
    </w:p>
    <w:p>
      <w:pPr>
        <w:pStyle w:val="Ednotesection"/>
      </w:pPr>
      <w:r>
        <w:t>[</w:t>
      </w:r>
      <w:r>
        <w:rPr>
          <w:b/>
        </w:rPr>
        <w:t>4AA.</w:t>
      </w:r>
      <w:r>
        <w:tab/>
        <w:t>Deleted: SL 2021/86 r. 40.]</w:t>
      </w:r>
    </w:p>
    <w:p>
      <w:pPr>
        <w:pStyle w:val="Heading5"/>
        <w:rPr>
          <w:snapToGrid w:val="0"/>
        </w:rPr>
      </w:pPr>
      <w:bookmarkStart w:id="6" w:name="_Toc106875569"/>
      <w:r>
        <w:rPr>
          <w:rStyle w:val="CharSectno"/>
        </w:rPr>
        <w:lastRenderedPageBreak/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</w:pPr>
      <w:r>
        <w:tab/>
        <w:t>[Regulation 4A inserted: Gazette 25 Jun 1996 p. 2922.]</w:t>
      </w:r>
    </w:p>
    <w:p>
      <w:pPr>
        <w:pStyle w:val="Ednotesection"/>
      </w:pPr>
      <w:r>
        <w:t>[</w:t>
      </w:r>
      <w:r>
        <w:rPr>
          <w:b/>
        </w:rPr>
        <w:t>5, 5A.</w:t>
      </w:r>
      <w:r>
        <w:tab/>
        <w:t>Deleted: Gazette 18 Nov 2014 p. 4318.]</w:t>
      </w:r>
    </w:p>
    <w:p>
      <w:pPr>
        <w:pStyle w:val="Heading5"/>
        <w:rPr>
          <w:snapToGrid w:val="0"/>
        </w:rPr>
      </w:pPr>
      <w:bookmarkStart w:id="7" w:name="_Toc106875570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lastRenderedPageBreak/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amended: Gazette 25 Jun 1996 p. 2923; 30 Jun 2011 p. 2650.]</w:t>
      </w:r>
    </w:p>
    <w:p>
      <w:pPr>
        <w:pStyle w:val="Heading5"/>
        <w:rPr>
          <w:snapToGrid w:val="0"/>
        </w:rPr>
      </w:pPr>
      <w:bookmarkStart w:id="8" w:name="_Toc106875571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r>
        <w:tab/>
        <w:t>[Regulation 7 amended: Gazette 30 Jun 2011 p. 2650.]</w:t>
      </w:r>
    </w:p>
    <w:p>
      <w:pPr>
        <w:pStyle w:val="Heading5"/>
        <w:rPr>
          <w:snapToGrid w:val="0"/>
        </w:rPr>
      </w:pPr>
      <w:bookmarkStart w:id="9" w:name="_Toc106875572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bookmarkEnd w:id="9"/>
    </w:p>
    <w:p>
      <w:pPr>
        <w:pStyle w:val="Subsection"/>
        <w:keepNext/>
        <w:keepLines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Technology; and</w:t>
      </w:r>
    </w:p>
    <w:p>
      <w:pPr>
        <w:pStyle w:val="Indenta"/>
        <w:spacing w:before="60"/>
      </w:pPr>
      <w:r>
        <w:tab/>
        <w:t>(e)</w:t>
      </w:r>
      <w:r>
        <w:tab/>
        <w:t>the degree of Bachelor of Commerce (Property Valuation) awarded by the Curtin University of Technology; and</w:t>
      </w:r>
    </w:p>
    <w:p>
      <w:pPr>
        <w:pStyle w:val="Indenta"/>
      </w:pPr>
      <w:r>
        <w:tab/>
        <w:t>(f)</w:t>
      </w:r>
      <w:r>
        <w:tab/>
        <w:t>the degree of Bachelor of Commerce (Property Development and Valuation) awarded by the Curtin University of Technology; and</w:t>
      </w:r>
    </w:p>
    <w:p>
      <w:pPr>
        <w:pStyle w:val="Indenta"/>
      </w:pPr>
      <w:r>
        <w:tab/>
        <w:t>(g)</w:t>
      </w:r>
      <w:r>
        <w:tab/>
        <w:t>the degree of Master of Property awarded by the Curtin University of Technology.</w:t>
      </w:r>
    </w:p>
    <w:p>
      <w:pPr>
        <w:pStyle w:val="Subsection"/>
        <w:keepNext/>
        <w:keepLines/>
        <w:spacing w:before="120"/>
      </w:pPr>
      <w:r>
        <w:lastRenderedPageBreak/>
        <w:tab/>
        <w:t>(2)</w:t>
      </w:r>
      <w:r>
        <w:tab/>
        <w:t xml:space="preserve">The following certificates or other awards are prescribed under section 19(c) — </w:t>
      </w:r>
    </w:p>
    <w:p>
      <w:pPr>
        <w:pStyle w:val="Indenta"/>
        <w:spacing w:before="60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  <w:spacing w:before="60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>
      <w:pPr>
        <w:pStyle w:val="Indenta"/>
        <w:spacing w:before="60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>
      <w:pPr>
        <w:pStyle w:val="Footnotesection"/>
      </w:pPr>
      <w:r>
        <w:tab/>
        <w:t xml:space="preserve">[Regulation 8 inserted: Gazette 27 Jan 1995 p. 285; amended: Gazette 14 Mar 2008 p. 830; 18 Dec 2012 p. 6590; 15 May 2015 p. 1719.] </w:t>
      </w:r>
    </w:p>
    <w:p>
      <w:pPr>
        <w:pStyle w:val="Heading5"/>
        <w:spacing w:before="180"/>
        <w:rPr>
          <w:snapToGrid w:val="0"/>
        </w:rPr>
      </w:pPr>
      <w:bookmarkStart w:id="10" w:name="_Toc106875573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bookmarkEnd w:id="10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6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</w:pPr>
      <w:r>
        <w:tab/>
      </w:r>
      <w:r>
        <w:tab/>
        <w:t>is a debt due to the Crown in right of the State and may be sued for and recovered by the Commissioner in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  <w:spacing w:before="100"/>
      </w:pPr>
      <w:r>
        <w:tab/>
        <w:t>[Regulation 9 amended: Gazette 30 Dec 2004 p. 6923; 30 Jun 2011 p. 2651.]</w:t>
      </w:r>
    </w:p>
    <w:p>
      <w:pPr>
        <w:pStyle w:val="Heading5"/>
      </w:pPr>
      <w:bookmarkStart w:id="11" w:name="_Toc106875574"/>
      <w:r>
        <w:rPr>
          <w:rStyle w:val="CharSectno"/>
        </w:rPr>
        <w:lastRenderedPageBreak/>
        <w:t>10</w:t>
      </w:r>
      <w:r>
        <w:t>.</w:t>
      </w:r>
      <w:r>
        <w:tab/>
        <w:t>Infringement notices, offences etc. prescribed (Sch. 2)</w:t>
      </w:r>
      <w:bookmarkEnd w:id="11"/>
    </w:p>
    <w:p>
      <w:pPr>
        <w:pStyle w:val="Subsection"/>
        <w:spacing w:before="150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  <w:spacing w:before="100"/>
      </w:pPr>
      <w:r>
        <w:tab/>
        <w:t>[Regulation 10 inserted: Gazette 22 Sep 2006 p. 4119-20.]</w:t>
      </w:r>
    </w:p>
    <w:p>
      <w:pPr>
        <w:pStyle w:val="Heading5"/>
      </w:pPr>
      <w:bookmarkStart w:id="12" w:name="_Toc106875575"/>
      <w:r>
        <w:rPr>
          <w:rStyle w:val="CharSectno"/>
        </w:rPr>
        <w:t>11</w:t>
      </w:r>
      <w:r>
        <w:t>.</w:t>
      </w:r>
      <w:r>
        <w:tab/>
        <w:t>Infringement notices, forms prescribed (Sch. 3)</w:t>
      </w:r>
      <w:bookmarkEnd w:id="12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  <w:spacing w:before="100"/>
      </w:pPr>
      <w:r>
        <w:tab/>
        <w:t>[Regulation 11 inserted: Gazette 22 Sep 2006 p. 4120.]</w:t>
      </w:r>
    </w:p>
    <w:p>
      <w:pPr>
        <w:rPr>
          <w:rStyle w:val="CharDivText"/>
        </w:r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3" w:name="_Toc97302986"/>
      <w:bookmarkStart w:id="14" w:name="_Toc97728360"/>
      <w:bookmarkStart w:id="15" w:name="_Toc103680533"/>
      <w:bookmarkStart w:id="16" w:name="_Toc106804924"/>
      <w:bookmarkStart w:id="17" w:name="_Toc106875576"/>
      <w:bookmarkStart w:id="18" w:name="_Toc106804570"/>
      <w:r>
        <w:rPr>
          <w:rStyle w:val="CharSchNo"/>
        </w:rPr>
        <w:lastRenderedPageBreak/>
        <w:t>Schedule 1</w:t>
      </w:r>
      <w:r>
        <w:t> — </w:t>
      </w:r>
      <w:r>
        <w:rPr>
          <w:rStyle w:val="CharSchText"/>
        </w:rPr>
        <w:t>Fees</w:t>
      </w:r>
      <w:bookmarkEnd w:id="13"/>
      <w:bookmarkEnd w:id="14"/>
      <w:bookmarkEnd w:id="15"/>
      <w:bookmarkEnd w:id="16"/>
      <w:bookmarkEnd w:id="17"/>
    </w:p>
    <w:p>
      <w:pPr>
        <w:pStyle w:val="yShoulderClause"/>
      </w:pPr>
      <w:r>
        <w:t>[r. 4]</w:t>
      </w:r>
    </w:p>
    <w:p>
      <w:pPr>
        <w:pStyle w:val="yFootnoteheading"/>
        <w:spacing w:after="60"/>
      </w:pPr>
      <w:r>
        <w:tab/>
        <w:t>[Heading inserted: SL 2022/59 r. 22.]</w:t>
      </w:r>
    </w:p>
    <w:tbl>
      <w:tblPr>
        <w:tblW w:w="5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630"/>
      </w:tblGrid>
      <w:tr>
        <w:trPr>
          <w:cantSplit/>
          <w:tblHeader/>
          <w:jc w:val="center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Fee ($)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Grant of licence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871.00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Renewal of licence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854.00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Issue of duplicate licence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31.00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Inspection of register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11.80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Certificate as to an individual registration in register —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</w:pPr>
            <w:r>
              <w:t>(a)</w:t>
            </w:r>
            <w:r>
              <w:tab/>
              <w:t>first page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spacing w:before="0"/>
              <w:jc w:val="right"/>
            </w:pPr>
            <w:r>
              <w:t>13.00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spacing w:before="0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Certificate as to all registrations in register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yTableNAm"/>
              <w:spacing w:after="120"/>
              <w:jc w:val="right"/>
            </w:pPr>
            <w:r>
              <w:t>121.00</w:t>
            </w:r>
          </w:p>
        </w:tc>
      </w:tr>
    </w:tbl>
    <w:p>
      <w:pPr>
        <w:pStyle w:val="yFootnotesection"/>
      </w:pPr>
      <w:r>
        <w:tab/>
        <w:t>[Schedule 1 inserted: SL 2022/59 r. 22.]</w:t>
      </w:r>
    </w:p>
    <w:p>
      <w:pPr>
        <w:pStyle w:val="yScheduleHeading"/>
      </w:pPr>
      <w:bookmarkStart w:id="19" w:name="_Toc106804571"/>
      <w:bookmarkStart w:id="20" w:name="_Toc106804925"/>
      <w:bookmarkStart w:id="21" w:name="_Toc106875577"/>
      <w:bookmarkEnd w:id="18"/>
      <w:r>
        <w:rPr>
          <w:rStyle w:val="CharSchNo"/>
        </w:rPr>
        <w:lastRenderedPageBreak/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19"/>
      <w:bookmarkEnd w:id="20"/>
      <w:bookmarkEnd w:id="21"/>
    </w:p>
    <w:p>
      <w:pPr>
        <w:pStyle w:val="yShoulderClause"/>
      </w:pPr>
      <w:r>
        <w:t>[r. 10]</w:t>
      </w:r>
    </w:p>
    <w:p>
      <w:pPr>
        <w:pStyle w:val="yFootnoteheading"/>
        <w:spacing w:after="80"/>
      </w:pPr>
      <w:r>
        <w:tab/>
        <w:t>[Heading inserted: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 ................................................................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$20</w:t>
            </w:r>
          </w:p>
        </w:tc>
      </w:tr>
    </w:tbl>
    <w:p>
      <w:pPr>
        <w:pStyle w:val="yFootnotesection"/>
      </w:pPr>
      <w:r>
        <w:tab/>
        <w:t>[Schedule 2 inserted: Gazette 22 Sep 2006 p. 4120; amended: Gazette 30 Jun 2011 p. 2651.]</w:t>
      </w:r>
    </w:p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yScheduleHeading"/>
      </w:pPr>
      <w:bookmarkStart w:id="23" w:name="_Toc106804572"/>
      <w:bookmarkStart w:id="24" w:name="_Toc106804926"/>
      <w:bookmarkStart w:id="25" w:name="_Toc106875578"/>
      <w:r>
        <w:rPr>
          <w:rStyle w:val="CharSchNo"/>
        </w:rPr>
        <w:lastRenderedPageBreak/>
        <w:t>Schedule 3</w:t>
      </w:r>
      <w:r>
        <w:t> — </w:t>
      </w:r>
      <w:r>
        <w:rPr>
          <w:rStyle w:val="CharSchText"/>
        </w:rPr>
        <w:t>Forms</w:t>
      </w:r>
      <w:bookmarkEnd w:id="23"/>
      <w:bookmarkEnd w:id="24"/>
      <w:bookmarkEnd w:id="25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inserted: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rStyle w:val="CharSClsNo"/>
          <w:b/>
        </w:rPr>
        <w:t>Form 1</w:t>
      </w:r>
      <w:r>
        <w:rPr>
          <w:b/>
          <w:bCs/>
        </w:rPr>
        <w:t>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3272"/>
                <w:tab w:val="left" w:pos="4548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nil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i/>
                <w:szCs w:val="22"/>
              </w:rPr>
              <w:t>[street address to be inserted]</w:t>
            </w:r>
          </w:p>
        </w:tc>
      </w:tr>
      <w:tr>
        <w:trPr>
          <w:cantSplit/>
        </w:trPr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</w:tc>
      </w:tr>
      <w:t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22 Sep 2006 p. 4120</w:t>
      </w:r>
      <w:r>
        <w:noBreakHyphen/>
        <w:t>1; amended: Gazette 30 Jun 2011 p. 2651; 20 Aug 2013 p. 3836; 18 Nov 2014 p. 4318; SL 2020/163 r. 36.]</w:t>
      </w:r>
    </w:p>
    <w:p>
      <w:pPr>
        <w:pStyle w:val="yMiscellaneousBody"/>
        <w:pageBreakBefore/>
        <w:spacing w:before="0" w:after="80"/>
        <w:rPr>
          <w:b/>
        </w:rPr>
      </w:pPr>
      <w:r>
        <w:rPr>
          <w:rStyle w:val="CharSClsNo"/>
          <w:b/>
        </w:rPr>
        <w:lastRenderedPageBreak/>
        <w:t>Form 2</w:t>
      </w:r>
      <w:r>
        <w:rPr>
          <w:b/>
        </w:rPr>
        <w:t>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026"/>
                <w:tab w:val="left" w:pos="1593"/>
                <w:tab w:val="left" w:pos="3203"/>
                <w:tab w:val="left" w:pos="457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22 Sep 2006 p. 4121</w:t>
      </w:r>
      <w:r>
        <w:noBreakHyphen/>
        <w:t>2; amended: Gazette 30 Jun 2011 p. 2652.]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7"/>
          <w:headerReference w:type="default" r:id="rId28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6" w:name="_Toc106804573"/>
      <w:bookmarkStart w:id="27" w:name="_Toc106804927"/>
      <w:bookmarkStart w:id="28" w:name="_Toc106875579"/>
      <w:r>
        <w:lastRenderedPageBreak/>
        <w:t>Notes</w:t>
      </w:r>
      <w:bookmarkEnd w:id="26"/>
      <w:bookmarkEnd w:id="27"/>
      <w:bookmarkEnd w:id="2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Land Valuers Licensing Regulations 1979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29" w:name="_Toc106875580"/>
      <w:r>
        <w:t>Compilation table</w:t>
      </w:r>
      <w:bookmarkEnd w:id="29"/>
    </w:p>
    <w:tbl>
      <w:tblPr>
        <w:tblW w:w="7116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3"/>
        <w:gridCol w:w="1300"/>
        <w:gridCol w:w="2693"/>
      </w:tblGrid>
      <w:tr>
        <w:trPr>
          <w:tblHeader/>
        </w:trPr>
        <w:tc>
          <w:tcPr>
            <w:tcW w:w="312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Regulations 1979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Jun 1979 p. 1698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Jun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1983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18 Nov 1983 p. 4613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1984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1986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4 Sep 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 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5 Aug 1988 p. 2604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5 Aug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 (No. 2) 1988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 Sep 1988 p. 3465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 Sep 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11 Aug 1989 p. 2679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strike/>
                <w:vertAlign w:val="superscript"/>
              </w:rPr>
            </w:pPr>
            <w:r>
              <w:t>11 Aug 1989</w:t>
            </w:r>
            <w:r>
              <w:rPr>
                <w:vertAlign w:val="superscript"/>
              </w:rPr>
              <w:t> 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1990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 Aug 1990 p. 3655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1991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13 Dec 1991 p. 6165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1992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14 Aug 1992 p. 4010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Nov 1993 p. 6405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Jan 1995 p. 285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27 Jan 1995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25 Jun 1996 p. 2922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 Jul 1996 (see r. 2 and Gazette 1 Jul 1996 p. 3179)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31 Mar 2000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2002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28 Jun 2002 p. 3056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Land Valuers Licensing Amendment Regulations 2003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Jun 2003 p. 2552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2004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Dec 2004 p. 6923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28 Jun 2005 p. 2911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 Mar 2006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(No. 2) 2006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Jun 2006 p. 2256-7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Sep 2006 p. 4118</w:t>
            </w:r>
            <w:r>
              <w:noBreakHyphen/>
              <w:t>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15 Jun 2007 p. 2782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 1 and 2: 15 Jun 2007 (see r. 2(a));</w:t>
            </w:r>
            <w:r>
              <w:br/>
              <w:t>Regulations other than r. 1 and 2: 1 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 2) 2007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14 Mar 2008 p. 829-30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14 Mar 2008 (see r. 2(a));</w:t>
            </w:r>
            <w:r>
              <w:br/>
              <w:t>Regulations other than r. 1 and 2: 15 Mar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11 Apr 2008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17 Jun 2008 p. 2566-7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23 Jun 2009 p. 2442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2010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25 Jun 2010 p. 2847-8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2011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Jun 2011 p. 2363-4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Land Valuers Licensing Amendment Regulations (No. 3) 2011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30 Jun 2011 p. 2649-52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30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6 Jan 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2012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Jun 2012 p. 2589</w:t>
            </w:r>
            <w:r>
              <w:noBreakHyphen/>
              <w:t>90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2012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Dec 2012 p. 6590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Dec 2012 (see r. 2(a));</w:t>
            </w:r>
            <w:r>
              <w:rPr>
                <w:snapToGrid w:val="0"/>
              </w:rPr>
              <w:br/>
              <w:t>Regulations other than r. 1 and 2: 19 Dec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2013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Jun 2013 p. 2681-2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2013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20 Aug 2013 p. 3836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snapToGrid w:val="0"/>
              </w:rPr>
              <w:t>r. 1 and 2: 20 Aug 2013 (see r. 2(a));</w:t>
            </w:r>
            <w:r>
              <w:rPr>
                <w:snapToGrid w:val="0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20 Aug 2013 p. 3815)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2014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17 Jun 2014 p. 1967</w:t>
            </w:r>
            <w:r>
              <w:noBreakHyphen/>
              <w:t>8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22 Aug 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 2014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Nov 2014 p. 4318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18 Nov 2014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19 Nov 2014 (see r. 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18 Nov 2014 p. 4315)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Cs/>
              </w:rPr>
            </w:pPr>
            <w:r>
              <w:rPr>
                <w:i/>
              </w:rPr>
              <w:t>Land Valuers Licensing Amendment Regulations 2015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May 2015 p. 1718</w:t>
            </w:r>
            <w:r>
              <w:noBreakHyphen/>
              <w:t>19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15 May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16 May 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Land Valuers Licensing Amendment Regulations (No. 2) 2015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23 Jun 2015 p. 2176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 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 2015 (see r. 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lastRenderedPageBreak/>
              <w:t>Commerce Regulations Amendment (Fees and Charges) Regulations 2016</w:t>
            </w:r>
            <w:r>
              <w:t xml:space="preserve"> Pt. 11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 2016 p. 1745-73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23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12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12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18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2020/163 25 Sep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29 Sep 2020 (see r. 2(b) and SL 2020/159 cl. 2(a))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11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13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2021/86 21 Jun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  <w:tr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11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2022/59 20 May 2022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2022 (see r. 2(b))</w:t>
            </w:r>
          </w:p>
        </w:tc>
      </w:tr>
    </w:tbl>
    <w:p>
      <w:pPr>
        <w:pStyle w:val="nHeading3"/>
      </w:pPr>
      <w:bookmarkStart w:id="30" w:name="_Toc106875581"/>
      <w:r>
        <w:t>Other notes</w:t>
      </w:r>
      <w:bookmarkEnd w:id="30"/>
    </w:p>
    <w:p>
      <w:pPr>
        <w:pStyle w:val="nNote"/>
      </w:pPr>
      <w:r>
        <w:rPr>
          <w:vertAlign w:val="superscript"/>
        </w:rPr>
        <w:t>1</w:t>
      </w:r>
      <w:r>
        <w:tab/>
        <w:t xml:space="preserve">The </w:t>
      </w:r>
      <w:r>
        <w:rPr>
          <w:i/>
        </w:rPr>
        <w:t>Curtin University of Technology Act 1966</w:t>
      </w:r>
      <w:r>
        <w:t xml:space="preserve"> s. 5 established the Western Australian Institute of Technology as the Curtin University of Technology from 1 January 1987.</w:t>
      </w:r>
    </w:p>
    <w:p>
      <w:pPr>
        <w:pStyle w:val="nNote"/>
        <w:spacing w:before="12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>
      <w:pPr>
        <w:sectPr>
          <w:headerReference w:type="even" r:id="rId29"/>
          <w:headerReference w:type="default" r:id="rId30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2" w:name="_Toc106804577"/>
      <w:bookmarkStart w:id="33" w:name="_Toc106804930"/>
      <w:bookmarkStart w:id="34" w:name="_Toc106875582"/>
      <w:r>
        <w:rPr>
          <w:sz w:val="28"/>
        </w:rPr>
        <w:lastRenderedPageBreak/>
        <w:t>Defined terms</w:t>
      </w:r>
      <w:bookmarkEnd w:id="32"/>
      <w:bookmarkEnd w:id="33"/>
      <w:bookmarkEnd w:id="34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Act</w:t>
      </w:r>
      <w:r>
        <w:tab/>
        <w:t>2</w:t>
      </w:r>
    </w:p>
    <w:p>
      <w:pPr>
        <w:pStyle w:val="DefinedTerms"/>
      </w:pPr>
      <w:r>
        <w:t>Commissioner</w:t>
      </w:r>
      <w:r>
        <w:tab/>
        <w:t>2</w:t>
      </w:r>
    </w:p>
    <w:p>
      <w:pPr>
        <w:pStyle w:val="DefinedTerms"/>
      </w:pPr>
      <w:r>
        <w:t>section</w:t>
      </w:r>
      <w:r>
        <w:tab/>
        <w:t>2</w:t>
      </w:r>
    </w:p>
    <w:p/>
    <w:p>
      <w:pPr>
        <w:sectPr>
          <w:headerReference w:type="even" r:id="rId31"/>
          <w:headerReference w:type="default" r:id="rId32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rPr>
          <w:sz w:val="20"/>
        </w:rPr>
      </w:pPr>
    </w:p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05-p0-00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05-p0-00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05-p0-00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05-p0-00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05-p0-00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05-p0-00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2" w:name="Schedule"/>
    <w:bookmarkEnd w:id="22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1" w:name="Compilation"/>
    <w:bookmarkEnd w:id="31"/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35" w:name="DefinedTerms"/>
    <w:bookmarkEnd w:id="35"/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6" w:name="Coversheet"/>
    <w:bookmarkEnd w:id="3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0CF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0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705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4A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29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ED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8C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E6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6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42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7616B4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622153239"/>
    <w:docVar w:name="WAFER_20140131152233" w:val="RemoveTocBookmarks,RemoveUnusedBookmarks,RemoveLanguageTags,UsedStyles,ResetPageSize,UpdateArrangement"/>
    <w:docVar w:name="WAFER_20140131152233_GUID" w:val="40331d5b-6f42-450e-aff1-03061cd00435"/>
    <w:docVar w:name="WAFER_20140131152239" w:val="RemoveTocBookmarks,RunningHeaders"/>
    <w:docVar w:name="WAFER_20140131152239_GUID" w:val="bac37c4b-3804-4760-b7e1-6c60ea07b635"/>
    <w:docVar w:name="WAFER_20140818083603" w:val="RemoveTocBookmarks,RemoveUnusedBookmarks,RemoveLanguageTags,UsedStyles,RemoveTrackChanges"/>
    <w:docVar w:name="WAFER_20140818083603_GUID" w:val="dc397d5c-7fdd-403a-84b1-ecd8bc1cb806"/>
    <w:docVar w:name="WAFER_20140818083614" w:val="RemoveTocBookmarks,RemoveLanguageTags,RemoveTrackChanges,RunningHeaders"/>
    <w:docVar w:name="WAFER_20140818083614_GUID" w:val="1535a362-eea8-44be-b0de-22987ac23f19"/>
    <w:docVar w:name="WAFER_20141118101601" w:val="RemoveTocBookmarks,RemoveUnusedBookmarks,RemoveLanguageTags,UsedStyles,ResetPageSize,UpdateArrangement"/>
    <w:docVar w:name="WAFER_20141118101601_GUID" w:val="76207a5e-6393-4e08-a03a-3fb63c05eb72"/>
    <w:docVar w:name="WAFER_20150514135117" w:val="ResetPageSize,UpdateArrangement,UpdateNTable"/>
    <w:docVar w:name="WAFER_20150514135117_GUID" w:val="b60ee8c4-8124-4f49-a7cb-3c6e3641d1f4"/>
    <w:docVar w:name="WAFER_20151106090600" w:val="UpdateStyles,UsedStyles"/>
    <w:docVar w:name="WAFER_20151106090600_GUID" w:val="4c36a58b-f4c4-4045-a016-2093b0ac4b90"/>
    <w:docVar w:name="WAFER_20160630102031" w:val="RemoveTocBookmarks,RemoveUnusedBookmarks,RemoveLanguageTags,UsedStyles,ResetPageSize"/>
    <w:docVar w:name="WAFER_20160630102031_GUID" w:val="dadc5a6d-f80f-4b78-9273-94cffd57ef3a"/>
    <w:docVar w:name="WAFER_20190618102551" w:val="RemoveTocBookmarks,RemoveUnusedBookmarks,RemoveLanguageTags,ResetPageSize,RunningHeaders,UpdateStyles,UsedStyles"/>
    <w:docVar w:name="WAFER_20190618102551_GUID" w:val="741fa1fb-49ed-4132-b614-e7ba80425515"/>
    <w:docVar w:name="WAFER_20190620122839" w:val="RemoveTocBookmarks,RemoveUnusedBookmarks,RemoveLanguageTags,ResetPageSize,RunningHeaders,UpdateStyles,UsedStyles"/>
    <w:docVar w:name="WAFER_20190620122839_GUID" w:val="f64dda5b-8cff-4aff-98b0-7f39726b9ba0"/>
    <w:docVar w:name="WAFER_20190620123009" w:val="RemoveTocBookmarks,RemoveUnusedBookmarks,RemoveLanguageTags,ResetPageSize,RunningHeaders,UpdateStyles,UsedStyles"/>
    <w:docVar w:name="WAFER_20190620123009_GUID" w:val="30c71a2e-8ac9-48e7-8832-79a780033af5"/>
    <w:docVar w:name="WAFER_2020092215425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154257_GUID" w:val="954ea383-54a8-48a8-baf6-199ea792e438"/>
    <w:docVar w:name="WAFER_2020102011084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10844_GUID" w:val="f9d96820-2e6e-414d-9b96-8b7da49790df"/>
    <w:docVar w:name="WAFER_2021061609423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6094233_GUID" w:val="a67a7076-9ae3-4ede-b080-241b4209c255"/>
    <w:docVar w:name="WAFER_2021062408270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82704_GUID" w:val="dd467ef1-58fe-4209-b9c4-7d481621a1d6"/>
    <w:docVar w:name="WAFER_20220518121855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518121855_GUID" w:val="6cc1dd80-3fa1-4866-911e-be0cc2d7b261"/>
    <w:docVar w:name="WAFER_2022062215323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2153239_GUID" w:val="5fe2841f-094e-4bdf-96e3-50f7e955eca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image" Target="media/image2.png"/><Relationship Id="rId39" Type="http://schemas.openxmlformats.org/officeDocument/2006/relationships/fontTable" Target="fontTable.xml"/><Relationship Id="rId21" Type="http://schemas.openxmlformats.org/officeDocument/2006/relationships/header" Target="header8.xml"/><Relationship Id="rId34" Type="http://schemas.openxmlformats.org/officeDocument/2006/relationships/header" Target="header20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openxmlformats.org/officeDocument/2006/relationships/header" Target="header19.xml"/><Relationship Id="rId38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header" Target="header18.xml"/><Relationship Id="rId37" Type="http://schemas.openxmlformats.org/officeDocument/2006/relationships/header" Target="header2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4.xml"/><Relationship Id="rId36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7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3307</Words>
  <Characters>16173</Characters>
  <Application>Microsoft Office Word</Application>
  <DocSecurity>0</DocSecurity>
  <Lines>735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1979 - 05-p0-00</dc:title>
  <dc:subject/>
  <dc:creator/>
  <cp:keywords/>
  <dc:description/>
  <cp:lastModifiedBy>Master Repository Process</cp:lastModifiedBy>
  <cp:revision>4</cp:revision>
  <cp:lastPrinted>2014-08-22T01:06:00Z</cp:lastPrinted>
  <dcterms:created xsi:type="dcterms:W3CDTF">2022-06-30T01:51:00Z</dcterms:created>
  <dcterms:modified xsi:type="dcterms:W3CDTF">2022-06-30T01:51:00Z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DocumentType">
    <vt:lpwstr>Reg</vt:lpwstr>
  </property>
  <property fmtid="{D5CDD505-2E9C-101B-9397-08002B2CF9AE}" pid="4" name="OwlsUID">
    <vt:i4>4548</vt:i4>
  </property>
  <property fmtid="{D5CDD505-2E9C-101B-9397-08002B2CF9AE}" pid="5" name="ReprintNo">
    <vt:lpwstr>5</vt:lpwstr>
  </property>
  <property fmtid="{D5CDD505-2E9C-101B-9397-08002B2CF9AE}" pid="6" name="ReprintedAsAt">
    <vt:filetime>2014-08-21T16:00:00Z</vt:filetime>
  </property>
  <property fmtid="{D5CDD505-2E9C-101B-9397-08002B2CF9AE}" pid="7" name="AsAtDate">
    <vt:lpwstr>01 Jul 2022</vt:lpwstr>
  </property>
  <property fmtid="{D5CDD505-2E9C-101B-9397-08002B2CF9AE}" pid="8" name="Suffix">
    <vt:lpwstr>05-p0-00</vt:lpwstr>
  </property>
  <property fmtid="{D5CDD505-2E9C-101B-9397-08002B2CF9AE}" pid="9" name="CommencementDate">
    <vt:lpwstr>20220701</vt:lpwstr>
  </property>
</Properties>
</file>