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(Financial Management) Regulations 1996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(Financial Management)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_Toc107401864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_Toc107401865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_Toc107401866 \h </w:instrText>
      </w:r>
      <w:r>
        <w:fldChar w:fldCharType="separate"/>
      </w:r>
      <w:r>
        <w:t>1</w:t>
      </w:r>
      <w:r>
        <w:fldChar w:fldCharType="end"/>
      </w:r>
    </w:p>
    <w:p>
      <w:pPr>
        <w:pStyle w:val="TOC8"/>
        <w:rPr>
          <w:rFonts w:asciiTheme="minorHAnsi" w:eastAsiaTheme="minorEastAsia" w:hAnsiTheme="minorHAnsi" w:cstheme="minorBidi"/>
          <w:szCs w:val="22"/>
        </w:rPr>
      </w:pPr>
      <w:r>
        <w:t>4.</w:t>
      </w:r>
      <w:r>
        <w:tab/>
        <w:t>AAS, effect of</w:t>
      </w:r>
      <w:r>
        <w:tab/>
      </w:r>
      <w:r>
        <w:fldChar w:fldCharType="begin"/>
      </w:r>
      <w:r>
        <w:instrText xml:space="preserve"> PAGEREF _Toc107401867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General financial management — s. 6.10</w:t>
      </w:r>
    </w:p>
    <w:p>
      <w:pPr>
        <w:pStyle w:val="TOC8"/>
        <w:rPr>
          <w:rFonts w:asciiTheme="minorHAnsi" w:eastAsiaTheme="minorEastAsia" w:hAnsiTheme="minorHAnsi" w:cstheme="minorBidi"/>
          <w:szCs w:val="22"/>
        </w:rPr>
      </w:pPr>
      <w:r>
        <w:t>5A.</w:t>
      </w:r>
      <w:r>
        <w:tab/>
        <w:t>Local governments to comply with AAS</w:t>
      </w:r>
      <w:r>
        <w:tab/>
      </w:r>
      <w:r>
        <w:fldChar w:fldCharType="begin"/>
      </w:r>
      <w:r>
        <w:instrText xml:space="preserve"> PAGEREF _Toc107401869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CEO’s duties as to financial management</w:t>
      </w:r>
      <w:r>
        <w:tab/>
      </w:r>
      <w:r>
        <w:fldChar w:fldCharType="begin"/>
      </w:r>
      <w:r>
        <w:instrText xml:space="preserve"> PAGEREF _Toc107401870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Audits and performance review of accounting staff etc., who may conduct</w:t>
      </w:r>
      <w:r>
        <w:tab/>
      </w:r>
      <w:r>
        <w:fldChar w:fldCharType="begin"/>
      </w:r>
      <w:r>
        <w:instrText xml:space="preserve"> PAGEREF _Toc107401871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Separate ward accounts not to be kept etc.</w:t>
      </w:r>
      <w:r>
        <w:tab/>
      </w:r>
      <w:r>
        <w:fldChar w:fldCharType="begin"/>
      </w:r>
      <w:r>
        <w:instrText xml:space="preserve"> PAGEREF _Toc107401872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Separate bank etc. accounts required for some moneys</w:t>
      </w:r>
      <w:r>
        <w:tab/>
      </w:r>
      <w:r>
        <w:fldChar w:fldCharType="begin"/>
      </w:r>
      <w:r>
        <w:instrText xml:space="preserve"> PAGEREF _Toc107401873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Each trading undertaking and major land transaction to have separate financial records</w:t>
      </w:r>
      <w:r>
        <w:tab/>
      </w:r>
      <w:r>
        <w:fldChar w:fldCharType="begin"/>
      </w:r>
      <w:r>
        <w:instrText xml:space="preserve"> PAGEREF _Toc107401874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Money received, how to be dealt with</w:t>
      </w:r>
      <w:r>
        <w:tab/>
      </w:r>
      <w:r>
        <w:fldChar w:fldCharType="begin"/>
      </w:r>
      <w:r>
        <w:instrText xml:space="preserve"> PAGEREF _Toc107401875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procedures for making etc.</w:t>
      </w:r>
      <w:r>
        <w:tab/>
      </w:r>
      <w:r>
        <w:fldChar w:fldCharType="begin"/>
      </w:r>
      <w:r>
        <w:instrText xml:space="preserve"> PAGEREF _Toc107401876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Payments from municipal fund or trust fund, restrictions on making</w:t>
      </w:r>
      <w:r>
        <w:tab/>
      </w:r>
      <w:r>
        <w:fldChar w:fldCharType="begin"/>
      </w:r>
      <w:r>
        <w:instrText xml:space="preserve"> PAGEREF _Toc107401877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Payments from municipal fund or trust fund by CEO, CEO’s duties as to etc.</w:t>
      </w:r>
      <w:r>
        <w:tab/>
      </w:r>
      <w:r>
        <w:fldChar w:fldCharType="begin"/>
      </w:r>
      <w:r>
        <w:instrText xml:space="preserve"> PAGEREF _Toc107401878 \h </w:instrText>
      </w:r>
      <w:r>
        <w:fldChar w:fldCharType="separate"/>
      </w:r>
      <w:r>
        <w:t>8</w:t>
      </w:r>
      <w:r>
        <w:fldChar w:fldCharType="end"/>
      </w:r>
    </w:p>
    <w:p>
      <w:pPr>
        <w:pStyle w:val="TOC8"/>
        <w:rPr>
          <w:rFonts w:asciiTheme="minorHAnsi" w:eastAsiaTheme="minorEastAsia" w:hAnsiTheme="minorHAnsi" w:cstheme="minorBidi"/>
          <w:szCs w:val="22"/>
        </w:rPr>
      </w:pPr>
      <w:r>
        <w:t>14.</w:t>
      </w:r>
      <w:r>
        <w:tab/>
        <w:t>Information about operating revenue and expenses in annual budget and annual financial report</w:t>
      </w:r>
      <w:r>
        <w:tab/>
      </w:r>
      <w:r>
        <w:fldChar w:fldCharType="begin"/>
      </w:r>
      <w:r>
        <w:instrText xml:space="preserve"> PAGEREF _Toc107401879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Rounding off figures in annual budget etc.</w:t>
      </w:r>
      <w:r>
        <w:tab/>
      </w:r>
      <w:r>
        <w:fldChar w:fldCharType="begin"/>
      </w:r>
      <w:r>
        <w:instrText xml:space="preserve"> PAGEREF _Toc107401880 \h </w:instrText>
      </w:r>
      <w:r>
        <w:fldChar w:fldCharType="separate"/>
      </w:r>
      <w:r>
        <w:t>9</w:t>
      </w:r>
      <w:r>
        <w:fldChar w:fldCharType="end"/>
      </w:r>
    </w:p>
    <w:p>
      <w:pPr>
        <w:pStyle w:val="TOC8"/>
        <w:rPr>
          <w:rFonts w:asciiTheme="minorHAnsi" w:eastAsiaTheme="minorEastAsia" w:hAnsiTheme="minorHAnsi" w:cstheme="minorBidi"/>
          <w:szCs w:val="22"/>
        </w:rPr>
      </w:pPr>
      <w:r>
        <w:lastRenderedPageBreak/>
        <w:t>17A.</w:t>
      </w:r>
      <w:r>
        <w:tab/>
        <w:t>Valuation of certain assets for financial reports</w:t>
      </w:r>
      <w:r>
        <w:tab/>
      </w:r>
      <w:r>
        <w:fldChar w:fldCharType="begin"/>
      </w:r>
      <w:r>
        <w:instrText xml:space="preserve"> PAGEREF _Toc107401881 \h </w:instrText>
      </w:r>
      <w:r>
        <w:fldChar w:fldCharType="separate"/>
      </w:r>
      <w:r>
        <w:t>10</w:t>
      </w:r>
      <w:r>
        <w:fldChar w:fldCharType="end"/>
      </w:r>
    </w:p>
    <w:p>
      <w:pPr>
        <w:pStyle w:val="TOC8"/>
        <w:rPr>
          <w:rFonts w:asciiTheme="minorHAnsi" w:eastAsiaTheme="minorEastAsia" w:hAnsiTheme="minorHAnsi" w:cstheme="minorBidi"/>
          <w:szCs w:val="22"/>
        </w:rPr>
      </w:pPr>
      <w:r>
        <w:t>17B.</w:t>
      </w:r>
      <w:r>
        <w:tab/>
        <w:t>CEO to take steps to protect excluded portable and attractive assets</w:t>
      </w:r>
      <w:r>
        <w:tab/>
      </w:r>
      <w:r>
        <w:fldChar w:fldCharType="begin"/>
      </w:r>
      <w:r>
        <w:instrText xml:space="preserve"> PAGEREF _Toc107401882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Reserve accounts, title of etc.</w:t>
      </w:r>
      <w:r>
        <w:tab/>
      </w:r>
      <w:r>
        <w:fldChar w:fldCharType="begin"/>
      </w:r>
      <w:r>
        <w:instrText xml:space="preserve"> PAGEREF _Toc107401883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local public notice not required for change of use of money in reserve account (Act s. </w:t>
      </w:r>
      <w:r>
        <w:t>6</w:t>
      </w:r>
      <w:r>
        <w:rPr>
          <w:snapToGrid w:val="0"/>
        </w:rPr>
        <w:t>.11(3)(b))</w:t>
      </w:r>
      <w:r>
        <w:tab/>
      </w:r>
      <w:r>
        <w:fldChar w:fldCharType="begin"/>
      </w:r>
      <w:r>
        <w:instrText xml:space="preserve"> PAGEREF _Toc107401884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Investments, control procedures for</w:t>
      </w:r>
      <w:r>
        <w:tab/>
      </w:r>
      <w:r>
        <w:fldChar w:fldCharType="begin"/>
      </w:r>
      <w:r>
        <w:instrText xml:space="preserve"> PAGEREF _Toc107401885 \h </w:instrText>
      </w:r>
      <w:r>
        <w:fldChar w:fldCharType="separate"/>
      </w:r>
      <w:r>
        <w:t>13</w:t>
      </w:r>
      <w:r>
        <w:fldChar w:fldCharType="end"/>
      </w:r>
    </w:p>
    <w:p>
      <w:pPr>
        <w:pStyle w:val="TOC8"/>
        <w:rPr>
          <w:rFonts w:asciiTheme="minorHAnsi" w:eastAsiaTheme="minorEastAsia" w:hAnsiTheme="minorHAnsi" w:cstheme="minorBidi"/>
          <w:szCs w:val="22"/>
        </w:rPr>
      </w:pPr>
      <w:r>
        <w:t>19AA.</w:t>
      </w:r>
      <w:r>
        <w:tab/>
        <w:t>Ministerial approval required to write off repayment of advance payment (Act s. 6.12(4))</w:t>
      </w:r>
      <w:r>
        <w:tab/>
      </w:r>
      <w:r>
        <w:fldChar w:fldCharType="begin"/>
      </w:r>
      <w:r>
        <w:instrText xml:space="preserve"> PAGEREF _Toc107401886 \h </w:instrText>
      </w:r>
      <w:r>
        <w:fldChar w:fldCharType="separate"/>
      </w:r>
      <w:r>
        <w:t>13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Maximum rate of interest prescribed (Act s. 6.13(3))</w:t>
      </w:r>
      <w:r>
        <w:tab/>
      </w:r>
      <w:r>
        <w:fldChar w:fldCharType="begin"/>
      </w:r>
      <w:r>
        <w:instrText xml:space="preserve"> PAGEREF _Toc107401887 \h </w:instrText>
      </w:r>
      <w:r>
        <w:fldChar w:fldCharType="separate"/>
      </w:r>
      <w:r>
        <w:t>14</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Interest on money owing, calculating (Act s. 6.13)</w:t>
      </w:r>
      <w:r>
        <w:tab/>
      </w:r>
      <w:r>
        <w:fldChar w:fldCharType="begin"/>
      </w:r>
      <w:r>
        <w:instrText xml:space="preserve"> PAGEREF _Toc107401888 \h </w:instrText>
      </w:r>
      <w:r>
        <w:fldChar w:fldCharType="separate"/>
      </w:r>
      <w:r>
        <w:t>14</w:t>
      </w:r>
      <w:r>
        <w:fldChar w:fldCharType="end"/>
      </w:r>
    </w:p>
    <w:p>
      <w:pPr>
        <w:pStyle w:val="TOC8"/>
        <w:rPr>
          <w:rFonts w:asciiTheme="minorHAnsi" w:eastAsiaTheme="minorEastAsia" w:hAnsiTheme="minorHAnsi" w:cstheme="minorBidi"/>
          <w:szCs w:val="22"/>
        </w:rPr>
      </w:pPr>
      <w:r>
        <w:t>19C.</w:t>
      </w:r>
      <w:r>
        <w:tab/>
        <w:t>Investment of money, restrictions on (Act s. 6.14(2)(a))</w:t>
      </w:r>
      <w:r>
        <w:tab/>
      </w:r>
      <w:r>
        <w:fldChar w:fldCharType="begin"/>
      </w:r>
      <w:r>
        <w:instrText xml:space="preserve"> PAGEREF _Toc107401889 \h </w:instrText>
      </w:r>
      <w:r>
        <w:fldChar w:fldCharType="separate"/>
      </w:r>
      <w:r>
        <w:t>15</w:t>
      </w:r>
      <w:r>
        <w:fldChar w:fldCharType="end"/>
      </w:r>
    </w:p>
    <w:p>
      <w:pPr>
        <w:pStyle w:val="TOC8"/>
        <w:rPr>
          <w:rFonts w:asciiTheme="minorHAnsi" w:eastAsiaTheme="minorEastAsia" w:hAnsiTheme="minorHAnsi" w:cstheme="minorBidi"/>
          <w:szCs w:val="22"/>
        </w:rPr>
      </w:pPr>
      <w:r>
        <w:t>20.</w:t>
      </w:r>
      <w:r>
        <w:tab/>
        <w:t>When local public notice not required for exercise of power to borrow (Act s. 6.20(2)(a))</w:t>
      </w:r>
      <w:r>
        <w:tab/>
      </w:r>
      <w:r>
        <w:fldChar w:fldCharType="begin"/>
      </w:r>
      <w:r>
        <w:instrText xml:space="preserve"> PAGEREF _Toc107401890 \h </w:instrText>
      </w:r>
      <w:r>
        <w:fldChar w:fldCharType="separate"/>
      </w:r>
      <w:r>
        <w:t>15</w:t>
      </w:r>
      <w:r>
        <w:fldChar w:fldCharType="end"/>
      </w:r>
    </w:p>
    <w:p>
      <w:pPr>
        <w:pStyle w:val="TOC8"/>
        <w:rPr>
          <w:rFonts w:asciiTheme="minorHAnsi" w:eastAsiaTheme="minorEastAsia" w:hAnsiTheme="minorHAnsi" w:cstheme="minorBidi"/>
          <w:szCs w:val="22"/>
        </w:rPr>
      </w:pPr>
      <w:r>
        <w:t>21.</w:t>
      </w:r>
      <w:r>
        <w:tab/>
        <w:t>When local public notice not required for change of use of borrowed money (Act s. 6.20(4)(b))</w:t>
      </w:r>
      <w:r>
        <w:tab/>
      </w:r>
      <w:r>
        <w:fldChar w:fldCharType="begin"/>
      </w:r>
      <w:r>
        <w:instrText xml:space="preserve"> PAGEREF _Toc107401891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Annual budget — s. 6.2</w:t>
      </w:r>
    </w:p>
    <w:p>
      <w:pPr>
        <w:pStyle w:val="TOC8"/>
        <w:rPr>
          <w:rFonts w:asciiTheme="minorHAnsi" w:eastAsiaTheme="minorEastAsia" w:hAnsiTheme="minorHAnsi" w:cstheme="minorBidi"/>
          <w:szCs w:val="22"/>
        </w:rPr>
      </w:pPr>
      <w:r>
        <w:t>22</w:t>
      </w:r>
      <w:r>
        <w:rPr>
          <w:snapToGrid w:val="0"/>
        </w:rPr>
        <w:t>.</w:t>
      </w:r>
      <w:r>
        <w:rPr>
          <w:snapToGrid w:val="0"/>
        </w:rPr>
        <w:tab/>
        <w:t>Form and content of annual budget (Act s. 6.2(1))</w:t>
      </w:r>
      <w:r>
        <w:tab/>
      </w:r>
      <w:r>
        <w:fldChar w:fldCharType="begin"/>
      </w:r>
      <w:r>
        <w:instrText xml:space="preserve"> PAGEREF _Toc107401893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Rates information required</w:t>
      </w:r>
      <w:r>
        <w:tab/>
      </w:r>
      <w:r>
        <w:fldChar w:fldCharType="begin"/>
      </w:r>
      <w:r>
        <w:instrText xml:space="preserve"> PAGEREF _Toc107401894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Service charges information required</w:t>
      </w:r>
      <w:r>
        <w:tab/>
      </w:r>
      <w:r>
        <w:fldChar w:fldCharType="begin"/>
      </w:r>
      <w:r>
        <w:instrText xml:space="preserve"> PAGEREF _Toc107401895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Revenue from fees and charges, estimate of required</w:t>
      </w:r>
      <w:r>
        <w:tab/>
      </w:r>
      <w:r>
        <w:fldChar w:fldCharType="begin"/>
      </w:r>
      <w:r>
        <w:instrText xml:space="preserve"> PAGEREF _Toc107401896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Discounts for early payment etc., information about required</w:t>
      </w:r>
      <w:r>
        <w:tab/>
      </w:r>
      <w:r>
        <w:fldChar w:fldCharType="begin"/>
      </w:r>
      <w:r>
        <w:instrText xml:space="preserve"> PAGEREF _Toc107401897 \h </w:instrText>
      </w:r>
      <w:r>
        <w:fldChar w:fldCharType="separate"/>
      </w:r>
      <w:r>
        <w:t>22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Notes to annual budget, when required</w:t>
      </w:r>
      <w:r>
        <w:tab/>
      </w:r>
      <w:r>
        <w:fldChar w:fldCharType="begin"/>
      </w:r>
      <w:r>
        <w:instrText xml:space="preserve"> PAGEREF _Toc107401898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Investment information required in notes</w:t>
      </w:r>
      <w:r>
        <w:tab/>
      </w:r>
      <w:r>
        <w:fldChar w:fldCharType="begin"/>
      </w:r>
      <w:r>
        <w:instrText xml:space="preserve"> PAGEREF _Toc107401899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Borrowings information required in notes</w:t>
      </w:r>
      <w:r>
        <w:tab/>
      </w:r>
      <w:r>
        <w:fldChar w:fldCharType="begin"/>
      </w:r>
      <w:r>
        <w:instrText xml:space="preserve"> PAGEREF _Toc107401900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Previous financial year figures to be shown for comparison</w:t>
      </w:r>
      <w:r>
        <w:tab/>
      </w:r>
      <w:r>
        <w:fldChar w:fldCharType="begin"/>
      </w:r>
      <w:r>
        <w:instrText xml:space="preserve"> PAGEREF _Toc107401901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Net current assets at start of financial year to be shown</w:t>
      </w:r>
      <w:r>
        <w:tab/>
      </w:r>
      <w:r>
        <w:fldChar w:fldCharType="begin"/>
      </w:r>
      <w:r>
        <w:instrText xml:space="preserve"> PAGEREF _Toc107401902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Amounts which may be excluded when calculating budget deficiency (Act s. </w:t>
      </w:r>
      <w:r>
        <w:t>6</w:t>
      </w:r>
      <w:r>
        <w:rPr>
          <w:snapToGrid w:val="0"/>
        </w:rPr>
        <w:t>.2(3))</w:t>
      </w:r>
      <w:r>
        <w:tab/>
      </w:r>
      <w:r>
        <w:fldChar w:fldCharType="begin"/>
      </w:r>
      <w:r>
        <w:instrText xml:space="preserve"> PAGEREF _Toc107401903 \h </w:instrText>
      </w:r>
      <w:r>
        <w:fldChar w:fldCharType="separate"/>
      </w:r>
      <w:r>
        <w:t>31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Annual budget to be lodged with Department</w:t>
      </w:r>
      <w:r>
        <w:tab/>
      </w:r>
      <w:r>
        <w:fldChar w:fldCharType="begin"/>
      </w:r>
      <w:r>
        <w:instrText xml:space="preserve"> PAGEREF _Toc107401904 \h </w:instrText>
      </w:r>
      <w:r>
        <w:fldChar w:fldCharType="separate"/>
      </w:r>
      <w:r>
        <w:t>31</w:t>
      </w:r>
      <w:r>
        <w:fldChar w:fldCharType="end"/>
      </w:r>
    </w:p>
    <w:p>
      <w:pPr>
        <w:pStyle w:val="TOC8"/>
        <w:rPr>
          <w:rFonts w:asciiTheme="minorHAnsi" w:eastAsiaTheme="minorEastAsia" w:hAnsiTheme="minorHAnsi" w:cstheme="minorBidi"/>
          <w:szCs w:val="22"/>
        </w:rPr>
      </w:pPr>
      <w:r>
        <w:t>33A.</w:t>
      </w:r>
      <w:r>
        <w:tab/>
        <w:t>Review of budget</w:t>
      </w:r>
      <w:r>
        <w:tab/>
      </w:r>
      <w:r>
        <w:fldChar w:fldCharType="begin"/>
      </w:r>
      <w:r>
        <w:instrText xml:space="preserve"> PAGEREF _Toc107401905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Financial reports — s. 6.4</w:t>
      </w:r>
    </w:p>
    <w:p>
      <w:pPr>
        <w:pStyle w:val="TOC8"/>
        <w:rPr>
          <w:rFonts w:asciiTheme="minorHAnsi" w:eastAsiaTheme="minorEastAsia" w:hAnsiTheme="minorHAnsi" w:cstheme="minorBidi"/>
          <w:szCs w:val="22"/>
        </w:rPr>
      </w:pPr>
      <w:r>
        <w:t>34.</w:t>
      </w:r>
      <w:r>
        <w:tab/>
        <w:t>Financial activity statement required each month (Act s. 6.4)</w:t>
      </w:r>
      <w:r>
        <w:tab/>
      </w:r>
      <w:r>
        <w:fldChar w:fldCharType="begin"/>
      </w:r>
      <w:r>
        <w:instrText xml:space="preserve"> PAGEREF _Toc107401907 \h </w:instrText>
      </w:r>
      <w:r>
        <w:fldChar w:fldCharType="separate"/>
      </w:r>
      <w:r>
        <w:t>33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Annual financial report, content of (Act s. 6.4(2))</w:t>
      </w:r>
      <w:r>
        <w:tab/>
      </w:r>
      <w:r>
        <w:fldChar w:fldCharType="begin"/>
      </w:r>
      <w:r>
        <w:instrText xml:space="preserve"> PAGEREF _Toc107401908 \h </w:instrText>
      </w:r>
      <w:r>
        <w:fldChar w:fldCharType="separate"/>
      </w:r>
      <w:r>
        <w:t>34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Trust fund, information about in annual financial report</w:t>
      </w:r>
      <w:r>
        <w:tab/>
      </w:r>
      <w:r>
        <w:fldChar w:fldCharType="begin"/>
      </w:r>
      <w:r>
        <w:instrText xml:space="preserve"> PAGEREF _Toc107401909 \h </w:instrText>
      </w:r>
      <w:r>
        <w:fldChar w:fldCharType="separate"/>
      </w:r>
      <w:r>
        <w:t>36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Reserve accounts, information about in annual financial report</w:t>
      </w:r>
      <w:r>
        <w:tab/>
      </w:r>
      <w:r>
        <w:fldChar w:fldCharType="begin"/>
      </w:r>
      <w:r>
        <w:instrText xml:space="preserve"> PAGEREF _Toc107401910 \h </w:instrText>
      </w:r>
      <w:r>
        <w:fldChar w:fldCharType="separate"/>
      </w:r>
      <w:r>
        <w:t>36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Rates, information about in annual financial report</w:t>
      </w:r>
      <w:r>
        <w:tab/>
      </w:r>
      <w:r>
        <w:fldChar w:fldCharType="begin"/>
      </w:r>
      <w:r>
        <w:instrText xml:space="preserve"> PAGEREF _Toc107401911 \h </w:instrText>
      </w:r>
      <w:r>
        <w:fldChar w:fldCharType="separate"/>
      </w:r>
      <w:r>
        <w:t>37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charges, information about in annual financial report</w:t>
      </w:r>
      <w:r>
        <w:tab/>
      </w:r>
      <w:r>
        <w:fldChar w:fldCharType="begin"/>
      </w:r>
      <w:r>
        <w:instrText xml:space="preserve"> PAGEREF _Toc107401912 \h </w:instrText>
      </w:r>
      <w:r>
        <w:fldChar w:fldCharType="separate"/>
      </w:r>
      <w:r>
        <w:t>39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Fees and charges, information about in annual financial report</w:t>
      </w:r>
      <w:r>
        <w:tab/>
      </w:r>
      <w:r>
        <w:fldChar w:fldCharType="begin"/>
      </w:r>
      <w:r>
        <w:instrText xml:space="preserve"> PAGEREF _Toc107401913 \h </w:instrText>
      </w:r>
      <w:r>
        <w:fldChar w:fldCharType="separate"/>
      </w:r>
      <w:r>
        <w:t>39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Discounts for early payment etc., information about in annual financial report</w:t>
      </w:r>
      <w:r>
        <w:tab/>
      </w:r>
      <w:r>
        <w:fldChar w:fldCharType="begin"/>
      </w:r>
      <w:r>
        <w:instrText xml:space="preserve"> PAGEREF _Toc107401914 \h </w:instrText>
      </w:r>
      <w:r>
        <w:fldChar w:fldCharType="separate"/>
      </w:r>
      <w:r>
        <w:t>39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Interest charges etc., information about in annual financial report</w:t>
      </w:r>
      <w:r>
        <w:tab/>
      </w:r>
      <w:r>
        <w:fldChar w:fldCharType="begin"/>
      </w:r>
      <w:r>
        <w:instrText xml:space="preserve"> PAGEREF _Toc107401915 \h </w:instrText>
      </w:r>
      <w:r>
        <w:fldChar w:fldCharType="separate"/>
      </w:r>
      <w:r>
        <w:t>41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Fees etc. to council members, information about in annual financial report</w:t>
      </w:r>
      <w:r>
        <w:tab/>
      </w:r>
      <w:r>
        <w:fldChar w:fldCharType="begin"/>
      </w:r>
      <w:r>
        <w:instrText xml:space="preserve"> PAGEREF _Toc107401916 \h </w:instrText>
      </w:r>
      <w:r>
        <w:fldChar w:fldCharType="separate"/>
      </w:r>
      <w:r>
        <w:t>41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Trading undertakings, information about in annual financial report</w:t>
      </w:r>
      <w:r>
        <w:tab/>
      </w:r>
      <w:r>
        <w:fldChar w:fldCharType="begin"/>
      </w:r>
      <w:r>
        <w:instrText xml:space="preserve"> PAGEREF _Toc107401917 \h </w:instrText>
      </w:r>
      <w:r>
        <w:fldChar w:fldCharType="separate"/>
      </w:r>
      <w:r>
        <w:t>42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Major land transactions, information about in annual financial report</w:t>
      </w:r>
      <w:r>
        <w:tab/>
      </w:r>
      <w:r>
        <w:fldChar w:fldCharType="begin"/>
      </w:r>
      <w:r>
        <w:instrText xml:space="preserve"> PAGEREF _Toc107401918 \h </w:instrText>
      </w:r>
      <w:r>
        <w:fldChar w:fldCharType="separate"/>
      </w:r>
      <w:r>
        <w:t>42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Completed major land transactions, information about in annual financial report</w:t>
      </w:r>
      <w:r>
        <w:tab/>
      </w:r>
      <w:r>
        <w:fldChar w:fldCharType="begin"/>
      </w:r>
      <w:r>
        <w:instrText xml:space="preserve"> PAGEREF _Toc107401919 \h </w:instrText>
      </w:r>
      <w:r>
        <w:fldChar w:fldCharType="separate"/>
      </w:r>
      <w:r>
        <w:t>43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Borrowings, information about in annual financial report</w:t>
      </w:r>
      <w:r>
        <w:tab/>
      </w:r>
      <w:r>
        <w:fldChar w:fldCharType="begin"/>
      </w:r>
      <w:r>
        <w:instrText xml:space="preserve"> PAGEREF _Toc107401920 \h </w:instrText>
      </w:r>
      <w:r>
        <w:fldChar w:fldCharType="separate"/>
      </w:r>
      <w:r>
        <w:t>44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Invested money, information about in annual financial report</w:t>
      </w:r>
      <w:r>
        <w:tab/>
      </w:r>
      <w:r>
        <w:fldChar w:fldCharType="begin"/>
      </w:r>
      <w:r>
        <w:instrText xml:space="preserve"> PAGEREF _Toc107401921 \h </w:instrText>
      </w:r>
      <w:r>
        <w:fldChar w:fldCharType="separate"/>
      </w:r>
      <w:r>
        <w:t>46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Annual financial report to be signed etc. by CEO and given to Department</w:t>
      </w:r>
      <w:r>
        <w:tab/>
      </w:r>
      <w:r>
        <w:fldChar w:fldCharType="begin"/>
      </w:r>
      <w:r>
        <w:instrText xml:space="preserve"> PAGEREF _Toc107401922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Rates and service charges</w:t>
      </w:r>
    </w:p>
    <w:p>
      <w:pPr>
        <w:pStyle w:val="TOC8"/>
        <w:rPr>
          <w:rFonts w:asciiTheme="minorHAnsi" w:eastAsiaTheme="minorEastAsia" w:hAnsiTheme="minorHAnsi" w:cstheme="minorBidi"/>
          <w:szCs w:val="22"/>
        </w:rPr>
      </w:pPr>
      <w:r>
        <w:t>52A.</w:t>
      </w:r>
      <w:r>
        <w:tab/>
        <w:t>Characteristics prescribed for differential general rates (Act s. 6.33)</w:t>
      </w:r>
      <w:r>
        <w:tab/>
      </w:r>
      <w:r>
        <w:fldChar w:fldCharType="begin"/>
      </w:r>
      <w:r>
        <w:instrText xml:space="preserve"> PAGEREF _Toc107401924 \h </w:instrText>
      </w:r>
      <w:r>
        <w:fldChar w:fldCharType="separate"/>
      </w:r>
      <w:r>
        <w:t>48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Percentage prescribed for minimum payment (Act s. 6.35(4))</w:t>
      </w:r>
      <w:r>
        <w:tab/>
      </w:r>
      <w:r>
        <w:fldChar w:fldCharType="begin"/>
      </w:r>
      <w:r>
        <w:instrText xml:space="preserve"> PAGEREF _Toc107401925 \h </w:instrText>
      </w:r>
      <w:r>
        <w:fldChar w:fldCharType="separate"/>
      </w:r>
      <w:r>
        <w:t>48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Amount prescribed for minimum payment (Act s. </w:t>
      </w:r>
      <w:r>
        <w:t>6</w:t>
      </w:r>
      <w:r>
        <w:rPr>
          <w:snapToGrid w:val="0"/>
        </w:rPr>
        <w:t>.35(4))</w:t>
      </w:r>
      <w:r>
        <w:tab/>
      </w:r>
      <w:r>
        <w:fldChar w:fldCharType="begin"/>
      </w:r>
      <w:r>
        <w:instrText xml:space="preserve"> PAGEREF _Toc107401926 \h </w:instrText>
      </w:r>
      <w:r>
        <w:fldChar w:fldCharType="separate"/>
      </w:r>
      <w:r>
        <w:t>48</w:t>
      </w:r>
      <w:r>
        <w:fldChar w:fldCharType="end"/>
      </w:r>
    </w:p>
    <w:p>
      <w:pPr>
        <w:pStyle w:val="TOC8"/>
        <w:rPr>
          <w:rFonts w:asciiTheme="minorHAnsi" w:eastAsiaTheme="minorEastAsia" w:hAnsiTheme="minorHAnsi" w:cstheme="minorBidi"/>
          <w:szCs w:val="22"/>
        </w:rPr>
      </w:pPr>
      <w:r>
        <w:lastRenderedPageBreak/>
        <w:t>54.</w:t>
      </w:r>
      <w:r>
        <w:tab/>
      </w:r>
      <w:r>
        <w:rPr>
          <w:snapToGrid w:val="0"/>
        </w:rPr>
        <w:t>Works etc. prescribed for service charges on land (Act s. 6.38(1))</w:t>
      </w:r>
      <w:r>
        <w:tab/>
      </w:r>
      <w:r>
        <w:fldChar w:fldCharType="begin"/>
      </w:r>
      <w:r>
        <w:instrText xml:space="preserve"> PAGEREF _Toc107401927 \h </w:instrText>
      </w:r>
      <w:r>
        <w:fldChar w:fldCharType="separate"/>
      </w:r>
      <w:r>
        <w:t>49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Rate record, form of etc. (Act s. 6.39(1))</w:t>
      </w:r>
      <w:r>
        <w:tab/>
      </w:r>
      <w:r>
        <w:fldChar w:fldCharType="begin"/>
      </w:r>
      <w:r>
        <w:instrText xml:space="preserve"> PAGEREF _Toc107401928 \h </w:instrText>
      </w:r>
      <w:r>
        <w:fldChar w:fldCharType="separate"/>
      </w:r>
      <w:r>
        <w:t>49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Rate notice, content of etc. (Act s. 6.41)</w:t>
      </w:r>
      <w:r>
        <w:tab/>
      </w:r>
      <w:r>
        <w:fldChar w:fldCharType="begin"/>
      </w:r>
      <w:r>
        <w:instrText xml:space="preserve"> PAGEREF _Toc107401929 \h </w:instrText>
      </w:r>
      <w:r>
        <w:fldChar w:fldCharType="separate"/>
      </w:r>
      <w:r>
        <w:t>50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Rate notice where rates being paid by instalments, content of etc. (Act s. </w:t>
      </w:r>
      <w:r>
        <w:t>6</w:t>
      </w:r>
      <w:r>
        <w:rPr>
          <w:snapToGrid w:val="0"/>
        </w:rPr>
        <w:t>.41)</w:t>
      </w:r>
      <w:r>
        <w:tab/>
      </w:r>
      <w:r>
        <w:fldChar w:fldCharType="begin"/>
      </w:r>
      <w:r>
        <w:instrText xml:space="preserve"> PAGEREF _Toc107401930 \h </w:instrText>
      </w:r>
      <w:r>
        <w:fldChar w:fldCharType="separate"/>
      </w:r>
      <w:r>
        <w:t>54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Instalments not available if land in arrears (Act s. 6.45)</w:t>
      </w:r>
      <w:r>
        <w:tab/>
      </w:r>
      <w:r>
        <w:fldChar w:fldCharType="begin"/>
      </w:r>
      <w:r>
        <w:instrText xml:space="preserve"> PAGEREF _Toc107401931 \h </w:instrText>
      </w:r>
      <w:r>
        <w:fldChar w:fldCharType="separate"/>
      </w:r>
      <w:r>
        <w:t>55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Instalments not available if total less than $200 (Act s. 6.45)</w:t>
      </w:r>
      <w:r>
        <w:tab/>
      </w:r>
      <w:r>
        <w:fldChar w:fldCharType="begin"/>
      </w:r>
      <w:r>
        <w:instrText xml:space="preserve"> PAGEREF _Toc107401932 \h </w:instrText>
      </w:r>
      <w:r>
        <w:fldChar w:fldCharType="separate"/>
      </w:r>
      <w:r>
        <w:t>55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Instalments, manner of electing to pay by (Act s. 6.45)</w:t>
      </w:r>
      <w:r>
        <w:tab/>
      </w:r>
      <w:r>
        <w:fldChar w:fldCharType="begin"/>
      </w:r>
      <w:r>
        <w:instrText xml:space="preserve"> PAGEREF _Toc107401933 \h </w:instrText>
      </w:r>
      <w:r>
        <w:fldChar w:fldCharType="separate"/>
      </w:r>
      <w:r>
        <w:t>55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Instalments, additional circumstance when rates may be paid by</w:t>
      </w:r>
      <w:r>
        <w:tab/>
      </w:r>
      <w:r>
        <w:fldChar w:fldCharType="begin"/>
      </w:r>
      <w:r>
        <w:instrText xml:space="preserve"> PAGEREF _Toc107401934 \h </w:instrText>
      </w:r>
      <w:r>
        <w:fldChar w:fldCharType="separate"/>
      </w:r>
      <w:r>
        <w:t>55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Rates re-assessed under Act s. 6.40, when rates due etc.</w:t>
      </w:r>
      <w:r>
        <w:tab/>
      </w:r>
      <w:r>
        <w:fldChar w:fldCharType="begin"/>
      </w:r>
      <w:r>
        <w:instrText xml:space="preserve"> PAGEREF _Toc107401935 \h </w:instrText>
      </w:r>
      <w:r>
        <w:fldChar w:fldCharType="separate"/>
      </w:r>
      <w:r>
        <w:t>56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Instalments, effect on if land sold</w:t>
      </w:r>
      <w:r>
        <w:tab/>
      </w:r>
      <w:r>
        <w:fldChar w:fldCharType="begin"/>
      </w:r>
      <w:r>
        <w:instrText xml:space="preserve"> PAGEREF _Toc107401936 \h </w:instrText>
      </w:r>
      <w:r>
        <w:fldChar w:fldCharType="separate"/>
      </w:r>
      <w:r>
        <w:t>56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Instalments, when to be paid</w:t>
      </w:r>
      <w:r>
        <w:tab/>
      </w:r>
      <w:r>
        <w:fldChar w:fldCharType="begin"/>
      </w:r>
      <w:r>
        <w:instrText xml:space="preserve"> PAGEREF _Toc107401937 \h </w:instrText>
      </w:r>
      <w:r>
        <w:fldChar w:fldCharType="separate"/>
      </w:r>
      <w:r>
        <w:t>56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Instalment due on public holiday, payment of</w:t>
      </w:r>
      <w:r>
        <w:tab/>
      </w:r>
      <w:r>
        <w:fldChar w:fldCharType="begin"/>
      </w:r>
      <w:r>
        <w:instrText xml:space="preserve"> PAGEREF _Toc107401938 \h </w:instrText>
      </w:r>
      <w:r>
        <w:fldChar w:fldCharType="separate"/>
      </w:r>
      <w:r>
        <w:t>57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Instalments, when right to pay by ceases</w:t>
      </w:r>
      <w:r>
        <w:tab/>
      </w:r>
      <w:r>
        <w:fldChar w:fldCharType="begin"/>
      </w:r>
      <w:r>
        <w:instrText xml:space="preserve"> PAGEREF _Toc107401939 \h </w:instrText>
      </w:r>
      <w:r>
        <w:fldChar w:fldCharType="separate"/>
      </w:r>
      <w:r>
        <w:t>57</w:t>
      </w:r>
      <w:r>
        <w:fldChar w:fldCharType="end"/>
      </w:r>
    </w:p>
    <w:p>
      <w:pPr>
        <w:pStyle w:val="TOC8"/>
        <w:rPr>
          <w:rFonts w:asciiTheme="minorHAnsi" w:eastAsiaTheme="minorEastAsia" w:hAnsiTheme="minorHAnsi" w:cstheme="minorBidi"/>
          <w:szCs w:val="22"/>
        </w:rPr>
      </w:pPr>
      <w:r>
        <w:t>67.</w:t>
      </w:r>
      <w:r>
        <w:tab/>
        <w:t>Instalments, determining additional charge for payment by</w:t>
      </w:r>
      <w:r>
        <w:tab/>
      </w:r>
      <w:r>
        <w:fldChar w:fldCharType="begin"/>
      </w:r>
      <w:r>
        <w:instrText xml:space="preserve"> PAGEREF _Toc107401940 \h </w:instrText>
      </w:r>
      <w:r>
        <w:fldChar w:fldCharType="separate"/>
      </w:r>
      <w:r>
        <w:t>58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Maximum interest component prescribed (Act s. 6.45)</w:t>
      </w:r>
      <w:r>
        <w:tab/>
      </w:r>
      <w:r>
        <w:fldChar w:fldCharType="begin"/>
      </w:r>
      <w:r>
        <w:instrText xml:space="preserve"> PAGEREF _Toc107401941 \h </w:instrText>
      </w:r>
      <w:r>
        <w:fldChar w:fldCharType="separate"/>
      </w:r>
      <w:r>
        <w:t>58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 xml:space="preserve">Instalments, calculating interest for </w:t>
      </w:r>
      <w:r>
        <w:t>(Act s. 6.45(3))</w:t>
      </w:r>
      <w:r>
        <w:tab/>
      </w:r>
      <w:r>
        <w:fldChar w:fldCharType="begin"/>
      </w:r>
      <w:r>
        <w:instrText xml:space="preserve"> PAGEREF _Toc107401942 \h </w:instrText>
      </w:r>
      <w:r>
        <w:fldChar w:fldCharType="separate"/>
      </w:r>
      <w:r>
        <w:t>59</w:t>
      </w:r>
      <w:r>
        <w:fldChar w:fldCharType="end"/>
      </w:r>
    </w:p>
    <w:p>
      <w:pPr>
        <w:pStyle w:val="TOC8"/>
        <w:rPr>
          <w:rFonts w:asciiTheme="minorHAnsi" w:eastAsiaTheme="minorEastAsia" w:hAnsiTheme="minorHAnsi" w:cstheme="minorBidi"/>
          <w:szCs w:val="22"/>
        </w:rPr>
      </w:pPr>
      <w:r>
        <w:t>69A.</w:t>
      </w:r>
      <w:r>
        <w:tab/>
        <w:t>When concession under Act s. 6.47 can not be granted</w:t>
      </w:r>
      <w:r>
        <w:tab/>
      </w:r>
      <w:r>
        <w:fldChar w:fldCharType="begin"/>
      </w:r>
      <w:r>
        <w:instrText xml:space="preserve"> PAGEREF _Toc107401943 \h </w:instrText>
      </w:r>
      <w:r>
        <w:fldChar w:fldCharType="separate"/>
      </w:r>
      <w:r>
        <w:t>59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Maximum rate of interest prescribed (Act s. </w:t>
      </w:r>
      <w:r>
        <w:t>6</w:t>
      </w:r>
      <w:r>
        <w:rPr>
          <w:snapToGrid w:val="0"/>
        </w:rPr>
        <w:t>.51)</w:t>
      </w:r>
      <w:r>
        <w:tab/>
      </w:r>
      <w:r>
        <w:fldChar w:fldCharType="begin"/>
      </w:r>
      <w:r>
        <w:instrText xml:space="preserve"> PAGEREF _Toc107401944 \h </w:instrText>
      </w:r>
      <w:r>
        <w:fldChar w:fldCharType="separate"/>
      </w:r>
      <w:r>
        <w:t>59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Overdue rates and service charges, calculating interest on</w:t>
      </w:r>
      <w:r>
        <w:tab/>
      </w:r>
      <w:r>
        <w:fldChar w:fldCharType="begin"/>
      </w:r>
      <w:r>
        <w:instrText xml:space="preserve"> PAGEREF _Toc107401945 \h </w:instrText>
      </w:r>
      <w:r>
        <w:fldChar w:fldCharType="separate"/>
      </w:r>
      <w:r>
        <w:t>59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Notification prescribed (Act s. </w:t>
      </w:r>
      <w:r>
        <w:t>6</w:t>
      </w:r>
      <w:r>
        <w:rPr>
          <w:snapToGrid w:val="0"/>
        </w:rPr>
        <w:t>.64(2))</w:t>
      </w:r>
      <w:r>
        <w:tab/>
      </w:r>
      <w:r>
        <w:fldChar w:fldCharType="begin"/>
      </w:r>
      <w:r>
        <w:instrText xml:space="preserve"> PAGEREF _Toc107401946 \h </w:instrText>
      </w:r>
      <w:r>
        <w:fldChar w:fldCharType="separate"/>
      </w:r>
      <w:r>
        <w:t>60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Form of notice prescribed (Act s. </w:t>
      </w:r>
      <w:r>
        <w:t>6</w:t>
      </w:r>
      <w:r>
        <w:rPr>
          <w:snapToGrid w:val="0"/>
        </w:rPr>
        <w:t>.64(2))</w:t>
      </w:r>
      <w:r>
        <w:tab/>
      </w:r>
      <w:r>
        <w:fldChar w:fldCharType="begin"/>
      </w:r>
      <w:r>
        <w:instrText xml:space="preserve"> PAGEREF _Toc107401947 \h </w:instrText>
      </w:r>
      <w:r>
        <w:fldChar w:fldCharType="separate"/>
      </w:r>
      <w:r>
        <w:t>60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Form prescribed (Act Sch. 6.3 cl. 1(2)(e))</w:t>
      </w:r>
      <w:r>
        <w:tab/>
      </w:r>
      <w:r>
        <w:fldChar w:fldCharType="begin"/>
      </w:r>
      <w:r>
        <w:instrText xml:space="preserve"> PAGEREF _Toc107401948 \h </w:instrText>
      </w:r>
      <w:r>
        <w:fldChar w:fldCharType="separate"/>
      </w:r>
      <w:r>
        <w:t>60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Form prescribed (Act Sch. 6.3 cl. 2(1)(a))</w:t>
      </w:r>
      <w:r>
        <w:tab/>
      </w:r>
      <w:r>
        <w:fldChar w:fldCharType="begin"/>
      </w:r>
      <w:r>
        <w:instrText xml:space="preserve"> PAGEREF _Toc107401949 \h </w:instrText>
      </w:r>
      <w:r>
        <w:fldChar w:fldCharType="separate"/>
      </w:r>
      <w:r>
        <w:t>60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Local government to notify Registrar of Titles of payment (Act s. 6.69(3)); effect of notice</w:t>
      </w:r>
      <w:r>
        <w:tab/>
      </w:r>
      <w:r>
        <w:fldChar w:fldCharType="begin"/>
      </w:r>
      <w:r>
        <w:instrText xml:space="preserve"> PAGEREF _Toc107401950 \h </w:instrText>
      </w:r>
      <w:r>
        <w:fldChar w:fldCharType="separate"/>
      </w:r>
      <w:r>
        <w:t>60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Application under Act s. 6.74, prerequisites to making</w:t>
      </w:r>
      <w:r>
        <w:tab/>
      </w:r>
      <w:r>
        <w:fldChar w:fldCharType="begin"/>
      </w:r>
      <w:r>
        <w:instrText xml:space="preserve"> PAGEREF _Toc107401951 \h </w:instrText>
      </w:r>
      <w:r>
        <w:fldChar w:fldCharType="separate"/>
      </w:r>
      <w:r>
        <w:t>61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Form of application etc. prescribed (Act s. </w:t>
      </w:r>
      <w:r>
        <w:t>6</w:t>
      </w:r>
      <w:r>
        <w:rPr>
          <w:snapToGrid w:val="0"/>
        </w:rPr>
        <w:t>.74)</w:t>
      </w:r>
      <w:r>
        <w:tab/>
      </w:r>
      <w:r>
        <w:fldChar w:fldCharType="begin"/>
      </w:r>
      <w:r>
        <w:instrText xml:space="preserve"> PAGEREF _Toc107401952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Transitional matters</w:t>
      </w:r>
    </w:p>
    <w:p>
      <w:pPr>
        <w:pStyle w:val="TOC8"/>
        <w:rPr>
          <w:rFonts w:asciiTheme="minorHAnsi" w:eastAsiaTheme="minorEastAsia" w:hAnsiTheme="minorHAnsi" w:cstheme="minorBidi"/>
          <w:szCs w:val="22"/>
        </w:rPr>
      </w:pPr>
      <w:r>
        <w:t>79.</w:t>
      </w:r>
      <w:r>
        <w:tab/>
      </w:r>
      <w:r>
        <w:rPr>
          <w:i/>
        </w:rPr>
        <w:t>Local Government (Financial Management) Amendment Regulations 2012</w:t>
      </w:r>
      <w:r>
        <w:rPr>
          <w:iCs/>
        </w:rPr>
        <w:t>, provisions for</w:t>
      </w:r>
      <w:r>
        <w:tab/>
      </w:r>
      <w:r>
        <w:fldChar w:fldCharType="begin"/>
      </w:r>
      <w:r>
        <w:instrText xml:space="preserve"> PAGEREF _Toc107401954 \h </w:instrText>
      </w:r>
      <w:r>
        <w:fldChar w:fldCharType="separate"/>
      </w:r>
      <w:r>
        <w:t>63</w:t>
      </w:r>
      <w:r>
        <w:fldChar w:fldCharType="end"/>
      </w:r>
    </w:p>
    <w:p>
      <w:pPr>
        <w:pStyle w:val="TOC8"/>
        <w:rPr>
          <w:rFonts w:asciiTheme="minorHAnsi" w:eastAsiaTheme="minorEastAsia" w:hAnsiTheme="minorHAnsi" w:cstheme="minorBidi"/>
          <w:szCs w:val="22"/>
        </w:rPr>
      </w:pPr>
      <w:r>
        <w:t>80.</w:t>
      </w:r>
      <w:r>
        <w:tab/>
        <w:t xml:space="preserve">Transitional provisions for </w:t>
      </w:r>
      <w:r>
        <w:rPr>
          <w:i/>
        </w:rPr>
        <w:t>Local Government Regulations Amendment (Financial Management and Audit) Regulations 2022</w:t>
      </w:r>
      <w:r>
        <w:tab/>
      </w:r>
      <w:r>
        <w:fldChar w:fldCharType="begin"/>
      </w:r>
      <w:r>
        <w:instrText xml:space="preserve"> PAGEREF _Toc107401955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4"/>
        <w:tabs>
          <w:tab w:val="right" w:leader="dot" w:pos="7077"/>
        </w:tabs>
        <w:rPr>
          <w:rFonts w:asciiTheme="minorHAnsi" w:eastAsiaTheme="minorEastAsia" w:hAnsiTheme="minorHAnsi" w:cstheme="minorBidi"/>
          <w:b w:val="0"/>
          <w:szCs w:val="22"/>
        </w:rPr>
      </w:pPr>
      <w:r>
        <w:t>Part 1 </w:t>
      </w:r>
      <w:r>
        <w:rPr>
          <w:snapToGrid w:val="0"/>
        </w:rPr>
        <w:t>— </w:t>
      </w:r>
      <w:r>
        <w:t>Local government program titles</w:t>
      </w:r>
    </w:p>
    <w:p>
      <w:pPr>
        <w:pStyle w:val="TOC4"/>
        <w:tabs>
          <w:tab w:val="right" w:leader="dot" w:pos="7077"/>
        </w:tabs>
        <w:rPr>
          <w:rFonts w:asciiTheme="minorHAnsi" w:eastAsiaTheme="minorEastAsia" w:hAnsiTheme="minorHAnsi" w:cstheme="minorBidi"/>
          <w:b w:val="0"/>
          <w:szCs w:val="22"/>
        </w:rPr>
      </w:pPr>
      <w:r>
        <w:t>Part 2</w:t>
      </w:r>
      <w:r>
        <w:rPr>
          <w:b w:val="0"/>
        </w:rPr>
        <w:t> — </w:t>
      </w:r>
      <w:r>
        <w:t>Nature or type classifications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_Toc107401961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Local Government Act 1995</w:t>
      </w:r>
    </w:p>
    <w:p>
      <w:pPr>
        <w:pStyle w:val="NameofActReg"/>
      </w:pPr>
      <w:r>
        <w:t>Local Government (Financial Management) Regulations 1996</w:t>
      </w:r>
    </w:p>
    <w:p>
      <w:pPr>
        <w:pStyle w:val="Heading2"/>
        <w:pageBreakBefore w:val="0"/>
      </w:pPr>
      <w:bookmarkStart w:id="3" w:name="_Toc107222964"/>
      <w:bookmarkStart w:id="4" w:name="_Toc107223613"/>
      <w:bookmarkStart w:id="5" w:name="_Toc107401863"/>
      <w:r>
        <w:rPr>
          <w:rStyle w:val="CharPartNo"/>
        </w:rPr>
        <w:t>Part 1</w:t>
      </w:r>
      <w:r>
        <w:rPr>
          <w:rStyle w:val="CharDivNo"/>
        </w:rPr>
        <w:t> </w:t>
      </w:r>
      <w:r>
        <w:t>—</w:t>
      </w:r>
      <w:r>
        <w:rPr>
          <w:rStyle w:val="CharDivText"/>
        </w:rPr>
        <w:t> </w:t>
      </w:r>
      <w:r>
        <w:rPr>
          <w:rStyle w:val="CharPartText"/>
        </w:rPr>
        <w:t>Introductory matters</w:t>
      </w:r>
      <w:bookmarkEnd w:id="3"/>
      <w:bookmarkEnd w:id="4"/>
      <w:bookmarkEnd w:id="5"/>
    </w:p>
    <w:p>
      <w:pPr>
        <w:pStyle w:val="Heading5"/>
        <w:rPr>
          <w:snapToGrid w:val="0"/>
        </w:rPr>
      </w:pPr>
      <w:bookmarkStart w:id="6" w:name="_Toc107401864"/>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w:t>
      </w:r>
    </w:p>
    <w:p>
      <w:pPr>
        <w:pStyle w:val="Heading5"/>
        <w:rPr>
          <w:snapToGrid w:val="0"/>
        </w:rPr>
      </w:pPr>
      <w:bookmarkStart w:id="7" w:name="_Toc107401865"/>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8" w:name="_Toc107401866"/>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back minimum payment</w:t>
      </w:r>
      <w:r>
        <w:t xml:space="preserve"> or </w:t>
      </w:r>
      <w:r>
        <w:rPr>
          <w:rStyle w:val="CharDefText"/>
        </w:rPr>
        <w:t>back rate</w:t>
      </w:r>
      <w:r>
        <w:t xml:space="preserve"> means an amount imposed under section 6.40(1) after an amendment to the rate record under section 6.39(2)(b);</w:t>
      </w:r>
    </w:p>
    <w:p>
      <w:pPr>
        <w:pStyle w:val="Defstart"/>
      </w:pPr>
      <w:r>
        <w:rPr>
          <w:b/>
        </w:rPr>
        <w:tab/>
      </w:r>
      <w:r>
        <w:rPr>
          <w:rStyle w:val="CharDefText"/>
        </w:rPr>
        <w:t>balance sheet</w:t>
      </w:r>
      <w:r>
        <w:t xml:space="preserve"> means a balance sheet (or equivalent) that meets the requirements of the AAS for balance sheets;</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lastRenderedPageBreak/>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6.39(2)(a);</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or type classification</w:t>
      </w:r>
      <w:r>
        <w:t xml:space="preserve"> means a classification set forth in Part 2 of Schedule 1;</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operating revenue</w:t>
      </w:r>
      <w:r>
        <w:t xml:space="preserve"> means revenue that is operating revenue for the purposes of the AAS;</w:t>
      </w:r>
    </w:p>
    <w:p>
      <w:pPr>
        <w:pStyle w:val="Defstart"/>
      </w:pPr>
      <w:r>
        <w:rPr>
          <w:b/>
        </w:rPr>
        <w:tab/>
      </w:r>
      <w:r>
        <w:rPr>
          <w:rStyle w:val="CharDefText"/>
        </w:rPr>
        <w:t>program</w:t>
      </w:r>
      <w:r>
        <w:t xml:space="preserve"> means a program set forth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rate setting statement</w:t>
      </w:r>
      <w:r>
        <w:t xml:space="preserve"> means the statement referred to in regulation 22(1)(d);</w:t>
      </w:r>
    </w:p>
    <w:p>
      <w:pPr>
        <w:pStyle w:val="Defstart"/>
      </w:pPr>
      <w:r>
        <w:rPr>
          <w:b/>
        </w:rPr>
        <w:tab/>
      </w:r>
      <w:r>
        <w:rPr>
          <w:rStyle w:val="CharDefText"/>
        </w:rPr>
        <w:t>restricted asset</w:t>
      </w:r>
      <w:r>
        <w:t>, of a local government, means an asset the use of which is restricted, wholly or partly, by a law made or a requirement imposed outside of the control of the local government, where the restriction is relevant to assessing the performance, financial position or financing and investment of the local government;</w:t>
      </w:r>
    </w:p>
    <w:p>
      <w:pPr>
        <w:pStyle w:val="Defstart"/>
      </w:pPr>
      <w:r>
        <w:rPr>
          <w:b/>
        </w:rPr>
        <w:tab/>
      </w:r>
      <w:r>
        <w:rPr>
          <w:rStyle w:val="CharDefText"/>
        </w:rPr>
        <w:t>section</w:t>
      </w:r>
      <w:r>
        <w:t xml:space="preserve"> means section of the Act;</w:t>
      </w:r>
    </w:p>
    <w:p>
      <w:pPr>
        <w:pStyle w:val="Defstart"/>
      </w:pPr>
      <w:r>
        <w:tab/>
      </w:r>
      <w:r>
        <w:rPr>
          <w:rStyle w:val="CharDefText"/>
        </w:rPr>
        <w:t>state of emergency declaration</w:t>
      </w:r>
      <w:r>
        <w:t xml:space="preserve"> has the meaning given in the </w:t>
      </w:r>
      <w:r>
        <w:rPr>
          <w:i/>
        </w:rPr>
        <w:t>Emergency Management Act 2005</w:t>
      </w:r>
      <w:r>
        <w:t xml:space="preserve"> section 3;</w:t>
      </w:r>
    </w:p>
    <w:p>
      <w:pPr>
        <w:pStyle w:val="Defstart"/>
      </w:pPr>
      <w:r>
        <w:lastRenderedPageBreak/>
        <w:tab/>
      </w:r>
      <w:r>
        <w:rPr>
          <w:rStyle w:val="CharDefText"/>
        </w:rPr>
        <w:t>total assets</w:t>
      </w:r>
      <w:r>
        <w:t xml:space="preserve"> means all current and non</w:t>
      </w:r>
      <w:r>
        <w:noBreakHyphen/>
        <w:t>current assets as shown in the balance sheet.</w:t>
      </w:r>
    </w:p>
    <w:p>
      <w:pPr>
        <w:pStyle w:val="Subsection"/>
      </w:pPr>
      <w:r>
        <w:tab/>
        <w:t>(2)</w:t>
      </w:r>
      <w:r>
        <w:tab/>
        <w:t>If a term is given a meaning in the AAS, it has the same meaning in these regulations unless the contrary intention appears.</w:t>
      </w:r>
    </w:p>
    <w:p>
      <w:pPr>
        <w:pStyle w:val="Footnotesection"/>
      </w:pPr>
      <w:r>
        <w:tab/>
        <w:t>[Regulation 3 amended: Gazette 20 Jun 1997 p. 2838; 31 Mar 2005 p. 1047; 20 Jun 2008 p. 2720-1; 20 Apr 2012 p. 1698; SL 2020/35 r. 4.]</w:t>
      </w:r>
    </w:p>
    <w:p>
      <w:pPr>
        <w:pStyle w:val="Heading5"/>
      </w:pPr>
      <w:bookmarkStart w:id="9" w:name="_Toc107401867"/>
      <w:r>
        <w:rPr>
          <w:rStyle w:val="CharSectno"/>
        </w:rPr>
        <w:t>4</w:t>
      </w:r>
      <w:r>
        <w:t>.</w:t>
      </w:r>
      <w:r>
        <w:tab/>
        <w:t>AAS, effect of</w:t>
      </w:r>
      <w:bookmarkEnd w:id="9"/>
    </w:p>
    <w:p>
      <w:pPr>
        <w:pStyle w:val="Subsection"/>
      </w:pPr>
      <w:r>
        <w:tab/>
        <w:t>(1)</w:t>
      </w:r>
      <w:r>
        <w:tab/>
        <w:t>These regulations are in addition to and not in derogation of the requirements of the AAS.</w:t>
      </w:r>
    </w:p>
    <w:p>
      <w:pPr>
        <w:pStyle w:val="Subsection"/>
      </w:pPr>
      <w:r>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Gazette 20 Jun 2008 p. 2721-2.]</w:t>
      </w:r>
    </w:p>
    <w:p>
      <w:pPr>
        <w:pStyle w:val="Heading2"/>
      </w:pPr>
      <w:bookmarkStart w:id="10" w:name="_Toc107222969"/>
      <w:bookmarkStart w:id="11" w:name="_Toc107223618"/>
      <w:bookmarkStart w:id="12" w:name="_Toc107401868"/>
      <w:r>
        <w:rPr>
          <w:rStyle w:val="CharPartNo"/>
        </w:rPr>
        <w:lastRenderedPageBreak/>
        <w:t>Part 2</w:t>
      </w:r>
      <w:r>
        <w:rPr>
          <w:rStyle w:val="CharDivNo"/>
        </w:rPr>
        <w:t> </w:t>
      </w:r>
      <w:r>
        <w:t>—</w:t>
      </w:r>
      <w:r>
        <w:rPr>
          <w:rStyle w:val="CharDivText"/>
        </w:rPr>
        <w:t> </w:t>
      </w:r>
      <w:r>
        <w:rPr>
          <w:rStyle w:val="CharPartText"/>
        </w:rPr>
        <w:t>General financial management — s. 6.10</w:t>
      </w:r>
      <w:bookmarkEnd w:id="10"/>
      <w:bookmarkEnd w:id="11"/>
      <w:bookmarkEnd w:id="12"/>
    </w:p>
    <w:p>
      <w:pPr>
        <w:pStyle w:val="Heading5"/>
      </w:pPr>
      <w:bookmarkStart w:id="13" w:name="_Toc107401869"/>
      <w:r>
        <w:rPr>
          <w:rStyle w:val="CharSectno"/>
        </w:rPr>
        <w:t>5A</w:t>
      </w:r>
      <w:r>
        <w:t>.</w:t>
      </w:r>
      <w:r>
        <w:tab/>
        <w:t>Local governments to comply with AAS</w:t>
      </w:r>
      <w:bookmarkEnd w:id="13"/>
    </w:p>
    <w:p>
      <w:pPr>
        <w:pStyle w:val="Subsection"/>
      </w:pPr>
      <w:r>
        <w:tab/>
      </w:r>
      <w:r>
        <w:tab/>
        <w:t>Subject to regulation 4, the annual budget, annual financial report and other financial reports of a local government must comply with the AAS.</w:t>
      </w:r>
    </w:p>
    <w:p>
      <w:pPr>
        <w:pStyle w:val="Footnotesection"/>
      </w:pPr>
      <w:r>
        <w:tab/>
        <w:t>[Regulation 5A inserted: Gazette 20 Jun 2008 p. 2722.]</w:t>
      </w:r>
    </w:p>
    <w:p>
      <w:pPr>
        <w:pStyle w:val="Heading5"/>
        <w:rPr>
          <w:snapToGrid w:val="0"/>
        </w:rPr>
      </w:pPr>
      <w:bookmarkStart w:id="14" w:name="_Toc107401870"/>
      <w:r>
        <w:rPr>
          <w:rStyle w:val="CharSectno"/>
        </w:rPr>
        <w:t>5</w:t>
      </w:r>
      <w:r>
        <w:rPr>
          <w:snapToGrid w:val="0"/>
        </w:rPr>
        <w:t>.</w:t>
      </w:r>
      <w:r>
        <w:rPr>
          <w:snapToGrid w:val="0"/>
        </w:rPr>
        <w:tab/>
        <w:t>CEO’s duties as to financial management</w:t>
      </w:r>
      <w:bookmarkEnd w:id="14"/>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 and</w:t>
      </w:r>
    </w:p>
    <w:p>
      <w:pPr>
        <w:pStyle w:val="Indenta"/>
        <w:rPr>
          <w:snapToGrid w:val="0"/>
        </w:rPr>
      </w:pPr>
      <w:r>
        <w:rPr>
          <w:snapToGrid w:val="0"/>
        </w:rPr>
        <w:tab/>
        <w:t>(b)</w:t>
      </w:r>
      <w:r>
        <w:rPr>
          <w:snapToGrid w:val="0"/>
        </w:rPr>
        <w:tab/>
        <w:t>for the safe custody and security of all money collected or held by the local government; and</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 and</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 and</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ensure proper authorisation for the incurring of liabilities and the making of payments; and</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keepNext/>
        <w:rPr>
          <w:snapToGrid w:val="0"/>
        </w:rPr>
      </w:pPr>
      <w:r>
        <w:rPr>
          <w:snapToGrid w:val="0"/>
        </w:rPr>
        <w:lastRenderedPageBreak/>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 and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 xml:space="preserve">undertake reviews of the appropriateness and effectiveness of the financial management systems and procedures of the local government regularly (and not less than once in every </w:t>
      </w:r>
      <w:r>
        <w:t>3</w:t>
      </w:r>
      <w:r>
        <w:rPr>
          <w:snapToGrid w:val="0"/>
        </w:rPr>
        <w:t xml:space="preserve"> financial years) and report to the local government the results of those reviews.</w:t>
      </w:r>
    </w:p>
    <w:p>
      <w:pPr>
        <w:pStyle w:val="Footnotesection"/>
      </w:pPr>
      <w:r>
        <w:tab/>
        <w:t>[Regulation 5 amended: Gazette 31 Mar 2005 p. 1047 and 1053; 26 Jun 2018 p. 2388.]</w:t>
      </w:r>
    </w:p>
    <w:p>
      <w:pPr>
        <w:pStyle w:val="Heading5"/>
        <w:rPr>
          <w:snapToGrid w:val="0"/>
        </w:rPr>
      </w:pPr>
      <w:bookmarkStart w:id="15" w:name="_Toc107401871"/>
      <w:r>
        <w:rPr>
          <w:rStyle w:val="CharSectno"/>
        </w:rPr>
        <w:t>6</w:t>
      </w:r>
      <w:r>
        <w:rPr>
          <w:snapToGrid w:val="0"/>
        </w:rPr>
        <w:t>.</w:t>
      </w:r>
      <w:r>
        <w:rPr>
          <w:snapToGrid w:val="0"/>
        </w:rPr>
        <w:tab/>
        <w:t>Audits and performance review of accounting staff etc., who may conduct</w:t>
      </w:r>
      <w:bookmarkEnd w:id="15"/>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16" w:name="_Toc107401872"/>
      <w:r>
        <w:rPr>
          <w:rStyle w:val="CharSectno"/>
        </w:rPr>
        <w:t>7</w:t>
      </w:r>
      <w:r>
        <w:rPr>
          <w:snapToGrid w:val="0"/>
        </w:rPr>
        <w:t>.</w:t>
      </w:r>
      <w:r>
        <w:rPr>
          <w:snapToGrid w:val="0"/>
        </w:rPr>
        <w:tab/>
        <w:t>Separate ward accounts not to be kept etc.</w:t>
      </w:r>
      <w:bookmarkEnd w:id="16"/>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Gazette 31 Mar 2005 p. 1053.]</w:t>
      </w:r>
    </w:p>
    <w:p>
      <w:pPr>
        <w:pStyle w:val="Heading5"/>
        <w:rPr>
          <w:snapToGrid w:val="0"/>
        </w:rPr>
      </w:pPr>
      <w:bookmarkStart w:id="17" w:name="_Toc107401873"/>
      <w:r>
        <w:rPr>
          <w:rStyle w:val="CharSectno"/>
        </w:rPr>
        <w:lastRenderedPageBreak/>
        <w:t>8</w:t>
      </w:r>
      <w:r>
        <w:rPr>
          <w:snapToGrid w:val="0"/>
        </w:rPr>
        <w:t>.</w:t>
      </w:r>
      <w:r>
        <w:rPr>
          <w:snapToGrid w:val="0"/>
        </w:rPr>
        <w:tab/>
        <w:t>Separate bank etc. accounts required for some moneys</w:t>
      </w:r>
      <w:bookmarkEnd w:id="17"/>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 and</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Money related to a purpose set forth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Gazette 20 Jun 1997 p. 2838; 31 Mar 2005 p. 1047</w:t>
      </w:r>
      <w:r>
        <w:noBreakHyphen/>
        <w:t>8; 20 Apr 2012 p. 1699.]</w:t>
      </w:r>
    </w:p>
    <w:p>
      <w:pPr>
        <w:pStyle w:val="Heading5"/>
        <w:rPr>
          <w:snapToGrid w:val="0"/>
        </w:rPr>
      </w:pPr>
      <w:bookmarkStart w:id="18" w:name="_Toc107401874"/>
      <w:r>
        <w:rPr>
          <w:rStyle w:val="CharSectno"/>
        </w:rPr>
        <w:t>9</w:t>
      </w:r>
      <w:r>
        <w:rPr>
          <w:snapToGrid w:val="0"/>
        </w:rPr>
        <w:t>.</w:t>
      </w:r>
      <w:r>
        <w:rPr>
          <w:snapToGrid w:val="0"/>
        </w:rPr>
        <w:tab/>
        <w:t>Each trading undertaking and major land transaction to have separate financial records</w:t>
      </w:r>
      <w:bookmarkEnd w:id="18"/>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19" w:name="_Toc107401875"/>
      <w:r>
        <w:rPr>
          <w:rStyle w:val="CharSectno"/>
        </w:rPr>
        <w:t>10</w:t>
      </w:r>
      <w:r>
        <w:rPr>
          <w:snapToGrid w:val="0"/>
        </w:rPr>
        <w:t>.</w:t>
      </w:r>
      <w:r>
        <w:rPr>
          <w:snapToGrid w:val="0"/>
        </w:rPr>
        <w:tab/>
        <w:t>Money received, how to be dealt with</w:t>
      </w:r>
      <w:bookmarkEnd w:id="19"/>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20" w:name="_Toc107401876"/>
      <w:r>
        <w:rPr>
          <w:rStyle w:val="CharSectno"/>
        </w:rPr>
        <w:t>11</w:t>
      </w:r>
      <w:r>
        <w:rPr>
          <w:snapToGrid w:val="0"/>
        </w:rPr>
        <w:t>.</w:t>
      </w:r>
      <w:r>
        <w:rPr>
          <w:snapToGrid w:val="0"/>
        </w:rPr>
        <w:tab/>
        <w:t>Payments, procedures for making etc.</w:t>
      </w:r>
      <w:bookmarkEnd w:id="20"/>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lastRenderedPageBreak/>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 and</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Gazette 31 Mar 2005 p. 1048.]</w:t>
      </w:r>
    </w:p>
    <w:p>
      <w:pPr>
        <w:pStyle w:val="Heading5"/>
        <w:rPr>
          <w:snapToGrid w:val="0"/>
        </w:rPr>
      </w:pPr>
      <w:bookmarkStart w:id="21" w:name="_Toc107401877"/>
      <w:r>
        <w:rPr>
          <w:rStyle w:val="CharSectno"/>
        </w:rPr>
        <w:t>12</w:t>
      </w:r>
      <w:r>
        <w:rPr>
          <w:snapToGrid w:val="0"/>
        </w:rPr>
        <w:t>.</w:t>
      </w:r>
      <w:r>
        <w:rPr>
          <w:snapToGrid w:val="0"/>
        </w:rPr>
        <w:tab/>
        <w:t>Payments from municipal fund or trust fund, restrictions on making</w:t>
      </w:r>
      <w:bookmarkEnd w:id="21"/>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Gazette 20 Jun 1997 p. 2838.]</w:t>
      </w:r>
    </w:p>
    <w:p>
      <w:pPr>
        <w:pStyle w:val="Heading5"/>
        <w:rPr>
          <w:snapToGrid w:val="0"/>
        </w:rPr>
      </w:pPr>
      <w:bookmarkStart w:id="22" w:name="_Toc107401878"/>
      <w:r>
        <w:rPr>
          <w:rStyle w:val="CharSectno"/>
        </w:rPr>
        <w:lastRenderedPageBreak/>
        <w:t>13</w:t>
      </w:r>
      <w:r>
        <w:rPr>
          <w:snapToGrid w:val="0"/>
        </w:rPr>
        <w:t>.</w:t>
      </w:r>
      <w:r>
        <w:rPr>
          <w:snapToGrid w:val="0"/>
        </w:rPr>
        <w:tab/>
        <w:t>Payments from municipal fund or trust fund by CEO, CEO’s duties as to etc.</w:t>
      </w:r>
      <w:bookmarkEnd w:id="22"/>
    </w:p>
    <w:p>
      <w:pPr>
        <w:pStyle w:val="Subsection"/>
        <w:spacing w:before="180"/>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rPr>
          <w:snapToGrid w:val="0"/>
        </w:rPr>
      </w:pPr>
      <w:r>
        <w:rPr>
          <w:snapToGrid w:val="0"/>
        </w:rPr>
        <w:tab/>
        <w:t>(a)</w:t>
      </w:r>
      <w:r>
        <w:rPr>
          <w:snapToGrid w:val="0"/>
        </w:rPr>
        <w:tab/>
        <w:t>the payee’s name; and</w:t>
      </w:r>
    </w:p>
    <w:p>
      <w:pPr>
        <w:pStyle w:val="Indenta"/>
        <w:rPr>
          <w:snapToGrid w:val="0"/>
        </w:rPr>
      </w:pPr>
      <w:r>
        <w:rPr>
          <w:snapToGrid w:val="0"/>
        </w:rPr>
        <w:tab/>
        <w:t>(b)</w:t>
      </w:r>
      <w:r>
        <w:rPr>
          <w:snapToGrid w:val="0"/>
        </w:rPr>
        <w:tab/>
        <w:t>the amount of the payment; and</w:t>
      </w:r>
    </w:p>
    <w:p>
      <w:pPr>
        <w:pStyle w:val="Indenta"/>
        <w:rPr>
          <w:snapToGrid w:val="0"/>
        </w:rPr>
      </w:pPr>
      <w:r>
        <w:rPr>
          <w:snapToGrid w:val="0"/>
        </w:rPr>
        <w:tab/>
        <w:t>(c)</w:t>
      </w:r>
      <w:r>
        <w:rPr>
          <w:snapToGrid w:val="0"/>
        </w:rPr>
        <w:tab/>
        <w:t>the date of the payment; and</w:t>
      </w:r>
    </w:p>
    <w:p>
      <w:pPr>
        <w:pStyle w:val="Indenta"/>
        <w:rPr>
          <w:snapToGrid w:val="0"/>
        </w:rPr>
      </w:pPr>
      <w:r>
        <w:rPr>
          <w:snapToGrid w:val="0"/>
        </w:rPr>
        <w:tab/>
        <w:t>(d)</w:t>
      </w:r>
      <w:r>
        <w:rPr>
          <w:snapToGrid w:val="0"/>
        </w:rPr>
        <w:tab/>
        <w:t>sufficient information to identify the transaction.</w:t>
      </w:r>
    </w:p>
    <w:p>
      <w:pPr>
        <w:pStyle w:val="Subsection"/>
        <w:spacing w:before="180"/>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 and</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spacing w:before="180"/>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Footnotesection"/>
      </w:pPr>
      <w:r>
        <w:tab/>
        <w:t>[Regulation 13 inserted: Gazette 20 Jun 1997 p. 2838</w:t>
      </w:r>
      <w:r>
        <w:noBreakHyphen/>
        <w:t>9; amended: Gazette 31 Mar 2005 p. 1048.]</w:t>
      </w:r>
    </w:p>
    <w:p>
      <w:pPr>
        <w:pStyle w:val="Heading5"/>
      </w:pPr>
      <w:bookmarkStart w:id="23" w:name="_Toc105152889"/>
      <w:bookmarkStart w:id="24" w:name="_Toc106101526"/>
      <w:bookmarkStart w:id="25" w:name="_Toc107401879"/>
      <w:r>
        <w:rPr>
          <w:rStyle w:val="CharSectno"/>
        </w:rPr>
        <w:lastRenderedPageBreak/>
        <w:t>14</w:t>
      </w:r>
      <w:r>
        <w:t>.</w:t>
      </w:r>
      <w:r>
        <w:tab/>
        <w:t>Information about operating revenue and expenses in annual budget and annual financial report</w:t>
      </w:r>
      <w:bookmarkEnd w:id="23"/>
      <w:bookmarkEnd w:id="24"/>
      <w:bookmarkEnd w:id="25"/>
    </w:p>
    <w:p>
      <w:pPr>
        <w:pStyle w:val="Subsection"/>
      </w:pPr>
      <w:r>
        <w:tab/>
      </w:r>
      <w:r>
        <w:tab/>
        <w:t>The information in a local government’s annual budget and annual financial report about operating revenue and expenses must be shown according to nature or type classification.</w:t>
      </w:r>
    </w:p>
    <w:p>
      <w:pPr>
        <w:pStyle w:val="Footnotesection"/>
      </w:pPr>
      <w:r>
        <w:tab/>
        <w:t>[Regulation 14 inserted: SL 2022/88 r. 7.]</w:t>
      </w:r>
    </w:p>
    <w:p>
      <w:pPr>
        <w:pStyle w:val="Heading5"/>
        <w:spacing w:before="180"/>
        <w:rPr>
          <w:snapToGrid w:val="0"/>
        </w:rPr>
      </w:pPr>
      <w:bookmarkStart w:id="26" w:name="_Toc107401880"/>
      <w:r>
        <w:rPr>
          <w:rStyle w:val="CharSectno"/>
        </w:rPr>
        <w:t>15</w:t>
      </w:r>
      <w:r>
        <w:rPr>
          <w:snapToGrid w:val="0"/>
        </w:rPr>
        <w:t>.</w:t>
      </w:r>
      <w:r>
        <w:rPr>
          <w:snapToGrid w:val="0"/>
        </w:rPr>
        <w:tab/>
        <w:t>Rounding off figures in annual budget etc.</w:t>
      </w:r>
      <w:bookmarkEnd w:id="26"/>
    </w:p>
    <w:p>
      <w:pPr>
        <w:pStyle w:val="Subsection"/>
        <w:keepNext/>
        <w:rPr>
          <w:snapToGrid w:val="0"/>
        </w:rPr>
      </w:pPr>
      <w:r>
        <w:rPr>
          <w:snapToGrid w:val="0"/>
        </w:rPr>
        <w:tab/>
        <w:t>(1)</w:t>
      </w:r>
      <w:r>
        <w:rPr>
          <w:snapToGrid w:val="0"/>
        </w:rPr>
        <w:tab/>
        <w:t>All figures shown in the annual budget and a financial report (other than a rate in the dollar) may be —</w:t>
      </w:r>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spacing w:before="120"/>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keepNext/>
        <w:spacing w:before="120"/>
        <w:rPr>
          <w:snapToGrid w:val="0"/>
        </w:rPr>
      </w:pPr>
      <w:r>
        <w:rPr>
          <w:snapToGrid w:val="0"/>
        </w:rPr>
        <w:tab/>
        <w:t>(3)</w:t>
      </w:r>
      <w:r>
        <w:rPr>
          <w:snapToGrid w:val="0"/>
        </w:rPr>
        <w:tab/>
        <w:t>Where, under this regulation, a local government rounds off any figures —</w:t>
      </w:r>
    </w:p>
    <w:p>
      <w:pPr>
        <w:pStyle w:val="Indenta"/>
        <w:keepNext/>
        <w:spacing w:before="70"/>
        <w:rPr>
          <w:snapToGrid w:val="0"/>
        </w:rPr>
      </w:pPr>
      <w:r>
        <w:rPr>
          <w:snapToGrid w:val="0"/>
        </w:rPr>
        <w:tab/>
        <w:t>(a)</w:t>
      </w:r>
      <w:r>
        <w:rPr>
          <w:snapToGrid w:val="0"/>
        </w:rPr>
        <w:tab/>
        <w:t>the basis of the rounding off is to be —</w:t>
      </w:r>
    </w:p>
    <w:p>
      <w:pPr>
        <w:pStyle w:val="Indenti"/>
        <w:spacing w:before="70"/>
        <w:rPr>
          <w:snapToGrid w:val="0"/>
        </w:rPr>
      </w:pPr>
      <w:r>
        <w:rPr>
          <w:snapToGrid w:val="0"/>
        </w:rPr>
        <w:tab/>
        <w:t>(i)</w:t>
      </w:r>
      <w:r>
        <w:rPr>
          <w:snapToGrid w:val="0"/>
        </w:rPr>
        <w:tab/>
        <w:t>shown in brief in the appropriate column headings in the annual budget and financial report; and</w:t>
      </w:r>
    </w:p>
    <w:p>
      <w:pPr>
        <w:pStyle w:val="Indenti"/>
        <w:keepNext/>
        <w:spacing w:before="70"/>
        <w:rPr>
          <w:snapToGrid w:val="0"/>
        </w:rPr>
      </w:pPr>
      <w:r>
        <w:rPr>
          <w:snapToGrid w:val="0"/>
        </w:rPr>
        <w:tab/>
        <w:t>(ii)</w:t>
      </w:r>
      <w:r>
        <w:rPr>
          <w:snapToGrid w:val="0"/>
        </w:rPr>
        <w:tab/>
        <w:t>explained fully in the notes to or accompanying the budget or report;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(b)</w:t>
      </w:r>
      <w:r>
        <w:rPr>
          <w:snapToGrid w:val="0"/>
        </w:rPr>
        <w:tab/>
        <w:t>any corresponding comparative amounts in —</w:t>
      </w:r>
    </w:p>
    <w:p>
      <w:pPr>
        <w:pStyle w:val="Indenti"/>
        <w:spacing w:before="70"/>
        <w:rPr>
          <w:snapToGrid w:val="0"/>
        </w:rPr>
      </w:pPr>
      <w:r>
        <w:rPr>
          <w:snapToGrid w:val="0"/>
        </w:rPr>
        <w:tab/>
        <w:t>(i)</w:t>
      </w:r>
      <w:r>
        <w:rPr>
          <w:snapToGrid w:val="0"/>
        </w:rPr>
        <w:tab/>
        <w:t>the annual budget for the previous financial year; or</w:t>
      </w:r>
    </w:p>
    <w:p>
      <w:pPr>
        <w:pStyle w:val="Indenti"/>
        <w:keepNext/>
        <w:spacing w:before="70"/>
        <w:rPr>
          <w:snapToGrid w:val="0"/>
        </w:rPr>
      </w:pPr>
      <w:r>
        <w:rPr>
          <w:snapToGrid w:val="0"/>
        </w:rPr>
        <w:lastRenderedPageBreak/>
        <w:tab/>
        <w:t>(ii)</w:t>
      </w:r>
      <w:r>
        <w:rPr>
          <w:snapToGrid w:val="0"/>
        </w:rPr>
        <w:tab/>
        <w:t>the financial report for the relevant earlier financial period,</w:t>
      </w:r>
    </w:p>
    <w:p>
      <w:pPr>
        <w:pStyle w:val="Indenta"/>
        <w:keepNext/>
        <w:spacing w:before="60"/>
        <w:rPr>
          <w:snapToGrid w:val="0"/>
        </w:rPr>
      </w:pPr>
      <w:r>
        <w:rPr>
          <w:snapToGrid w:val="0"/>
        </w:rPr>
        <w:tab/>
      </w:r>
      <w:r>
        <w:rPr>
          <w:snapToGrid w:val="0"/>
        </w:rPr>
        <w:tab/>
        <w:t>as the case requires, are to be rounded off using the same method.</w:t>
      </w:r>
    </w:p>
    <w:p>
      <w:pPr>
        <w:pStyle w:val="Footnotesection"/>
        <w:spacing w:before="80"/>
        <w:ind w:left="890" w:hanging="890"/>
      </w:pPr>
      <w:r>
        <w:tab/>
        <w:t>[Regulation 15 amended: Gazette 20 Jun 1997 p. 2839.]</w:t>
      </w:r>
    </w:p>
    <w:p>
      <w:pPr>
        <w:pStyle w:val="Ednotesection"/>
      </w:pPr>
      <w:r>
        <w:t>[</w:t>
      </w:r>
      <w:r>
        <w:rPr>
          <w:b/>
        </w:rPr>
        <w:t>16.</w:t>
      </w:r>
      <w:r>
        <w:tab/>
        <w:t>Deleted: SL 2020/219 r. 4.]</w:t>
      </w:r>
    </w:p>
    <w:p>
      <w:pPr>
        <w:pStyle w:val="Heading5"/>
        <w:spacing w:before="200"/>
      </w:pPr>
      <w:bookmarkStart w:id="27" w:name="_Toc107401881"/>
      <w:r>
        <w:rPr>
          <w:rStyle w:val="CharSectno"/>
        </w:rPr>
        <w:t>17A</w:t>
      </w:r>
      <w:r>
        <w:t>.</w:t>
      </w:r>
      <w:r>
        <w:tab/>
        <w:t>Valuation of certain assets for financial reports</w:t>
      </w:r>
      <w:bookmarkEnd w:id="27"/>
    </w:p>
    <w:p>
      <w:pPr>
        <w:pStyle w:val="Subsection"/>
        <w:keepNext/>
      </w:pPr>
      <w:r>
        <w:tab/>
        <w:t>(1)</w:t>
      </w:r>
      <w:r>
        <w:tab/>
        <w:t>In this regulation —</w:t>
      </w:r>
    </w:p>
    <w:p>
      <w:pPr>
        <w:pStyle w:val="Defstart"/>
      </w:pPr>
      <w:r>
        <w:tab/>
      </w:r>
      <w:r>
        <w:rPr>
          <w:rStyle w:val="CharDefText"/>
        </w:rPr>
        <w:t>carrying amount</w:t>
      </w:r>
      <w:r>
        <w:t>, in relation to a non</w:t>
      </w:r>
      <w:r>
        <w:noBreakHyphen/>
        <w:t>financial asset, means the carrying amount of the non</w:t>
      </w:r>
      <w:r>
        <w:noBreakHyphen/>
        <w:t>financial asset determined in accordance with the AAS;</w:t>
      </w:r>
    </w:p>
    <w:p>
      <w:pPr>
        <w:pStyle w:val="Defstart"/>
      </w:pPr>
      <w:r>
        <w:tab/>
      </w:r>
      <w:r>
        <w:rPr>
          <w:rStyle w:val="CharDefText"/>
        </w:rPr>
        <w:t>fair value</w:t>
      </w:r>
      <w:r>
        <w:t>, in relation to a non</w:t>
      </w:r>
      <w:r>
        <w:noBreakHyphen/>
        <w:t>financial asset, means the fair value of the non</w:t>
      </w:r>
      <w:r>
        <w:noBreakHyphen/>
        <w:t>financial asset measured in accordance with the AAS;</w:t>
      </w:r>
    </w:p>
    <w:p>
      <w:pPr>
        <w:pStyle w:val="Defstart"/>
        <w:keepNext/>
      </w:pPr>
      <w:r>
        <w:tab/>
      </w:r>
      <w:r>
        <w:rPr>
          <w:rStyle w:val="CharDefText"/>
        </w:rPr>
        <w:t>right</w:t>
      </w:r>
      <w:r>
        <w:rPr>
          <w:rStyle w:val="CharDefText"/>
        </w:rPr>
        <w:noBreakHyphen/>
        <w:t>of</w:t>
      </w:r>
      <w:r>
        <w:rPr>
          <w:rStyle w:val="CharDefText"/>
        </w:rPr>
        <w:noBreakHyphen/>
        <w:t>use</w:t>
      </w:r>
      <w:r>
        <w:t xml:space="preserve"> </w:t>
      </w:r>
      <w:r>
        <w:rPr>
          <w:rStyle w:val="CharDefText"/>
        </w:rPr>
        <w:t>asset</w:t>
      </w:r>
      <w:r>
        <w:t xml:space="preserve">, of a local government, includes the local government’s right to use — </w:t>
      </w:r>
    </w:p>
    <w:p>
      <w:pPr>
        <w:pStyle w:val="Defpara"/>
      </w:pPr>
      <w:r>
        <w:tab/>
        <w:t>(a)</w:t>
      </w:r>
      <w:r>
        <w:tab/>
        <w:t>Crown land; or</w:t>
      </w:r>
    </w:p>
    <w:p>
      <w:pPr>
        <w:pStyle w:val="Defpara"/>
        <w:keepNext/>
      </w:pPr>
      <w:r>
        <w:tab/>
        <w:t>(b)</w:t>
      </w:r>
      <w:r>
        <w:tab/>
        <w:t>other land that is not owned by the local government,</w:t>
      </w:r>
    </w:p>
    <w:p>
      <w:pPr>
        <w:pStyle w:val="Defstart"/>
      </w:pPr>
      <w:r>
        <w:tab/>
        <w:t>that is vested in the local government at nil or nominal cost for an indefinite period for the purpose of roads or for any other purpose;</w:t>
      </w:r>
    </w:p>
    <w:p>
      <w:pPr>
        <w:pStyle w:val="Defstart"/>
      </w:pPr>
      <w:r>
        <w:tab/>
      </w:r>
      <w:r>
        <w:rPr>
          <w:rStyle w:val="CharDefText"/>
        </w:rPr>
        <w:t>vested improvement</w:t>
      </w:r>
      <w:r>
        <w:t>, in relation to a local government, means a pre</w:t>
      </w:r>
      <w:r>
        <w:noBreakHyphen/>
        <w:t>existing improvement on land of which the care, control or management is vested in the local government at nil or nominal cost for an indefinite period.</w:t>
      </w:r>
    </w:p>
    <w:p>
      <w:pPr>
        <w:pStyle w:val="Subsection"/>
        <w:keepNext/>
      </w:pPr>
      <w:r>
        <w:tab/>
        <w:t>(2)</w:t>
      </w:r>
      <w:r>
        <w:tab/>
        <w:t xml:space="preserve">A local government must show in each financial report for a financial year ending on or after 30 June 2020 — </w:t>
      </w:r>
    </w:p>
    <w:p>
      <w:pPr>
        <w:pStyle w:val="Indenta"/>
        <w:keepNext/>
      </w:pPr>
      <w:r>
        <w:tab/>
        <w:t>(a)</w:t>
      </w:r>
      <w:r>
        <w:tab/>
        <w:t>the fair value of all of the non</w:t>
      </w:r>
      <w:r>
        <w:noBreakHyphen/>
        <w:t>financial assets of the local government that are —</w:t>
      </w:r>
    </w:p>
    <w:p>
      <w:pPr>
        <w:pStyle w:val="Indenti"/>
      </w:pPr>
      <w:r>
        <w:tab/>
        <w:t>(i)</w:t>
      </w:r>
      <w:r>
        <w:tab/>
        <w:t>land and buildings that are classified as property, plant and equipment; or</w:t>
      </w:r>
    </w:p>
    <w:p>
      <w:pPr>
        <w:pStyle w:val="Indenti"/>
      </w:pPr>
      <w:r>
        <w:lastRenderedPageBreak/>
        <w:tab/>
        <w:t>(ii)</w:t>
      </w:r>
      <w:r>
        <w:tab/>
        <w:t>investment properties; or</w:t>
      </w:r>
    </w:p>
    <w:p>
      <w:pPr>
        <w:pStyle w:val="Indenti"/>
      </w:pPr>
      <w:r>
        <w:tab/>
        <w:t>(iii)</w:t>
      </w:r>
      <w:r>
        <w:tab/>
        <w:t>infrastructure; or</w:t>
      </w:r>
    </w:p>
    <w:p>
      <w:pPr>
        <w:pStyle w:val="Indenti"/>
        <w:keepNext/>
      </w:pPr>
      <w:r>
        <w:tab/>
        <w:t>(iv)</w:t>
      </w:r>
      <w:r>
        <w:tab/>
        <w:t>vested improvements that the local government controls;</w:t>
      </w:r>
    </w:p>
    <w:p>
      <w:pPr>
        <w:pStyle w:val="Indenta"/>
      </w:pPr>
      <w:r>
        <w:tab/>
      </w:r>
      <w:r>
        <w:tab/>
        <w:t>and</w:t>
      </w:r>
    </w:p>
    <w:p>
      <w:pPr>
        <w:pStyle w:val="Indenta"/>
      </w:pPr>
      <w:r>
        <w:tab/>
        <w:t>(b)</w:t>
      </w:r>
      <w:r>
        <w:tab/>
        <w:t>the carrying amount of all of the non</w:t>
      </w:r>
      <w:r>
        <w:noBreakHyphen/>
        <w:t>financial assets of the local government that are plant and equipment type assets measured using the cost model in accordance with the AAS; and</w:t>
      </w:r>
    </w:p>
    <w:p>
      <w:pPr>
        <w:pStyle w:val="Indenta"/>
      </w:pPr>
      <w:r>
        <w:tab/>
        <w:t>(c)</w:t>
      </w:r>
      <w:r>
        <w:tab/>
        <w:t>the carrying amount of all of the right</w:t>
      </w:r>
      <w:r>
        <w:noBreakHyphen/>
        <w:t>of</w:t>
      </w:r>
      <w:r>
        <w:noBreakHyphen/>
        <w:t>use assets of the local government (other than vested improvements referred to in paragraph (a)(iv)) measured using the cost model in accordance with the AAS.</w:t>
      </w:r>
    </w:p>
    <w:p>
      <w:pPr>
        <w:pStyle w:val="Ednotesubsection"/>
      </w:pPr>
      <w:r>
        <w:tab/>
        <w:t>[(3)</w:t>
      </w:r>
      <w:r>
        <w:tab/>
        <w:t>deleted]</w:t>
      </w:r>
    </w:p>
    <w:p>
      <w:pPr>
        <w:pStyle w:val="Subsection"/>
        <w:keepNext/>
      </w:pPr>
      <w:r>
        <w:tab/>
        <w:t>(4)</w:t>
      </w:r>
      <w:r>
        <w:tab/>
        <w:t>A local government must revalue a non</w:t>
      </w:r>
      <w:r>
        <w:noBreakHyphen/>
        <w:t xml:space="preserve">financial asset of the local government referred to in subregulation (2)(a) — </w:t>
      </w:r>
    </w:p>
    <w:p>
      <w:pPr>
        <w:pStyle w:val="Indenta"/>
      </w:pPr>
      <w:r>
        <w:tab/>
        <w:t>(a)</w:t>
      </w:r>
      <w:r>
        <w:tab/>
        <w:t>whenever the local government is of the opinion that the fair value of the asset is likely to be materially different from its carrying amount; and</w:t>
      </w:r>
    </w:p>
    <w:p>
      <w:pPr>
        <w:pStyle w:val="Indenta"/>
      </w:pPr>
      <w:r>
        <w:tab/>
        <w:t>(b)</w:t>
      </w:r>
      <w:r>
        <w:tab/>
        <w:t>in any event, within a period of no more than 5 years after the day on which the asset was last valued or revalued.</w:t>
      </w:r>
    </w:p>
    <w:p>
      <w:pPr>
        <w:pStyle w:val="Subsection"/>
        <w:keepNext/>
      </w:pPr>
      <w:r>
        <w:tab/>
        <w:t>(5)</w:t>
      </w:r>
      <w:r>
        <w:tab/>
        <w:t>A non</w:t>
      </w:r>
      <w:r>
        <w:noBreakHyphen/>
        <w:t>financial asset is to be excluded from the assets of a local government if the fair value of the asset as at the date of acquisition by the local government is under $5 000.</w:t>
      </w:r>
    </w:p>
    <w:p>
      <w:pPr>
        <w:pStyle w:val="Footnotesection"/>
        <w:ind w:left="890" w:hanging="890"/>
      </w:pPr>
      <w:r>
        <w:tab/>
        <w:t>[Regulation 17A inserted: Gazette 20 Apr 2012 p. 1699</w:t>
      </w:r>
      <w:r>
        <w:noBreakHyphen/>
        <w:t>700; amended: Gazette 21 Jun 2013 p. 2451; 26 Jun 2018 p. 2388; SL 2020/219 r. 5.]</w:t>
      </w:r>
    </w:p>
    <w:p>
      <w:pPr>
        <w:pStyle w:val="Heading5"/>
      </w:pPr>
      <w:bookmarkStart w:id="28" w:name="_Toc107401882"/>
      <w:r>
        <w:rPr>
          <w:rStyle w:val="CharSectno"/>
        </w:rPr>
        <w:lastRenderedPageBreak/>
        <w:t>17B</w:t>
      </w:r>
      <w:r>
        <w:t>.</w:t>
      </w:r>
      <w:r>
        <w:tab/>
        <w:t>CEO to take steps to protect excluded portable and attractive assets</w:t>
      </w:r>
      <w:bookmarkEnd w:id="28"/>
    </w:p>
    <w:p>
      <w:pPr>
        <w:pStyle w:val="Subsection"/>
        <w:keepNext/>
      </w:pPr>
      <w:r>
        <w:tab/>
      </w:r>
      <w:r>
        <w:tab/>
        <w:t xml:space="preserve">A CEO must take all reasonable steps to prevent the theft or loss of — </w:t>
      </w:r>
    </w:p>
    <w:p>
      <w:pPr>
        <w:pStyle w:val="Indenta"/>
      </w:pPr>
      <w:r>
        <w:tab/>
        <w:t>(a)</w:t>
      </w:r>
      <w:r>
        <w:tab/>
        <w:t>a non</w:t>
      </w:r>
      <w:r>
        <w:noBreakHyphen/>
        <w:t>consumable asset that is susceptible to theft or loss due to its portable nature and attractiveness for personal use or resale; and</w:t>
      </w:r>
    </w:p>
    <w:p>
      <w:pPr>
        <w:pStyle w:val="Indenta"/>
        <w:keepNext/>
      </w:pPr>
      <w:r>
        <w:tab/>
        <w:t>(b)</w:t>
      </w:r>
      <w:r>
        <w:tab/>
        <w:t>an asset referred to in regulation 17A(5).</w:t>
      </w:r>
    </w:p>
    <w:p>
      <w:pPr>
        <w:pStyle w:val="Footnotesection"/>
        <w:ind w:left="890" w:hanging="890"/>
      </w:pPr>
      <w:r>
        <w:tab/>
        <w:t>[Regulation 17B inserted: Gazette 26 Jun 2018 p. 2388.]</w:t>
      </w:r>
    </w:p>
    <w:p>
      <w:pPr>
        <w:pStyle w:val="Heading5"/>
        <w:rPr>
          <w:snapToGrid w:val="0"/>
        </w:rPr>
      </w:pPr>
      <w:bookmarkStart w:id="29" w:name="_Toc107401883"/>
      <w:r>
        <w:rPr>
          <w:rStyle w:val="CharSectno"/>
        </w:rPr>
        <w:t>17</w:t>
      </w:r>
      <w:r>
        <w:rPr>
          <w:snapToGrid w:val="0"/>
        </w:rPr>
        <w:t>.</w:t>
      </w:r>
      <w:r>
        <w:rPr>
          <w:snapToGrid w:val="0"/>
        </w:rPr>
        <w:tab/>
        <w:t>Reserve accounts, title of etc.</w:t>
      </w:r>
      <w:bookmarkEnd w:id="29"/>
    </w:p>
    <w:p>
      <w:pPr>
        <w:pStyle w:val="Subsection"/>
        <w:spacing w:before="120"/>
        <w:rPr>
          <w:snapToGrid w:val="0"/>
        </w:rPr>
      </w:pPr>
      <w:r>
        <w:rPr>
          <w:snapToGrid w:val="0"/>
        </w:rPr>
        <w:tab/>
        <w:t>(1)</w:t>
      </w:r>
      <w:r>
        <w:rPr>
          <w:snapToGrid w:val="0"/>
        </w:rPr>
        <w:tab/>
        <w:t>A reserve account is to have a title that clearly identifies the purpose for which the money in the account is set aside.</w:t>
      </w:r>
    </w:p>
    <w:p>
      <w:pPr>
        <w:pStyle w:val="Subsection"/>
        <w:keepNext/>
        <w:spacing w:before="120"/>
        <w:rPr>
          <w:snapToGrid w:val="0"/>
        </w:rPr>
      </w:pPr>
      <w:r>
        <w:rPr>
          <w:snapToGrid w:val="0"/>
        </w:rPr>
        <w:tab/>
        <w:t>(2)</w:t>
      </w:r>
      <w:r>
        <w:rPr>
          <w:snapToGrid w:val="0"/>
        </w:rPr>
        <w:tab/>
        <w:t>In the accounts, annual budget and financial reports of the local government a reserve account is to be referred to —</w:t>
      </w:r>
    </w:p>
    <w:p>
      <w:pPr>
        <w:pStyle w:val="Indenta"/>
        <w:spacing w:before="60"/>
        <w:rPr>
          <w:snapToGrid w:val="0"/>
        </w:rPr>
      </w:pPr>
      <w:r>
        <w:rPr>
          <w:snapToGrid w:val="0"/>
        </w:rPr>
        <w:tab/>
        <w:t>(a)</w:t>
      </w:r>
      <w:r>
        <w:rPr>
          <w:snapToGrid w:val="0"/>
        </w:rPr>
        <w:tab/>
        <w:t>in the information required by regulations 27(g) and 38, by its full title; and</w:t>
      </w:r>
    </w:p>
    <w:p>
      <w:pPr>
        <w:pStyle w:val="Indenta"/>
        <w:keepNext/>
        <w:spacing w:before="60"/>
        <w:rPr>
          <w:snapToGrid w:val="0"/>
          <w:spacing w:val="-4"/>
        </w:rPr>
      </w:pPr>
      <w:r>
        <w:rPr>
          <w:snapToGrid w:val="0"/>
          <w:spacing w:val="-4"/>
        </w:rPr>
        <w:tab/>
        <w:t>(b)</w:t>
      </w:r>
      <w:r>
        <w:rPr>
          <w:snapToGrid w:val="0"/>
          <w:spacing w:val="-4"/>
        </w:rPr>
        <w:tab/>
        <w:t>otherwise, by its full title or by an abbreviation of that title.</w:t>
      </w:r>
    </w:p>
    <w:p>
      <w:pPr>
        <w:pStyle w:val="Footnotesection"/>
        <w:spacing w:before="80"/>
        <w:ind w:left="890" w:hanging="890"/>
      </w:pPr>
      <w:r>
        <w:tab/>
        <w:t>[Regulation 17 amended: Gazette 20 Jun 1997 p. 2839.]</w:t>
      </w:r>
    </w:p>
    <w:p>
      <w:pPr>
        <w:pStyle w:val="Heading5"/>
        <w:spacing w:before="200"/>
        <w:rPr>
          <w:snapToGrid w:val="0"/>
        </w:rPr>
      </w:pPr>
      <w:bookmarkStart w:id="30" w:name="_Toc107401884"/>
      <w:r>
        <w:rPr>
          <w:rStyle w:val="CharSectno"/>
        </w:rPr>
        <w:t>18</w:t>
      </w:r>
      <w:r>
        <w:rPr>
          <w:snapToGrid w:val="0"/>
        </w:rPr>
        <w:t>.</w:t>
      </w:r>
      <w:r>
        <w:rPr>
          <w:snapToGrid w:val="0"/>
        </w:rPr>
        <w:tab/>
        <w:t>When local public notice not required for change of use of money in reserve account (Act s. </w:t>
      </w:r>
      <w:r>
        <w:rPr>
          <w:rStyle w:val="CharSectno"/>
        </w:rPr>
        <w:t>6</w:t>
      </w:r>
      <w:r>
        <w:rPr>
          <w:snapToGrid w:val="0"/>
        </w:rPr>
        <w:t>.11(3)(b))</w:t>
      </w:r>
      <w:bookmarkEnd w:id="30"/>
    </w:p>
    <w:p>
      <w:pPr>
        <w:pStyle w:val="Subsection"/>
        <w:keepNext/>
        <w:spacing w:before="120"/>
        <w:rPr>
          <w:snapToGrid w:val="0"/>
        </w:rPr>
      </w:pPr>
      <w:r>
        <w:rPr>
          <w:snapToGrid w:val="0"/>
        </w:rPr>
        <w:tab/>
      </w:r>
      <w:r>
        <w:rPr>
          <w:snapToGrid w:val="0"/>
        </w:rPr>
        <w:tab/>
        <w:t>A local government is not required to give local public notice of a proposed change of use of money in a reserve account —</w:t>
      </w:r>
    </w:p>
    <w:p>
      <w:pPr>
        <w:pStyle w:val="Indenta"/>
        <w:spacing w:before="60"/>
        <w:rPr>
          <w:snapToGrid w:val="0"/>
        </w:rPr>
      </w:pPr>
      <w:r>
        <w:rPr>
          <w:snapToGrid w:val="0"/>
        </w:rPr>
        <w:tab/>
        <w:t>(a)</w:t>
      </w:r>
      <w:r>
        <w:rPr>
          <w:snapToGrid w:val="0"/>
        </w:rPr>
        <w:tab/>
        <w:t>where the money is to be used to meet expenditure authorised by the mayor or president under section 6.8(1)(c); or</w:t>
      </w:r>
    </w:p>
    <w:p>
      <w:pPr>
        <w:pStyle w:val="Indenta"/>
        <w:spacing w:before="60"/>
        <w:rPr>
          <w:snapToGrid w:val="0"/>
        </w:rPr>
      </w:pPr>
      <w:r>
        <w:rPr>
          <w:snapToGrid w:val="0"/>
        </w:rPr>
        <w:tab/>
        <w:t>(b)</w:t>
      </w:r>
      <w:r>
        <w:rPr>
          <w:snapToGrid w:val="0"/>
        </w:rPr>
        <w:tab/>
        <w:t xml:space="preserve">where the total amount to be so used does not exceed $5 000 in a financial </w:t>
      </w:r>
      <w:r>
        <w:t>year; or</w:t>
      </w:r>
    </w:p>
    <w:p>
      <w:pPr>
        <w:pStyle w:val="Indenta"/>
        <w:keepNext/>
      </w:pPr>
      <w:r>
        <w:tab/>
        <w:t>(c)</w:t>
      </w:r>
      <w:r>
        <w:tab/>
        <w:t xml:space="preserve">where each of the following conditions is satisfied — </w:t>
      </w:r>
    </w:p>
    <w:p>
      <w:pPr>
        <w:pStyle w:val="Indenti"/>
      </w:pPr>
      <w:r>
        <w:tab/>
        <w:t>(i)</w:t>
      </w:r>
      <w:r>
        <w:tab/>
        <w:t xml:space="preserve">a decision to change the use of the money is made while there is in force a state of emergency </w:t>
      </w:r>
      <w:r>
        <w:lastRenderedPageBreak/>
        <w:t xml:space="preserve">declaration applying to the district, or part of the district, of the local government; </w:t>
      </w:r>
    </w:p>
    <w:p>
      <w:pPr>
        <w:pStyle w:val="Indenti"/>
      </w:pPr>
      <w:r>
        <w:tab/>
        <w:t>(ii)</w:t>
      </w:r>
      <w:r>
        <w:tab/>
        <w:t>the local government considers that the change of use is required to address a need arising from the hazard, or from the impact or consequences of the hazard, to which the state of emergency declaration relates;</w:t>
      </w:r>
    </w:p>
    <w:p>
      <w:pPr>
        <w:pStyle w:val="Indenti"/>
        <w:keepNext/>
      </w:pPr>
      <w:r>
        <w:tab/>
        <w:t>(iii)</w:t>
      </w:r>
      <w:r>
        <w:tab/>
        <w:t>the decision and the reasons for it are recorded in the minutes of the meeting at which the decision is made.</w:t>
      </w:r>
    </w:p>
    <w:p>
      <w:pPr>
        <w:pStyle w:val="Footnotesection"/>
      </w:pPr>
      <w:r>
        <w:tab/>
        <w:t>[Regulation 18 amended: SL 2020/35 r. 5</w:t>
      </w:r>
    </w:p>
    <w:p>
      <w:pPr>
        <w:pStyle w:val="Heading5"/>
        <w:spacing w:before="190"/>
        <w:rPr>
          <w:snapToGrid w:val="0"/>
        </w:rPr>
      </w:pPr>
      <w:bookmarkStart w:id="31" w:name="_Toc107401885"/>
      <w:r>
        <w:rPr>
          <w:rStyle w:val="CharSectno"/>
        </w:rPr>
        <w:t>19</w:t>
      </w:r>
      <w:r>
        <w:rPr>
          <w:snapToGrid w:val="0"/>
        </w:rPr>
        <w:t>.</w:t>
      </w:r>
      <w:r>
        <w:rPr>
          <w:snapToGrid w:val="0"/>
        </w:rPr>
        <w:tab/>
        <w:t>Investments, control procedures for</w:t>
      </w:r>
      <w:bookmarkEnd w:id="31"/>
    </w:p>
    <w:p>
      <w:pPr>
        <w:pStyle w:val="Subsection"/>
        <w:spacing w:before="120"/>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keepNext/>
        <w:spacing w:before="120"/>
        <w:rPr>
          <w:snapToGrid w:val="0"/>
        </w:rPr>
      </w:pPr>
      <w:r>
        <w:rPr>
          <w:snapToGrid w:val="0"/>
        </w:rPr>
        <w:tab/>
        <w:t>(2)</w:t>
      </w:r>
      <w:r>
        <w:rPr>
          <w:snapToGrid w:val="0"/>
        </w:rPr>
        <w:tab/>
        <w:t>The control procedures are to enable the identification of —</w:t>
      </w:r>
    </w:p>
    <w:p>
      <w:pPr>
        <w:pStyle w:val="Indenta"/>
        <w:spacing w:before="60"/>
        <w:rPr>
          <w:snapToGrid w:val="0"/>
        </w:rPr>
      </w:pPr>
      <w:r>
        <w:rPr>
          <w:snapToGrid w:val="0"/>
        </w:rPr>
        <w:tab/>
        <w:t>(a)</w:t>
      </w:r>
      <w:r>
        <w:rPr>
          <w:snapToGrid w:val="0"/>
        </w:rPr>
        <w:tab/>
        <w:t>the nature and location of all investments; and</w:t>
      </w:r>
    </w:p>
    <w:p>
      <w:pPr>
        <w:pStyle w:val="Indenta"/>
        <w:spacing w:before="60"/>
        <w:rPr>
          <w:snapToGrid w:val="0"/>
        </w:rPr>
      </w:pPr>
      <w:r>
        <w:rPr>
          <w:snapToGrid w:val="0"/>
        </w:rPr>
        <w:tab/>
        <w:t>(b)</w:t>
      </w:r>
      <w:r>
        <w:rPr>
          <w:snapToGrid w:val="0"/>
        </w:rPr>
        <w:tab/>
        <w:t>the transactions related to each investment.</w:t>
      </w:r>
    </w:p>
    <w:p>
      <w:pPr>
        <w:pStyle w:val="Heading5"/>
      </w:pPr>
      <w:bookmarkStart w:id="32" w:name="_Toc107401886"/>
      <w:r>
        <w:rPr>
          <w:rStyle w:val="CharSectno"/>
        </w:rPr>
        <w:t>19AA</w:t>
      </w:r>
      <w:r>
        <w:t>.</w:t>
      </w:r>
      <w:r>
        <w:tab/>
        <w:t>Ministerial approval required to write off repayment of advance payment (Act s. 6.12(4))</w:t>
      </w:r>
      <w:bookmarkEnd w:id="32"/>
    </w:p>
    <w:p>
      <w:pPr>
        <w:pStyle w:val="Subsection"/>
        <w:keepNext/>
      </w:pPr>
      <w:r>
        <w:tab/>
      </w:r>
      <w:r>
        <w:tab/>
        <w:t xml:space="preserve">A local government must not waive, grant concessions in relation to, or write off, an amount owed to the local government under the </w:t>
      </w:r>
      <w:r>
        <w:rPr>
          <w:i/>
        </w:rPr>
        <w:t>Local Government (Administration) Regulations 1996</w:t>
      </w:r>
      <w:r>
        <w:t xml:space="preserve"> regulation 34AE without the approval of the Minister.</w:t>
      </w:r>
    </w:p>
    <w:p>
      <w:pPr>
        <w:pStyle w:val="Footnotesection"/>
        <w:spacing w:before="80"/>
        <w:ind w:left="890" w:hanging="890"/>
      </w:pPr>
      <w:r>
        <w:tab/>
        <w:t>[Regulation 19AA inserted: Gazette 14 Dec 2018 p. 4806.]</w:t>
      </w:r>
    </w:p>
    <w:p>
      <w:pPr>
        <w:pStyle w:val="Heading5"/>
        <w:spacing w:before="190"/>
        <w:rPr>
          <w:snapToGrid w:val="0"/>
        </w:rPr>
      </w:pPr>
      <w:bookmarkStart w:id="33" w:name="_Toc107401887"/>
      <w:r>
        <w:rPr>
          <w:rStyle w:val="CharSectno"/>
        </w:rPr>
        <w:lastRenderedPageBreak/>
        <w:t>19A</w:t>
      </w:r>
      <w:r>
        <w:rPr>
          <w:snapToGrid w:val="0"/>
        </w:rPr>
        <w:t>.</w:t>
      </w:r>
      <w:r>
        <w:rPr>
          <w:snapToGrid w:val="0"/>
        </w:rPr>
        <w:tab/>
        <w:t>Maximum rate of interest prescribed (Act s. 6.13(3))</w:t>
      </w:r>
      <w:bookmarkEnd w:id="33"/>
    </w:p>
    <w:p>
      <w:pPr>
        <w:pStyle w:val="Subsection"/>
        <w:keepNext/>
        <w:spacing w:before="120"/>
        <w:rPr>
          <w:snapToGrid w:val="0"/>
        </w:rPr>
      </w:pPr>
      <w:r>
        <w:rPr>
          <w:snapToGrid w:val="0"/>
        </w:rPr>
        <w:tab/>
      </w:r>
      <w:r>
        <w:rPr>
          <w:snapToGrid w:val="0"/>
        </w:rPr>
        <w:tab/>
        <w:t>The maximum rate of interest to be imposed under section 6.13(1) is prescribed as 11%.</w:t>
      </w:r>
    </w:p>
    <w:p>
      <w:pPr>
        <w:pStyle w:val="Footnotesection"/>
        <w:spacing w:before="80"/>
        <w:ind w:left="890" w:hanging="890"/>
      </w:pPr>
      <w:r>
        <w:tab/>
        <w:t>[Regulation 19A inserted: Gazette 28 Jun 1996 p. 3169; amended: Gazette 29 Jun 1999 p. 2854; 20 Apr 2012 p. 1700; 29 Jun 2012 p. 2953.]</w:t>
      </w:r>
    </w:p>
    <w:p>
      <w:pPr>
        <w:pStyle w:val="Heading5"/>
        <w:rPr>
          <w:snapToGrid w:val="0"/>
        </w:rPr>
      </w:pPr>
      <w:bookmarkStart w:id="34" w:name="_Toc107401888"/>
      <w:r>
        <w:rPr>
          <w:rStyle w:val="CharSectno"/>
        </w:rPr>
        <w:t>19B</w:t>
      </w:r>
      <w:r>
        <w:rPr>
          <w:snapToGrid w:val="0"/>
        </w:rPr>
        <w:t>.</w:t>
      </w:r>
      <w:r>
        <w:rPr>
          <w:snapToGrid w:val="0"/>
        </w:rPr>
        <w:tab/>
        <w:t>Interest on money owing, calculating (Act s. 6.13)</w:t>
      </w:r>
      <w:bookmarkEnd w:id="34"/>
    </w:p>
    <w:p>
      <w:pPr>
        <w:pStyle w:val="Subsection"/>
        <w:rPr>
          <w:snapToGrid w:val="0"/>
        </w:rPr>
      </w:pPr>
      <w:r>
        <w:rPr>
          <w:snapToGrid w:val="0"/>
        </w:rPr>
        <w:tab/>
        <w:t>(1)</w:t>
      </w:r>
      <w:r>
        <w:rPr>
          <w:snapToGrid w:val="0"/>
        </w:rPr>
        <w:tab/>
        <w:t xml:space="preserve">Interest on money that remains owing after the date determined in accordance with section 6.13(6) </w:t>
      </w:r>
      <w:r>
        <w:t>(the</w:t>
      </w:r>
      <w:r>
        <w:rPr>
          <w:b/>
          <w:i/>
        </w:rPr>
        <w:t xml:space="preserve"> </w:t>
      </w:r>
      <w:r>
        <w:rPr>
          <w:rStyle w:val="CharDefText"/>
        </w:rPr>
        <w:t>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keepNext/>
        <w:spacing w:before="120"/>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keepNext/>
        <w:rPr>
          <w:snapToGrid w:val="0"/>
        </w:rPr>
      </w:pPr>
      <w:r>
        <w:rPr>
          <w:snapToGrid w:val="0"/>
        </w:rPr>
        <w:tab/>
        <w:t>(b)</w:t>
      </w:r>
      <w:r>
        <w:rPr>
          <w:snapToGrid w:val="0"/>
        </w:rPr>
        <w:tab/>
        <w:t>the rate of interest.</w:t>
      </w:r>
    </w:p>
    <w:p>
      <w:pPr>
        <w:pStyle w:val="Footnotesection"/>
      </w:pPr>
      <w:r>
        <w:tab/>
        <w:t>[Regulation 19B inserted: Gazette 28 Jun 1996 p. 3169</w:t>
      </w:r>
      <w:r>
        <w:noBreakHyphen/>
        <w:t>70.]</w:t>
      </w:r>
    </w:p>
    <w:p>
      <w:pPr>
        <w:pStyle w:val="Heading5"/>
        <w:spacing w:before="180"/>
      </w:pPr>
      <w:bookmarkStart w:id="35" w:name="_Toc107401889"/>
      <w:r>
        <w:rPr>
          <w:rStyle w:val="CharSectno"/>
        </w:rPr>
        <w:lastRenderedPageBreak/>
        <w:t>19C</w:t>
      </w:r>
      <w:r>
        <w:t>.</w:t>
      </w:r>
      <w:r>
        <w:tab/>
        <w:t>Investment of money, restrictions on (Act s. 6.14(2)(a))</w:t>
      </w:r>
      <w:bookmarkEnd w:id="35"/>
    </w:p>
    <w:p>
      <w:pPr>
        <w:pStyle w:val="Subsection"/>
        <w:keepNext/>
      </w:pPr>
      <w:r>
        <w:tab/>
        <w:t>(1)</w:t>
      </w:r>
      <w:r>
        <w:tab/>
        <w:t xml:space="preserve">In this regulation — </w:t>
      </w:r>
    </w:p>
    <w:p>
      <w:pPr>
        <w:pStyle w:val="Defstart"/>
        <w:keepNext/>
      </w:pPr>
      <w:r>
        <w:tab/>
      </w:r>
      <w:r>
        <w:rPr>
          <w:rStyle w:val="CharDefText"/>
        </w:rPr>
        <w:t>authorised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 or</w:t>
      </w:r>
    </w:p>
    <w:p>
      <w:pPr>
        <w:pStyle w:val="Defpara"/>
      </w:pPr>
      <w:r>
        <w:tab/>
        <w:t>(b)</w:t>
      </w:r>
      <w:r>
        <w:tab/>
        <w:t xml:space="preserve">the Western Australian Treasury Corporation established by the </w:t>
      </w:r>
      <w:r>
        <w:rPr>
          <w:i/>
        </w:rPr>
        <w:t>Western Australian Treasury Corporation Act 1986</w:t>
      </w:r>
      <w:r>
        <w:t>;</w:t>
      </w:r>
    </w:p>
    <w:p>
      <w:pPr>
        <w:pStyle w:val="Defstart"/>
      </w:pPr>
      <w:r>
        <w:tab/>
      </w:r>
      <w:r>
        <w:rPr>
          <w:rStyle w:val="CharDefText"/>
        </w:rPr>
        <w:t>foreign currency</w:t>
      </w:r>
      <w:r>
        <w:t xml:space="preserve"> means a currency except the currency of Australia.</w:t>
      </w:r>
    </w:p>
    <w:p>
      <w:pPr>
        <w:pStyle w:val="Subsection"/>
        <w:keepNext/>
      </w:pPr>
      <w:r>
        <w:tab/>
        <w:t>(2)</w:t>
      </w:r>
      <w:r>
        <w:tab/>
        <w:t xml:space="preserve">When investing money under section 6.14(1), a local government may not do any of the following — </w:t>
      </w:r>
    </w:p>
    <w:p>
      <w:pPr>
        <w:pStyle w:val="Indenta"/>
      </w:pPr>
      <w:r>
        <w:tab/>
        <w:t>(a)</w:t>
      </w:r>
      <w:r>
        <w:tab/>
        <w:t>deposit with an institution except an authorised institution;</w:t>
      </w:r>
    </w:p>
    <w:p>
      <w:pPr>
        <w:pStyle w:val="Indenta"/>
      </w:pPr>
      <w:r>
        <w:tab/>
        <w:t>(b)</w:t>
      </w:r>
      <w:r>
        <w:tab/>
        <w:t>deposit for a fixed term of more than 3 years;</w:t>
      </w:r>
    </w:p>
    <w:p>
      <w:pPr>
        <w:pStyle w:val="Indenta"/>
      </w:pPr>
      <w:r>
        <w:tab/>
        <w:t>(c)</w:t>
      </w:r>
      <w:r>
        <w:tab/>
        <w:t>invest in bonds that are not guaranteed by the Commonwealth Government, or a State or Territory government;</w:t>
      </w:r>
    </w:p>
    <w:p>
      <w:pPr>
        <w:pStyle w:val="Indenta"/>
      </w:pPr>
      <w:r>
        <w:tab/>
        <w:t>(d)</w:t>
      </w:r>
      <w:r>
        <w:tab/>
        <w:t>invest in bonds with a term to maturity of more than 3 years;</w:t>
      </w:r>
    </w:p>
    <w:p>
      <w:pPr>
        <w:pStyle w:val="Indenta"/>
        <w:keepNext/>
      </w:pPr>
      <w:r>
        <w:tab/>
        <w:t>(e)</w:t>
      </w:r>
      <w:r>
        <w:tab/>
        <w:t>invest in a foreign currency.</w:t>
      </w:r>
    </w:p>
    <w:p>
      <w:pPr>
        <w:pStyle w:val="Footnotesection"/>
      </w:pPr>
      <w:r>
        <w:tab/>
        <w:t>[Regulation 19C inserted: Gazette 20 Apr 2012 p. 1701; amended: Gazette 12 May 2017 p. 2469.]</w:t>
      </w:r>
    </w:p>
    <w:p>
      <w:pPr>
        <w:pStyle w:val="Heading5"/>
      </w:pPr>
      <w:bookmarkStart w:id="36" w:name="_Toc107401890"/>
      <w:r>
        <w:rPr>
          <w:rStyle w:val="CharSectno"/>
        </w:rPr>
        <w:t>20</w:t>
      </w:r>
      <w:r>
        <w:t>.</w:t>
      </w:r>
      <w:r>
        <w:tab/>
        <w:t>When local public notice not required for exercise of power to borrow (Act s. 6.20(2)(a))</w:t>
      </w:r>
      <w:bookmarkEnd w:id="36"/>
    </w:p>
    <w:p>
      <w:pPr>
        <w:pStyle w:val="Subsection"/>
        <w:keepNext/>
      </w:pPr>
      <w:r>
        <w:tab/>
        <w:t>(1)</w:t>
      </w:r>
      <w:r>
        <w:tab/>
        <w:t>In this regulation —</w:t>
      </w:r>
    </w:p>
    <w:p>
      <w:pPr>
        <w:pStyle w:val="Defstart"/>
        <w:keepNext/>
      </w:pPr>
      <w:r>
        <w:rPr>
          <w:b/>
        </w:rPr>
        <w:tab/>
      </w:r>
      <w:r>
        <w:rPr>
          <w:rStyle w:val="CharDefText"/>
        </w:rPr>
        <w:t>major variation</w:t>
      </w:r>
      <w:r>
        <w:t xml:space="preserve"> means a variation in the terms of a loan or other financial accommodation which is —</w:t>
      </w:r>
    </w:p>
    <w:p>
      <w:pPr>
        <w:pStyle w:val="Defpara"/>
      </w:pPr>
      <w:r>
        <w:tab/>
        <w:t>(a)</w:t>
      </w:r>
      <w:r>
        <w:tab/>
        <w:t>a capitalisation of interest accruals; or</w:t>
      </w:r>
    </w:p>
    <w:p>
      <w:pPr>
        <w:pStyle w:val="Defpara"/>
      </w:pPr>
      <w:r>
        <w:tab/>
        <w:t>(b)</w:t>
      </w:r>
      <w:r>
        <w:tab/>
        <w:t>an increase in the term of the loan or other financial accommodation;</w:t>
      </w:r>
    </w:p>
    <w:p>
      <w:pPr>
        <w:pStyle w:val="Defstart"/>
        <w:keepNext/>
      </w:pPr>
      <w:r>
        <w:rPr>
          <w:b/>
        </w:rPr>
        <w:lastRenderedPageBreak/>
        <w:tab/>
      </w:r>
      <w:r>
        <w:rPr>
          <w:rStyle w:val="CharDefText"/>
        </w:rPr>
        <w:t>re</w:t>
      </w:r>
      <w:r>
        <w:rPr>
          <w:rStyle w:val="CharDefText"/>
        </w:rPr>
        <w:noBreakHyphen/>
        <w:t>finance</w:t>
      </w:r>
      <w:r>
        <w:t xml:space="preserve">, in relation to a loan or other financial accommodation (the </w:t>
      </w:r>
      <w:r>
        <w:rPr>
          <w:rStyle w:val="CharDefText"/>
        </w:rPr>
        <w:t>existing loan</w:t>
      </w:r>
      <w:r>
        <w:t xml:space="preserve">), means to borrow an amount (the </w:t>
      </w:r>
      <w:r>
        <w:rPr>
          <w:rStyle w:val="CharDefText"/>
        </w:rPr>
        <w:t>new loan</w:t>
      </w:r>
      <w:r>
        <w:t>) which is, at the date of the new loan —</w:t>
      </w:r>
    </w:p>
    <w:p>
      <w:pPr>
        <w:pStyle w:val="Defpara"/>
      </w:pPr>
      <w:r>
        <w:tab/>
        <w:t>(a)</w:t>
      </w:r>
      <w:r>
        <w:tab/>
        <w:t>equal to the principal amount owing on the existing loan; or</w:t>
      </w:r>
    </w:p>
    <w:p>
      <w:pPr>
        <w:pStyle w:val="Defpara"/>
        <w:keepNext/>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Subsection"/>
        <w:keepNext/>
      </w:pPr>
      <w:r>
        <w:tab/>
        <w:t>(2)</w:t>
      </w:r>
      <w:r>
        <w:tab/>
        <w:t xml:space="preserve">A local government is not required to give local public notice of a proposal to exercise a power to borrow where — </w:t>
      </w:r>
    </w:p>
    <w:p>
      <w:pPr>
        <w:pStyle w:val="Indenta"/>
      </w:pPr>
      <w:r>
        <w:tab/>
        <w:t>(a)</w:t>
      </w:r>
      <w:r>
        <w:tab/>
        <w:t>the power is to be exercised to re</w:t>
      </w:r>
      <w:r>
        <w:noBreakHyphen/>
        <w:t>finance a loan or to continue other financial accommodation (whether with the same or another bank or financial institution); and</w:t>
      </w:r>
    </w:p>
    <w:p>
      <w:pPr>
        <w:pStyle w:val="Indenta"/>
      </w:pPr>
      <w:r>
        <w:tab/>
        <w:t>(b)</w:t>
      </w:r>
      <w:r>
        <w:tab/>
        <w:t>the re</w:t>
      </w:r>
      <w:r>
        <w:noBreakHyphen/>
        <w:t>financing or continuation is not a major variation.</w:t>
      </w:r>
    </w:p>
    <w:p>
      <w:pPr>
        <w:pStyle w:val="Subsection"/>
        <w:keepNext/>
      </w:pPr>
      <w:r>
        <w:tab/>
        <w:t>(3)</w:t>
      </w:r>
      <w:r>
        <w:tab/>
        <w:t xml:space="preserve">A local government is not required to give local public notice of a proposal to exercise a power to borrow where each of the following conditions is satisfied — </w:t>
      </w:r>
    </w:p>
    <w:p>
      <w:pPr>
        <w:pStyle w:val="Indenta"/>
      </w:pPr>
      <w:r>
        <w:tab/>
        <w:t>(a)</w:t>
      </w:r>
      <w:r>
        <w:tab/>
        <w:t xml:space="preserve">a decision to exercise the power is made while there is in force a state of emergency declaration applying to the district, or part of the district, of the local government; </w:t>
      </w:r>
    </w:p>
    <w:p>
      <w:pPr>
        <w:pStyle w:val="Indenta"/>
      </w:pPr>
      <w:r>
        <w:tab/>
        <w:t>(b)</w:t>
      </w:r>
      <w:r>
        <w:tab/>
        <w:t>the local government considers that the borrowing is required to address a need arising from the hazard, or from the impact or consequences of the hazard, to which the state of emergency declaration relates;</w:t>
      </w:r>
    </w:p>
    <w:p>
      <w:pPr>
        <w:pStyle w:val="Indenta"/>
        <w:keepNext/>
      </w:pPr>
      <w:r>
        <w:tab/>
        <w:t>(c)</w:t>
      </w:r>
      <w:r>
        <w:tab/>
        <w:t>the decision and the reasons for it are recorded in the minutes of the meeting at which the decision is made.</w:t>
      </w:r>
    </w:p>
    <w:p>
      <w:pPr>
        <w:pStyle w:val="Footnotesection"/>
      </w:pPr>
      <w:r>
        <w:tab/>
        <w:t>[Regulation 20 inserted: SL 2020/35 r. 6.]</w:t>
      </w:r>
    </w:p>
    <w:p>
      <w:pPr>
        <w:pStyle w:val="Heading5"/>
      </w:pPr>
      <w:bookmarkStart w:id="37" w:name="_Toc107401891"/>
      <w:r>
        <w:rPr>
          <w:rStyle w:val="CharSectno"/>
        </w:rPr>
        <w:lastRenderedPageBreak/>
        <w:t>21</w:t>
      </w:r>
      <w:r>
        <w:t>.</w:t>
      </w:r>
      <w:r>
        <w:tab/>
        <w:t>When local public notice not required for change of use of borrowed money (Act s. 6.20(4)(b))</w:t>
      </w:r>
      <w:bookmarkEnd w:id="37"/>
    </w:p>
    <w:p>
      <w:pPr>
        <w:pStyle w:val="Subsection"/>
        <w:keepNext/>
      </w:pPr>
      <w:r>
        <w:tab/>
      </w:r>
      <w:r>
        <w:tab/>
        <w:t>A local government is not required to give local public notice of a proposed change of use of money borrowed —</w:t>
      </w:r>
    </w:p>
    <w:p>
      <w:pPr>
        <w:pStyle w:val="Indenta"/>
      </w:pPr>
      <w:r>
        <w:tab/>
        <w:t>(a)</w:t>
      </w:r>
      <w:r>
        <w:tab/>
        <w:t>where the amount to be used for a purpose other than the purpose for which it was borrowed does not exceed $5 000 in a financial year; or</w:t>
      </w:r>
    </w:p>
    <w:p>
      <w:pPr>
        <w:pStyle w:val="Indenta"/>
      </w:pPr>
      <w:r>
        <w:tab/>
        <w:t>(b)</w:t>
      </w:r>
      <w:r>
        <w:tab/>
        <w:t>where the money borrowed is to be used to meet expenditure authorised by the mayor or president under section 6.8(1)(c); or</w:t>
      </w:r>
    </w:p>
    <w:p>
      <w:pPr>
        <w:pStyle w:val="Indenta"/>
        <w:keepNext/>
      </w:pPr>
      <w:r>
        <w:tab/>
        <w:t>(c)</w:t>
      </w:r>
      <w:r>
        <w:tab/>
        <w:t xml:space="preserve">where each of the following conditions is satisfied — </w:t>
      </w:r>
    </w:p>
    <w:p>
      <w:pPr>
        <w:pStyle w:val="Indenti"/>
      </w:pPr>
      <w:r>
        <w:tab/>
        <w:t>(i)</w:t>
      </w:r>
      <w:r>
        <w:tab/>
        <w:t xml:space="preserve">a decision to change the use of the money is made while there is in force a state of emergency declaration applying to the district, or part of the district, of the local government; </w:t>
      </w:r>
    </w:p>
    <w:p>
      <w:pPr>
        <w:pStyle w:val="Indenti"/>
      </w:pPr>
      <w:r>
        <w:tab/>
        <w:t>(ii)</w:t>
      </w:r>
      <w:r>
        <w:tab/>
        <w:t>the local government considers that the change of use is required to address a need arising from the hazard, or from the impact or consequences of the hazard, to which the state of emergency declaration relates;</w:t>
      </w:r>
    </w:p>
    <w:p>
      <w:pPr>
        <w:pStyle w:val="Indenti"/>
        <w:keepNext/>
      </w:pPr>
      <w:r>
        <w:tab/>
        <w:t>(iii)</w:t>
      </w:r>
      <w:r>
        <w:tab/>
        <w:t>the decision and the reasons for it are recorded in the minutes of the meeting at which the decision is made.</w:t>
      </w:r>
    </w:p>
    <w:p>
      <w:pPr>
        <w:pStyle w:val="Footnotesection"/>
      </w:pPr>
      <w:r>
        <w:tab/>
        <w:t>[Regulation 21 inserted: SL 2020/35 r. 6.]</w:t>
      </w:r>
    </w:p>
    <w:p>
      <w:pPr>
        <w:pStyle w:val="Heading2"/>
      </w:pPr>
      <w:bookmarkStart w:id="38" w:name="_Toc107222993"/>
      <w:bookmarkStart w:id="39" w:name="_Toc107223642"/>
      <w:bookmarkStart w:id="40" w:name="_Toc107401892"/>
      <w:r>
        <w:rPr>
          <w:rStyle w:val="CharPartNo"/>
        </w:rPr>
        <w:lastRenderedPageBreak/>
        <w:t>Part 3</w:t>
      </w:r>
      <w:r>
        <w:rPr>
          <w:rStyle w:val="CharDivNo"/>
        </w:rPr>
        <w:t> </w:t>
      </w:r>
      <w:r>
        <w:t>—</w:t>
      </w:r>
      <w:r>
        <w:rPr>
          <w:rStyle w:val="CharDivText"/>
        </w:rPr>
        <w:t> </w:t>
      </w:r>
      <w:r>
        <w:rPr>
          <w:rStyle w:val="CharPartText"/>
        </w:rPr>
        <w:t>Annual budget — s. 6.2</w:t>
      </w:r>
      <w:bookmarkEnd w:id="38"/>
      <w:bookmarkEnd w:id="39"/>
      <w:bookmarkEnd w:id="40"/>
    </w:p>
    <w:p>
      <w:pPr>
        <w:pStyle w:val="Heading5"/>
        <w:rPr>
          <w:snapToGrid w:val="0"/>
        </w:rPr>
      </w:pPr>
      <w:bookmarkStart w:id="41" w:name="_Toc107401893"/>
      <w:r>
        <w:rPr>
          <w:rStyle w:val="CharSectno"/>
        </w:rPr>
        <w:t>22</w:t>
      </w:r>
      <w:r>
        <w:rPr>
          <w:snapToGrid w:val="0"/>
        </w:rPr>
        <w:t>.</w:t>
      </w:r>
      <w:r>
        <w:rPr>
          <w:snapToGrid w:val="0"/>
        </w:rPr>
        <w:tab/>
        <w:t>Form and content of annual budget (Act s. 6.2(1))</w:t>
      </w:r>
      <w:bookmarkEnd w:id="41"/>
    </w:p>
    <w:p>
      <w:pPr>
        <w:pStyle w:val="Subsection"/>
        <w:rPr>
          <w:snapToGrid w:val="0"/>
        </w:rPr>
      </w:pPr>
      <w:r>
        <w:rPr>
          <w:snapToGrid w:val="0"/>
        </w:rPr>
        <w:tab/>
        <w:t>(1)</w:t>
      </w:r>
      <w:r>
        <w:rPr>
          <w:snapToGrid w:val="0"/>
        </w:rPr>
        <w:tab/>
        <w:t>The annual budget of a local government is to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rate setting statement showing details of —</w:t>
      </w:r>
    </w:p>
    <w:p>
      <w:pPr>
        <w:pStyle w:val="Indenti"/>
      </w:pPr>
      <w:r>
        <w:tab/>
        <w:t>(i)</w:t>
      </w:r>
      <w:r>
        <w:tab/>
        <w:t>the revenue and expenditure that have been taken into account to determine the budget deficiency; and</w:t>
      </w:r>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 or</w:t>
      </w:r>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lastRenderedPageBreak/>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w:t>
      </w:r>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Gazette 20 Jun 1997 p. 2839; 31 Mar 2005 p. 1048; 20 Jun 2008 p. 2722-3.]</w:t>
      </w:r>
    </w:p>
    <w:p>
      <w:pPr>
        <w:pStyle w:val="Heading5"/>
        <w:rPr>
          <w:snapToGrid w:val="0"/>
        </w:rPr>
      </w:pPr>
      <w:bookmarkStart w:id="42" w:name="_Toc107401894"/>
      <w:r>
        <w:rPr>
          <w:rStyle w:val="CharSectno"/>
        </w:rPr>
        <w:t>23</w:t>
      </w:r>
      <w:r>
        <w:rPr>
          <w:snapToGrid w:val="0"/>
        </w:rPr>
        <w:t>.</w:t>
      </w:r>
      <w:r>
        <w:rPr>
          <w:snapToGrid w:val="0"/>
        </w:rPr>
        <w:tab/>
        <w:t>Rates information required</w:t>
      </w:r>
      <w:bookmarkEnd w:id="42"/>
    </w:p>
    <w:p>
      <w:pPr>
        <w:pStyle w:val="Subsection"/>
        <w:rPr>
          <w:snapToGrid w:val="0"/>
        </w:rPr>
      </w:pPr>
      <w:r>
        <w:rPr>
          <w:snapToGrid w:val="0"/>
        </w:rPr>
        <w:tab/>
      </w:r>
      <w:r>
        <w:rPr>
          <w:snapToGrid w:val="0"/>
        </w:rPr>
        <w:tab/>
        <w:t>The annual budget is to include —</w:t>
      </w:r>
    </w:p>
    <w:p>
      <w:pPr>
        <w:pStyle w:val="Indenta"/>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 and</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an estimate of the total rateable values of the properties referred to in item (III);</w:t>
      </w:r>
    </w:p>
    <w:p>
      <w:pPr>
        <w:pStyle w:val="IndentI0"/>
        <w:keepNext/>
        <w:rPr>
          <w:snapToGrid w:val="0"/>
        </w:rPr>
      </w:pPr>
      <w:r>
        <w:rPr>
          <w:snapToGrid w:val="0"/>
        </w:rPr>
        <w:lastRenderedPageBreak/>
        <w:tab/>
        <w:t>(V)</w:t>
      </w:r>
      <w:r>
        <w:rPr>
          <w:snapToGrid w:val="0"/>
        </w:rPr>
        <w:tab/>
        <w:t>the amount it is estimated will be imposed by way of —</w:t>
      </w:r>
    </w:p>
    <w:p>
      <w:pPr>
        <w:pStyle w:val="IndentA0"/>
        <w:rPr>
          <w:snapToGrid w:val="0"/>
        </w:rPr>
      </w:pPr>
      <w:r>
        <w:rPr>
          <w:snapToGrid w:val="0"/>
        </w:rPr>
        <w:tab/>
        <w:t>(A)</w:t>
      </w:r>
      <w:r>
        <w:rPr>
          <w:snapToGrid w:val="0"/>
        </w:rPr>
        <w:tab/>
        <w:t>the rate; and</w:t>
      </w:r>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w:t>
      </w:r>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 and</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 and</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w:t>
      </w:r>
    </w:p>
    <w:p>
      <w:pPr>
        <w:pStyle w:val="IndentI0"/>
        <w:rPr>
          <w:snapToGrid w:val="0"/>
        </w:rPr>
      </w:pPr>
      <w:r>
        <w:rPr>
          <w:snapToGrid w:val="0"/>
        </w:rPr>
        <w:tab/>
        <w:t>(I)</w:t>
      </w:r>
      <w:r>
        <w:rPr>
          <w:snapToGrid w:val="0"/>
        </w:rPr>
        <w:tab/>
        <w:t>minimum payment; and</w:t>
      </w:r>
    </w:p>
    <w:p>
      <w:pPr>
        <w:pStyle w:val="IndentI0"/>
        <w:rPr>
          <w:snapToGrid w:val="0"/>
        </w:rPr>
      </w:pPr>
      <w:r>
        <w:rPr>
          <w:snapToGrid w:val="0"/>
        </w:rPr>
        <w:tab/>
        <w:t>(II)</w:t>
      </w:r>
      <w:r>
        <w:rPr>
          <w:snapToGrid w:val="0"/>
        </w:rPr>
        <w:tab/>
        <w:t>interim minimum payment; and</w:t>
      </w:r>
    </w:p>
    <w:p>
      <w:pPr>
        <w:pStyle w:val="IndentI0"/>
        <w:keepNext/>
        <w:rPr>
          <w:snapToGrid w:val="0"/>
        </w:rPr>
      </w:pPr>
      <w:r>
        <w:rPr>
          <w:snapToGrid w:val="0"/>
        </w:rPr>
        <w:lastRenderedPageBreak/>
        <w:tab/>
        <w:t>(III)</w:t>
      </w:r>
      <w:r>
        <w:rPr>
          <w:snapToGrid w:val="0"/>
        </w:rPr>
        <w:tab/>
        <w:t>back minimum payment;</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the rate in the dollar; and</w:t>
      </w:r>
    </w:p>
    <w:p>
      <w:pPr>
        <w:pStyle w:val="Indenti"/>
        <w:rPr>
          <w:snapToGrid w:val="0"/>
        </w:rPr>
      </w:pPr>
      <w:r>
        <w:rPr>
          <w:snapToGrid w:val="0"/>
        </w:rPr>
        <w:tab/>
        <w:t>(iii)</w:t>
      </w:r>
      <w:r>
        <w:rPr>
          <w:snapToGrid w:val="0"/>
        </w:rPr>
        <w:tab/>
        <w:t>a brief description identifying the area within which the rate is to be imposed; and</w:t>
      </w:r>
    </w:p>
    <w:p>
      <w:pPr>
        <w:pStyle w:val="Indenti"/>
        <w:rPr>
          <w:snapToGrid w:val="0"/>
        </w:rPr>
      </w:pPr>
      <w:r>
        <w:rPr>
          <w:snapToGrid w:val="0"/>
        </w:rPr>
        <w:tab/>
        <w:t>(iv)</w:t>
      </w:r>
      <w:r>
        <w:rPr>
          <w:snapToGrid w:val="0"/>
        </w:rPr>
        <w:tab/>
        <w:t>whether the basis for the rate is the gross rental value or the unimproved value of land; 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 and</w:t>
      </w:r>
    </w:p>
    <w:p>
      <w:pPr>
        <w:pStyle w:val="Indenti"/>
        <w:rPr>
          <w:snapToGrid w:val="0"/>
        </w:rPr>
      </w:pPr>
      <w:r>
        <w:rPr>
          <w:snapToGrid w:val="0"/>
        </w:rPr>
        <w:tab/>
        <w:t>(vi)</w:t>
      </w:r>
      <w:r>
        <w:rPr>
          <w:snapToGrid w:val="0"/>
        </w:rPr>
        <w:tab/>
        <w:t>the amount it is estimated will be imposed by way of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 and</w:t>
      </w:r>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[Regulation 23 amended: Gazette 20 Jun 1997 p. 2840.]</w:t>
      </w:r>
    </w:p>
    <w:p>
      <w:pPr>
        <w:pStyle w:val="Heading5"/>
        <w:spacing w:before="180"/>
        <w:rPr>
          <w:snapToGrid w:val="0"/>
        </w:rPr>
      </w:pPr>
      <w:bookmarkStart w:id="43" w:name="_Toc107401895"/>
      <w:r>
        <w:rPr>
          <w:rStyle w:val="CharSectno"/>
        </w:rPr>
        <w:t>24</w:t>
      </w:r>
      <w:r>
        <w:rPr>
          <w:snapToGrid w:val="0"/>
        </w:rPr>
        <w:t>.</w:t>
      </w:r>
      <w:r>
        <w:rPr>
          <w:snapToGrid w:val="0"/>
        </w:rPr>
        <w:tab/>
        <w:t>Service charges information required</w:t>
      </w:r>
      <w:bookmarkEnd w:id="43"/>
    </w:p>
    <w:p>
      <w:pPr>
        <w:pStyle w:val="Subsection"/>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 and</w:t>
      </w:r>
    </w:p>
    <w:p>
      <w:pPr>
        <w:pStyle w:val="Indenta"/>
        <w:rPr>
          <w:snapToGrid w:val="0"/>
        </w:rPr>
      </w:pPr>
      <w:r>
        <w:rPr>
          <w:snapToGrid w:val="0"/>
        </w:rPr>
        <w:lastRenderedPageBreak/>
        <w:tab/>
        <w:t>(b)</w:t>
      </w:r>
      <w:r>
        <w:rPr>
          <w:snapToGrid w:val="0"/>
        </w:rPr>
        <w:tab/>
        <w:t>the objects of, and reasons for, the service charge; and</w:t>
      </w:r>
    </w:p>
    <w:p>
      <w:pPr>
        <w:pStyle w:val="Indenta"/>
        <w:rPr>
          <w:snapToGrid w:val="0"/>
        </w:rPr>
      </w:pPr>
      <w:r>
        <w:rPr>
          <w:snapToGrid w:val="0"/>
        </w:rPr>
        <w:tab/>
        <w:t>(c)</w:t>
      </w:r>
      <w:r>
        <w:rPr>
          <w:snapToGrid w:val="0"/>
        </w:rPr>
        <w:tab/>
        <w:t>the amount of the service charge; and</w:t>
      </w:r>
    </w:p>
    <w:p>
      <w:pPr>
        <w:pStyle w:val="Indenta"/>
        <w:rPr>
          <w:snapToGrid w:val="0"/>
        </w:rPr>
      </w:pPr>
      <w:r>
        <w:rPr>
          <w:snapToGrid w:val="0"/>
        </w:rPr>
        <w:tab/>
        <w:t>(d)</w:t>
      </w:r>
      <w:r>
        <w:rPr>
          <w:snapToGrid w:val="0"/>
        </w:rPr>
        <w:tab/>
        <w:t>an estimate of the total amount to be imposed by way of the service charge; and</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 and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44" w:name="_Toc107401896"/>
      <w:r>
        <w:rPr>
          <w:rStyle w:val="CharSectno"/>
        </w:rPr>
        <w:t>25</w:t>
      </w:r>
      <w:r>
        <w:rPr>
          <w:snapToGrid w:val="0"/>
        </w:rPr>
        <w:t>.</w:t>
      </w:r>
      <w:r>
        <w:rPr>
          <w:snapToGrid w:val="0"/>
        </w:rPr>
        <w:tab/>
        <w:t>Revenue from fees and charges, estimate of required</w:t>
      </w:r>
      <w:bookmarkEnd w:id="44"/>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45" w:name="_Toc107401897"/>
      <w:r>
        <w:rPr>
          <w:rStyle w:val="CharSectno"/>
        </w:rPr>
        <w:t>26</w:t>
      </w:r>
      <w:r>
        <w:rPr>
          <w:snapToGrid w:val="0"/>
        </w:rPr>
        <w:t>.</w:t>
      </w:r>
      <w:r>
        <w:rPr>
          <w:snapToGrid w:val="0"/>
        </w:rPr>
        <w:tab/>
        <w:t>Discounts for early payment etc., information about required</w:t>
      </w:r>
      <w:bookmarkEnd w:id="45"/>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lastRenderedPageBreak/>
        <w:tab/>
        <w:t>[(b)</w:t>
      </w:r>
      <w:r>
        <w:rPr>
          <w:snapToGrid w:val="0"/>
        </w:rPr>
        <w:tab/>
        <w:t>deleted]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will be granted; and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[Regulation 26 amended: Gazette 20 Jun 1997 p. 2840.]</w:t>
      </w:r>
    </w:p>
    <w:p>
      <w:pPr>
        <w:pStyle w:val="Heading5"/>
        <w:rPr>
          <w:snapToGrid w:val="0"/>
        </w:rPr>
      </w:pPr>
      <w:bookmarkStart w:id="46" w:name="_Toc107401898"/>
      <w:r>
        <w:rPr>
          <w:rStyle w:val="CharSectno"/>
        </w:rPr>
        <w:t>27</w:t>
      </w:r>
      <w:r>
        <w:rPr>
          <w:snapToGrid w:val="0"/>
        </w:rPr>
        <w:t>.</w:t>
      </w:r>
      <w:r>
        <w:rPr>
          <w:snapToGrid w:val="0"/>
        </w:rPr>
        <w:tab/>
        <w:t>Notes to annual budget, when required</w:t>
      </w:r>
      <w:bookmarkEnd w:id="46"/>
    </w:p>
    <w:p>
      <w:pPr>
        <w:pStyle w:val="Subsection"/>
        <w:rPr>
          <w:snapToGrid w:val="0"/>
        </w:rPr>
      </w:pPr>
      <w:r>
        <w:rPr>
          <w:snapToGrid w:val="0"/>
        </w:rPr>
        <w:tab/>
      </w:r>
      <w:r>
        <w:rPr>
          <w:snapToGrid w:val="0"/>
        </w:rPr>
        <w:tab/>
        <w:t>The annual budget is to include or be accompanied by notes detailing —</w:t>
      </w:r>
    </w:p>
    <w:p>
      <w:pPr>
        <w:pStyle w:val="Indenta"/>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lastRenderedPageBreak/>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including —</w:t>
      </w:r>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relation to investment by the local government, the information set forth in regulation 28; and</w:t>
      </w:r>
    </w:p>
    <w:p>
      <w:pPr>
        <w:pStyle w:val="Indenta"/>
        <w:rPr>
          <w:snapToGrid w:val="0"/>
        </w:rPr>
      </w:pPr>
      <w:r>
        <w:rPr>
          <w:snapToGrid w:val="0"/>
        </w:rPr>
        <w:tab/>
        <w:t>(f)</w:t>
      </w:r>
      <w:r>
        <w:rPr>
          <w:snapToGrid w:val="0"/>
        </w:rPr>
        <w:tab/>
        <w:t>in relation to the borrowings of the local government, the information set forth in regulation 29; and</w:t>
      </w:r>
    </w:p>
    <w:p>
      <w:pPr>
        <w:pStyle w:val="Indenta"/>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 and</w:t>
      </w:r>
    </w:p>
    <w:p>
      <w:pPr>
        <w:pStyle w:val="Indenti"/>
        <w:rPr>
          <w:snapToGrid w:val="0"/>
        </w:rPr>
      </w:pPr>
      <w:r>
        <w:rPr>
          <w:snapToGrid w:val="0"/>
        </w:rPr>
        <w:lastRenderedPageBreak/>
        <w:tab/>
        <w:t>(ii)</w:t>
      </w:r>
      <w:r>
        <w:rPr>
          <w:snapToGrid w:val="0"/>
        </w:rPr>
        <w:tab/>
        <w:t>the amount to be set aside during the financial year; and</w:t>
      </w:r>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 June;</w:t>
      </w:r>
    </w:p>
    <w:p>
      <w:pPr>
        <w:pStyle w:val="Indenta"/>
        <w:keepNext/>
        <w:keepLines/>
        <w:rPr>
          <w:snapToGrid w:val="0"/>
        </w:rPr>
      </w:pPr>
      <w:r>
        <w:rPr>
          <w:snapToGrid w:val="0"/>
        </w:rPr>
        <w:tab/>
      </w:r>
      <w:r>
        <w:rPr>
          <w:snapToGrid w:val="0"/>
        </w:rPr>
        <w:tab/>
        <w:t>and</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 and</w:t>
      </w:r>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 and</w:t>
      </w:r>
    </w:p>
    <w:p>
      <w:pPr>
        <w:pStyle w:val="Indenta"/>
        <w:rPr>
          <w:snapToGrid w:val="0"/>
        </w:rPr>
      </w:pPr>
      <w:r>
        <w:rPr>
          <w:snapToGrid w:val="0"/>
        </w:rPr>
        <w:tab/>
        <w:t>(k)</w:t>
      </w:r>
      <w:r>
        <w:rPr>
          <w:snapToGrid w:val="0"/>
        </w:rPr>
        <w:tab/>
        <w:t>separately, in relation to each major land transaction (according to nature or type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 and</w:t>
      </w:r>
    </w:p>
    <w:p>
      <w:pPr>
        <w:pStyle w:val="Indenti"/>
        <w:rPr>
          <w:snapToGrid w:val="0"/>
        </w:rPr>
      </w:pPr>
      <w:r>
        <w:rPr>
          <w:snapToGrid w:val="0"/>
        </w:rPr>
        <w:tab/>
        <w:t>(ii)</w:t>
      </w:r>
      <w:r>
        <w:rPr>
          <w:snapToGrid w:val="0"/>
        </w:rPr>
        <w:tab/>
        <w:t xml:space="preserve">where the transaction was initially entered into in a previous financial year, the estimated assets </w:t>
      </w:r>
      <w:r>
        <w:rPr>
          <w:snapToGrid w:val="0"/>
        </w:rPr>
        <w:lastRenderedPageBreak/>
        <w:t>and liabilities at 1 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 xml:space="preserve">in relation to fees, expenses or allowances proposed to be paid to council members, the mayor or the </w:t>
      </w:r>
      <w:r>
        <w:t xml:space="preserve">president, for each person — </w:t>
      </w:r>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r>
      <w:r>
        <w:rPr>
          <w:snapToGrid w:val="0"/>
        </w:rPr>
        <w:tab/>
        <w:t>and</w:t>
      </w:r>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Gazette 20 Jun 1997 p. 2840; 31 Mar 2005 p. 1048 and 1053; 20 Jun 2008 p. 2723; SL 2020/213 r. 32.]</w:t>
      </w:r>
    </w:p>
    <w:p>
      <w:pPr>
        <w:pStyle w:val="Heading5"/>
        <w:rPr>
          <w:snapToGrid w:val="0"/>
        </w:rPr>
      </w:pPr>
      <w:bookmarkStart w:id="47" w:name="_Toc107401899"/>
      <w:r>
        <w:rPr>
          <w:rStyle w:val="CharSectno"/>
        </w:rPr>
        <w:t>28</w:t>
      </w:r>
      <w:r>
        <w:rPr>
          <w:snapToGrid w:val="0"/>
        </w:rPr>
        <w:t>.</w:t>
      </w:r>
      <w:r>
        <w:rPr>
          <w:snapToGrid w:val="0"/>
        </w:rPr>
        <w:tab/>
        <w:t>Investment information required in notes</w:t>
      </w:r>
      <w:bookmarkEnd w:id="47"/>
    </w:p>
    <w:p>
      <w:pPr>
        <w:pStyle w:val="Subsection"/>
        <w:rPr>
          <w:snapToGrid w:val="0"/>
        </w:rPr>
      </w:pPr>
      <w:r>
        <w:rPr>
          <w:snapToGrid w:val="0"/>
        </w:rPr>
        <w:tab/>
      </w:r>
      <w:r>
        <w:rPr>
          <w:snapToGrid w:val="0"/>
        </w:rPr>
        <w:tab/>
        <w:t>The notes to the annual budget are to include, in relation to money invested by the local government, an estimate of —</w:t>
      </w:r>
    </w:p>
    <w:p>
      <w:pPr>
        <w:pStyle w:val="Indenta"/>
        <w:rPr>
          <w:snapToGrid w:val="0"/>
        </w:rPr>
      </w:pPr>
      <w:r>
        <w:rPr>
          <w:snapToGrid w:val="0"/>
        </w:rPr>
        <w:tab/>
        <w:t>(a)</w:t>
      </w:r>
      <w:r>
        <w:rPr>
          <w:snapToGrid w:val="0"/>
        </w:rPr>
        <w:tab/>
        <w:t>the amount to be earned from the investment of money held in reserve; and</w:t>
      </w:r>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48" w:name="_Toc107401900"/>
      <w:r>
        <w:rPr>
          <w:rStyle w:val="CharSectno"/>
        </w:rPr>
        <w:lastRenderedPageBreak/>
        <w:t>29</w:t>
      </w:r>
      <w:r>
        <w:rPr>
          <w:snapToGrid w:val="0"/>
        </w:rPr>
        <w:t>.</w:t>
      </w:r>
      <w:r>
        <w:rPr>
          <w:snapToGrid w:val="0"/>
        </w:rPr>
        <w:tab/>
        <w:t>Borrowings information required in notes</w:t>
      </w:r>
      <w:bookmarkEnd w:id="48"/>
    </w:p>
    <w:p>
      <w:pPr>
        <w:pStyle w:val="Subsection"/>
        <w:keepNext/>
        <w:rPr>
          <w:snapToGrid w:val="0"/>
        </w:rPr>
      </w:pPr>
      <w:r>
        <w:rPr>
          <w:snapToGrid w:val="0"/>
        </w:rPr>
        <w:tab/>
      </w:r>
      <w:r>
        <w:rPr>
          <w:snapToGrid w:val="0"/>
        </w:rPr>
        <w:tab/>
        <w:t>The notes to the annual budget are to include —</w:t>
      </w:r>
    </w:p>
    <w:p>
      <w:pPr>
        <w:pStyle w:val="Indenta"/>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 principal amount carried forward by way of overdrawings on current account (the</w:t>
      </w:r>
      <w:r>
        <w:rPr>
          <w:rStyle w:val="CharDefText"/>
        </w:rPr>
        <w:t xml:space="preserve"> overdraft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overdraft was established; and</w:t>
      </w:r>
    </w:p>
    <w:p>
      <w:pPr>
        <w:pStyle w:val="Indenti"/>
        <w:rPr>
          <w:snapToGrid w:val="0"/>
        </w:rPr>
      </w:pPr>
      <w:r>
        <w:rPr>
          <w:snapToGrid w:val="0"/>
        </w:rPr>
        <w:tab/>
        <w:t>(iii)</w:t>
      </w:r>
      <w:r>
        <w:rPr>
          <w:snapToGrid w:val="0"/>
        </w:rPr>
        <w:tab/>
        <w:t>the year in which the overdraft was first established; and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where, in the financial year to which the budget relates, it is proposed to apply all or part of any existing </w:t>
      </w:r>
      <w:r>
        <w:rPr>
          <w:snapToGrid w:val="0"/>
        </w:rPr>
        <w:lastRenderedPageBreak/>
        <w:t>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 and</w:t>
      </w:r>
    </w:p>
    <w:p>
      <w:pPr>
        <w:pStyle w:val="Indenti"/>
        <w:rPr>
          <w:snapToGrid w:val="0"/>
        </w:rPr>
      </w:pPr>
      <w:r>
        <w:rPr>
          <w:snapToGrid w:val="0"/>
        </w:rPr>
        <w:tab/>
        <w:t>(ii)</w:t>
      </w:r>
      <w:r>
        <w:rPr>
          <w:snapToGrid w:val="0"/>
        </w:rPr>
        <w:tab/>
        <w:t>the purpose to which the money is to be applied; and</w:t>
      </w:r>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 and</w:t>
      </w:r>
    </w:p>
    <w:p>
      <w:pPr>
        <w:pStyle w:val="Indenti"/>
        <w:rPr>
          <w:snapToGrid w:val="0"/>
        </w:rPr>
      </w:pPr>
      <w:r>
        <w:rPr>
          <w:snapToGrid w:val="0"/>
        </w:rPr>
        <w:tab/>
        <w:t>(ii)</w:t>
      </w:r>
      <w:r>
        <w:rPr>
          <w:snapToGrid w:val="0"/>
        </w:rPr>
        <w:tab/>
        <w:t>an estimate of the amount to be borrowed; and</w:t>
      </w:r>
    </w:p>
    <w:p>
      <w:pPr>
        <w:pStyle w:val="Indenti"/>
        <w:rPr>
          <w:snapToGrid w:val="0"/>
        </w:rPr>
      </w:pPr>
      <w:r>
        <w:rPr>
          <w:snapToGrid w:val="0"/>
        </w:rPr>
        <w:tab/>
        <w:t>(iii)</w:t>
      </w:r>
      <w:r>
        <w:rPr>
          <w:snapToGrid w:val="0"/>
        </w:rPr>
        <w:tab/>
        <w:t>the nature of the proposed financial accommodation; and</w:t>
      </w:r>
    </w:p>
    <w:p>
      <w:pPr>
        <w:pStyle w:val="Indenti"/>
        <w:rPr>
          <w:snapToGrid w:val="0"/>
        </w:rPr>
      </w:pPr>
      <w:r>
        <w:rPr>
          <w:snapToGrid w:val="0"/>
        </w:rPr>
        <w:tab/>
        <w:t>(iv)</w:t>
      </w:r>
      <w:r>
        <w:rPr>
          <w:snapToGrid w:val="0"/>
        </w:rPr>
        <w:tab/>
        <w:t>an estimate of the term of the repayment; and</w:t>
      </w:r>
    </w:p>
    <w:p>
      <w:pPr>
        <w:pStyle w:val="Indenti"/>
        <w:rPr>
          <w:snapToGrid w:val="0"/>
        </w:rPr>
      </w:pPr>
      <w:r>
        <w:rPr>
          <w:snapToGrid w:val="0"/>
        </w:rPr>
        <w:tab/>
        <w:t>(v)</w:t>
      </w:r>
      <w:r>
        <w:rPr>
          <w:snapToGrid w:val="0"/>
        </w:rPr>
        <w:tab/>
        <w:t>an estimate of the interest rate and other charges payable; and</w:t>
      </w:r>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 and</w:t>
      </w:r>
    </w:p>
    <w:p>
      <w:pPr>
        <w:pStyle w:val="Indenti"/>
        <w:rPr>
          <w:snapToGrid w:val="0"/>
        </w:rPr>
      </w:pPr>
      <w:r>
        <w:rPr>
          <w:snapToGrid w:val="0"/>
        </w:rPr>
        <w:lastRenderedPageBreak/>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 and</w:t>
      </w:r>
    </w:p>
    <w:p>
      <w:pPr>
        <w:pStyle w:val="Indenti"/>
        <w:rPr>
          <w:snapToGrid w:val="0"/>
        </w:rPr>
      </w:pPr>
      <w:r>
        <w:rPr>
          <w:snapToGrid w:val="0"/>
        </w:rPr>
        <w:tab/>
        <w:t>(ii)</w:t>
      </w:r>
      <w:r>
        <w:rPr>
          <w:snapToGrid w:val="0"/>
        </w:rPr>
        <w:tab/>
        <w:t>the amount of interest and other charges due to the lender during the financial year; and</w:t>
      </w:r>
    </w:p>
    <w:p>
      <w:pPr>
        <w:pStyle w:val="Indenti"/>
        <w:rPr>
          <w:snapToGrid w:val="0"/>
        </w:rPr>
      </w:pPr>
      <w:r>
        <w:rPr>
          <w:snapToGrid w:val="0"/>
        </w:rPr>
        <w:tab/>
        <w:t>(iii)</w:t>
      </w:r>
      <w:r>
        <w:rPr>
          <w:snapToGrid w:val="0"/>
        </w:rPr>
        <w:tab/>
        <w:t>the amount of the reduction of the principal sum to be made during the financial year; and</w:t>
      </w:r>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ind w:left="890" w:hanging="890"/>
      </w:pPr>
      <w:r>
        <w:tab/>
        <w:t>[Regulation 29 amended: Gazette 31 Mar 2005 p. 1053.]</w:t>
      </w:r>
    </w:p>
    <w:p>
      <w:pPr>
        <w:pStyle w:val="Heading5"/>
        <w:rPr>
          <w:snapToGrid w:val="0"/>
        </w:rPr>
      </w:pPr>
      <w:bookmarkStart w:id="49" w:name="_Toc107401901"/>
      <w:r>
        <w:rPr>
          <w:rStyle w:val="CharSectno"/>
        </w:rPr>
        <w:t>30</w:t>
      </w:r>
      <w:r>
        <w:rPr>
          <w:snapToGrid w:val="0"/>
        </w:rPr>
        <w:t>.</w:t>
      </w:r>
      <w:r>
        <w:rPr>
          <w:snapToGrid w:val="0"/>
        </w:rPr>
        <w:tab/>
        <w:t>Previous financial year figures to be shown for comparison</w:t>
      </w:r>
      <w:bookmarkEnd w:id="49"/>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lastRenderedPageBreak/>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Gazette 20 Jun 1997 p. 2840; 20 Jun 2008 p. 2723.]</w:t>
      </w:r>
    </w:p>
    <w:p>
      <w:pPr>
        <w:pStyle w:val="Heading5"/>
        <w:rPr>
          <w:snapToGrid w:val="0"/>
        </w:rPr>
      </w:pPr>
      <w:bookmarkStart w:id="50" w:name="_Toc107401902"/>
      <w:r>
        <w:rPr>
          <w:rStyle w:val="CharSectno"/>
        </w:rPr>
        <w:t>31</w:t>
      </w:r>
      <w:r>
        <w:rPr>
          <w:snapToGrid w:val="0"/>
        </w:rPr>
        <w:t>.</w:t>
      </w:r>
      <w:r>
        <w:rPr>
          <w:snapToGrid w:val="0"/>
        </w:rPr>
        <w:tab/>
        <w:t>Net current assets at start of financial year to be shown</w:t>
      </w:r>
      <w:bookmarkEnd w:id="50"/>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 Gazette 20 Jun 1997 p. 2840</w:t>
      </w:r>
      <w:r>
        <w:noBreakHyphen/>
        <w:t>1.]</w:t>
      </w:r>
    </w:p>
    <w:p>
      <w:pPr>
        <w:pStyle w:val="Heading5"/>
        <w:rPr>
          <w:snapToGrid w:val="0"/>
        </w:rPr>
      </w:pPr>
      <w:bookmarkStart w:id="51" w:name="_Toc107401903"/>
      <w:r>
        <w:rPr>
          <w:rStyle w:val="CharSectno"/>
        </w:rPr>
        <w:lastRenderedPageBreak/>
        <w:t>32</w:t>
      </w:r>
      <w:r>
        <w:rPr>
          <w:snapToGrid w:val="0"/>
        </w:rPr>
        <w:t>.</w:t>
      </w:r>
      <w:r>
        <w:rPr>
          <w:snapToGrid w:val="0"/>
        </w:rPr>
        <w:tab/>
        <w:t>Amounts which may be excluded when calculating budget deficiency (Act s. </w:t>
      </w:r>
      <w:r>
        <w:rPr>
          <w:rStyle w:val="CharSectno"/>
        </w:rPr>
        <w:t>6</w:t>
      </w:r>
      <w:r>
        <w:rPr>
          <w:snapToGrid w:val="0"/>
        </w:rPr>
        <w:t>.2(3))</w:t>
      </w:r>
      <w:bookmarkEnd w:id="51"/>
    </w:p>
    <w:p>
      <w:pPr>
        <w:pStyle w:val="Subsection"/>
        <w:rPr>
          <w:snapToGrid w:val="0"/>
        </w:rPr>
      </w:pPr>
      <w:r>
        <w:rPr>
          <w:snapToGrid w:val="0"/>
        </w:rPr>
        <w:tab/>
      </w:r>
      <w:r>
        <w:rPr>
          <w:snapToGrid w:val="0"/>
        </w:rPr>
        <w:tab/>
        <w:t>A local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 and</w:t>
      </w:r>
    </w:p>
    <w:p>
      <w:pPr>
        <w:pStyle w:val="Indenta"/>
        <w:rPr>
          <w:snapToGrid w:val="0"/>
        </w:rPr>
      </w:pPr>
      <w:r>
        <w:rPr>
          <w:snapToGrid w:val="0"/>
        </w:rPr>
        <w:tab/>
        <w:t>(b)</w:t>
      </w:r>
      <w:r>
        <w:rPr>
          <w:snapToGrid w:val="0"/>
        </w:rPr>
        <w:tab/>
        <w:t>reserves, to the extent that they are proposed in the annual budget to remain unspent at the end of the financial year; and</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 and</w:t>
      </w:r>
    </w:p>
    <w:p>
      <w:pPr>
        <w:pStyle w:val="Indenta"/>
        <w:rPr>
          <w:snapToGrid w:val="0"/>
        </w:rPr>
      </w:pPr>
      <w:r>
        <w:rPr>
          <w:snapToGrid w:val="0"/>
        </w:rPr>
        <w:tab/>
        <w:t>(d)</w:t>
      </w:r>
      <w:r>
        <w:rPr>
          <w:snapToGrid w:val="0"/>
        </w:rPr>
        <w:tab/>
        <w:t>any proposed amounts of depreciation of non</w:t>
      </w:r>
      <w:r>
        <w:rPr>
          <w:snapToGrid w:val="0"/>
        </w:rPr>
        <w:noBreakHyphen/>
        <w:t>current assets; and</w:t>
      </w:r>
    </w:p>
    <w:p>
      <w:pPr>
        <w:pStyle w:val="Indenta"/>
        <w:rPr>
          <w:snapToGrid w:val="0"/>
        </w:rPr>
      </w:pPr>
      <w:r>
        <w:rPr>
          <w:snapToGrid w:val="0"/>
        </w:rPr>
        <w:tab/>
        <w:t>(e)</w:t>
      </w:r>
      <w:r>
        <w:rPr>
          <w:snapToGrid w:val="0"/>
        </w:rPr>
        <w:tab/>
        <w:t>assets from grants or gifts or non</w:t>
      </w:r>
      <w:r>
        <w:rPr>
          <w:snapToGrid w:val="0"/>
        </w:rPr>
        <w:noBreakHyphen/>
        <w:t>cash revenue or expenditure; and</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52" w:name="_Toc107401904"/>
      <w:r>
        <w:rPr>
          <w:rStyle w:val="CharSectno"/>
        </w:rPr>
        <w:t>33</w:t>
      </w:r>
      <w:r>
        <w:rPr>
          <w:snapToGrid w:val="0"/>
        </w:rPr>
        <w:t>.</w:t>
      </w:r>
      <w:r>
        <w:rPr>
          <w:snapToGrid w:val="0"/>
        </w:rPr>
        <w:tab/>
        <w:t>Annual budget to be lodged with Department</w:t>
      </w:r>
      <w:bookmarkEnd w:id="52"/>
    </w:p>
    <w:p>
      <w:pPr>
        <w:pStyle w:val="Subsection"/>
        <w:rPr>
          <w:snapToGrid w:val="0"/>
        </w:rPr>
      </w:pPr>
      <w:r>
        <w:rPr>
          <w:snapToGrid w:val="0"/>
        </w:rPr>
        <w:tab/>
      </w:r>
      <w:r>
        <w:rPr>
          <w:snapToGrid w:val="0"/>
        </w:rPr>
        <w:tab/>
        <w:t xml:space="preserve">A copy of the annual budget of a local government is to be submitted to the </w:t>
      </w:r>
      <w:r>
        <w:t>Departmental CEO</w:t>
      </w:r>
      <w:r>
        <w:rPr>
          <w:snapToGrid w:val="0"/>
        </w:rPr>
        <w:t xml:space="preserve"> within 30 days of its adoption by the local government.</w:t>
      </w:r>
    </w:p>
    <w:p>
      <w:pPr>
        <w:pStyle w:val="Footnotesection"/>
      </w:pPr>
      <w:r>
        <w:tab/>
        <w:t>[Regulation 33 amended: Gazette 20 Jun 2008 p. 2723.]</w:t>
      </w:r>
    </w:p>
    <w:p>
      <w:pPr>
        <w:pStyle w:val="Heading5"/>
      </w:pPr>
      <w:bookmarkStart w:id="53" w:name="_Toc107401905"/>
      <w:r>
        <w:rPr>
          <w:rStyle w:val="CharSectno"/>
        </w:rPr>
        <w:lastRenderedPageBreak/>
        <w:t>33A</w:t>
      </w:r>
      <w:r>
        <w:t>.</w:t>
      </w:r>
      <w:r>
        <w:tab/>
        <w:t>Review of budget</w:t>
      </w:r>
      <w:bookmarkEnd w:id="53"/>
    </w:p>
    <w:p>
      <w:pPr>
        <w:pStyle w:val="Subsection"/>
      </w:pPr>
      <w:r>
        <w:tab/>
        <w:t>(1)</w:t>
      </w:r>
      <w:r>
        <w:tab/>
        <w:t>Between 1 January and 31 March in each financial year a local government is to carry out a review of its annual budget for that year.</w:t>
      </w:r>
    </w:p>
    <w:p>
      <w:pPr>
        <w:pStyle w:val="Subsection"/>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w:t>
      </w:r>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MiscellaneousBody"/>
        <w:tabs>
          <w:tab w:val="left" w:pos="851"/>
        </w:tabs>
        <w:rPr>
          <w:rFonts w:ascii="Arial" w:hAnsi="Arial" w:cs="Arial"/>
          <w:sz w:val="18"/>
          <w:szCs w:val="18"/>
        </w:rPr>
      </w:pPr>
      <w:r>
        <w:rPr>
          <w:rFonts w:ascii="Arial" w:hAnsi="Arial" w:cs="Arial"/>
          <w:sz w:val="18"/>
          <w:szCs w:val="18"/>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 33A inserted: Gazette 31 Mar 2005 p. 1048</w:t>
      </w:r>
      <w:r>
        <w:noBreakHyphen/>
        <w:t>9; amended: Gazette 20 Jun 2008 p. 2723-4.]</w:t>
      </w:r>
    </w:p>
    <w:p>
      <w:pPr>
        <w:pStyle w:val="Heading2"/>
      </w:pPr>
      <w:bookmarkStart w:id="54" w:name="_Toc107223007"/>
      <w:bookmarkStart w:id="55" w:name="_Toc107223656"/>
      <w:bookmarkStart w:id="56" w:name="_Toc107401906"/>
      <w:r>
        <w:rPr>
          <w:rStyle w:val="CharPartNo"/>
        </w:rPr>
        <w:lastRenderedPageBreak/>
        <w:t>Part 4</w:t>
      </w:r>
      <w:r>
        <w:rPr>
          <w:rStyle w:val="CharDivNo"/>
        </w:rPr>
        <w:t> </w:t>
      </w:r>
      <w:r>
        <w:t>—</w:t>
      </w:r>
      <w:r>
        <w:rPr>
          <w:rStyle w:val="CharDivText"/>
        </w:rPr>
        <w:t> </w:t>
      </w:r>
      <w:r>
        <w:rPr>
          <w:rStyle w:val="CharPartText"/>
        </w:rPr>
        <w:t>Financial reports — s. 6.4</w:t>
      </w:r>
      <w:bookmarkEnd w:id="54"/>
      <w:bookmarkEnd w:id="55"/>
      <w:bookmarkEnd w:id="56"/>
    </w:p>
    <w:p>
      <w:pPr>
        <w:pStyle w:val="Heading5"/>
      </w:pPr>
      <w:bookmarkStart w:id="57" w:name="_Toc107401907"/>
      <w:r>
        <w:rPr>
          <w:rStyle w:val="CharSectno"/>
        </w:rPr>
        <w:t>34</w:t>
      </w:r>
      <w:r>
        <w:t>.</w:t>
      </w:r>
      <w:r>
        <w:tab/>
        <w:t>Financial activity statement required each month (Act s. 6.4)</w:t>
      </w:r>
      <w:bookmarkEnd w:id="57"/>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A local government is to prepare each month a statement of financial activity reporting on the revenue and expenditure, as set out in the annual budget under regulation 22(1)(d), for that month in the following detail —</w:t>
      </w:r>
    </w:p>
    <w:p>
      <w:pPr>
        <w:pStyle w:val="Indenta"/>
      </w:pPr>
      <w:r>
        <w:tab/>
        <w:t>(a)</w:t>
      </w:r>
      <w:r>
        <w:tab/>
        <w:t>annual budget estimates, taking into account any expenditure incurred for an additional purpose under section 6.8(1)(b) or (c); and</w:t>
      </w:r>
    </w:p>
    <w:p>
      <w:pPr>
        <w:pStyle w:val="Indenta"/>
      </w:pPr>
      <w:r>
        <w:tab/>
        <w:t>(b)</w:t>
      </w:r>
      <w:r>
        <w:tab/>
        <w:t>budget estimates to the end of the month to which the statement relates; and</w:t>
      </w:r>
    </w:p>
    <w:p>
      <w:pPr>
        <w:pStyle w:val="Indenta"/>
      </w:pPr>
      <w:r>
        <w:tab/>
        <w:t>(c)</w:t>
      </w:r>
      <w:r>
        <w:tab/>
        <w:t>actual amounts of expenditure, revenue and income to the end of the month to which the statement relates; and</w:t>
      </w:r>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Each statement of financial activity is to be accompanied by documents containing —</w:t>
      </w:r>
    </w:p>
    <w:p>
      <w:pPr>
        <w:pStyle w:val="Indenta"/>
      </w:pPr>
      <w:r>
        <w:tab/>
        <w:t>(a)</w:t>
      </w:r>
      <w:r>
        <w:tab/>
        <w:t>an explanation of the composition of the net current assets of the month to which the statement relates, less committed assets and restricted assets; and</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pPr>
      <w:r>
        <w:tab/>
        <w:t>(3)</w:t>
      </w:r>
      <w:r>
        <w:tab/>
        <w:t>The information in a statement of financial activity must be shown according to nature or type classification.</w:t>
      </w:r>
    </w:p>
    <w:p>
      <w:pPr>
        <w:pStyle w:val="Subsection"/>
        <w:keepNext/>
      </w:pPr>
      <w:r>
        <w:lastRenderedPageBreak/>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month to which the statement relates; and</w:t>
      </w:r>
    </w:p>
    <w:p>
      <w:pPr>
        <w:pStyle w:val="Indenta"/>
      </w:pPr>
      <w:r>
        <w:tab/>
        <w:t>(b)</w:t>
      </w:r>
      <w:r>
        <w:tab/>
        <w:t>recorded in the minutes of the meeting at which it is presented.</w:t>
      </w:r>
    </w:p>
    <w:p>
      <w:pPr>
        <w:pStyle w:val="Subsection"/>
        <w:keepNext/>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r>
      <w:r>
        <w:tab/>
        <w:t>[Regulation 34 inserted: Gazette 31 Mar 2005 p. 1049</w:t>
      </w:r>
      <w:r>
        <w:noBreakHyphen/>
        <w:t>50; amended: Gazette 20 Jun 2008 p. 2724; SL 2022/88 r. 8.]</w:t>
      </w:r>
    </w:p>
    <w:p>
      <w:pPr>
        <w:pStyle w:val="Ednotesection"/>
      </w:pPr>
      <w:r>
        <w:t>[</w:t>
      </w:r>
      <w:r>
        <w:rPr>
          <w:b/>
          <w:bCs/>
        </w:rPr>
        <w:t>35.</w:t>
      </w:r>
      <w:r>
        <w:tab/>
        <w:t>Deleted: Gazette 31 Mar 2005 p. 1050.]</w:t>
      </w:r>
    </w:p>
    <w:p>
      <w:pPr>
        <w:pStyle w:val="Heading5"/>
        <w:rPr>
          <w:snapToGrid w:val="0"/>
        </w:rPr>
      </w:pPr>
      <w:bookmarkStart w:id="58" w:name="_Toc107401908"/>
      <w:r>
        <w:rPr>
          <w:rStyle w:val="CharSectno"/>
        </w:rPr>
        <w:t>36</w:t>
      </w:r>
      <w:r>
        <w:rPr>
          <w:snapToGrid w:val="0"/>
        </w:rPr>
        <w:t>.</w:t>
      </w:r>
      <w:r>
        <w:rPr>
          <w:snapToGrid w:val="0"/>
        </w:rPr>
        <w:tab/>
        <w:t>Annual financial report, content of (Act s. 6.4(2))</w:t>
      </w:r>
      <w:bookmarkEnd w:id="58"/>
    </w:p>
    <w:p>
      <w:pPr>
        <w:pStyle w:val="Subsection"/>
        <w:keepNext/>
        <w:rPr>
          <w:snapToGrid w:val="0"/>
        </w:rPr>
      </w:pPr>
      <w:r>
        <w:rPr>
          <w:snapToGrid w:val="0"/>
        </w:rPr>
        <w:tab/>
        <w:t>(1)</w:t>
      </w:r>
      <w:r>
        <w:rPr>
          <w:snapToGrid w:val="0"/>
        </w:rPr>
        <w:tab/>
        <w:t>The annual financial report is to include —</w:t>
      </w:r>
    </w:p>
    <w:p>
      <w:pPr>
        <w:pStyle w:val="Indenta"/>
        <w:rPr>
          <w:snapToGrid w:val="0"/>
        </w:rPr>
      </w:pPr>
      <w:r>
        <w:rPr>
          <w:snapToGrid w:val="0"/>
        </w:rPr>
        <w:tab/>
        <w:t>(a)</w:t>
      </w:r>
      <w:r>
        <w:rPr>
          <w:snapToGrid w:val="0"/>
        </w:rPr>
        <w:tab/>
        <w:t xml:space="preserve">a statement setting out all movements of money to and from reserve accounts which has not been included in the </w:t>
      </w:r>
      <w:r>
        <w:t>income</w:t>
      </w:r>
      <w:r>
        <w:rPr>
          <w:snapToGrid w:val="0"/>
        </w:rPr>
        <w:t xml:space="preserve"> statement but which has been included in the rate setting statement; and</w:t>
      </w:r>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 and</w:t>
      </w:r>
    </w:p>
    <w:p>
      <w:pPr>
        <w:pStyle w:val="Ednotepara"/>
        <w:keepNext/>
        <w:spacing w:before="80"/>
        <w:rPr>
          <w:snapToGrid w:val="0"/>
        </w:rPr>
      </w:pPr>
      <w:r>
        <w:rPr>
          <w:snapToGrid w:val="0"/>
        </w:rPr>
        <w:tab/>
        <w:t>[(c), (d)</w:t>
      </w:r>
      <w:r>
        <w:rPr>
          <w:snapToGrid w:val="0"/>
        </w:rPr>
        <w:tab/>
        <w:t>deleted]</w:t>
      </w:r>
    </w:p>
    <w:p>
      <w:pPr>
        <w:pStyle w:val="Indenta"/>
        <w:keepNext/>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the sale price of that class of assets; and</w:t>
      </w:r>
    </w:p>
    <w:p>
      <w:pPr>
        <w:pStyle w:val="Indenti"/>
        <w:keepNext/>
        <w:rPr>
          <w:snapToGrid w:val="0"/>
        </w:rPr>
      </w:pPr>
      <w:r>
        <w:rPr>
          <w:snapToGrid w:val="0"/>
        </w:rPr>
        <w:lastRenderedPageBreak/>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notes or statements containing the information set forth in regulations 37 to </w:t>
      </w:r>
      <w:r>
        <w:t>49.</w:t>
      </w:r>
    </w:p>
    <w:p>
      <w:pPr>
        <w:pStyle w:val="Subsection"/>
        <w:keepNext/>
      </w:pPr>
      <w:r>
        <w:tab/>
        <w:t>(2)</w:t>
      </w:r>
      <w:r>
        <w:tab/>
        <w:t>The annual financial report is to include the following —</w:t>
      </w:r>
    </w:p>
    <w:p>
      <w:pPr>
        <w:pStyle w:val="Indenta"/>
      </w:pPr>
      <w:r>
        <w:tab/>
        <w:t>(a)</w:t>
      </w:r>
      <w:r>
        <w:tab/>
        <w:t>the rate setting statement included under regulation 22(1)(d) in the annual budget for the year to which the report relates;</w:t>
      </w:r>
    </w:p>
    <w:p>
      <w:pPr>
        <w:pStyle w:val="Indenta"/>
      </w:pPr>
      <w:r>
        <w:tab/>
        <w:t>(b)</w:t>
      </w:r>
      <w:r>
        <w:tab/>
        <w:t>adjacent to each item in that rate setting statement that states an amount, the end-of-year amount for the item;</w:t>
      </w:r>
    </w:p>
    <w:p>
      <w:pPr>
        <w:pStyle w:val="Indenta"/>
      </w:pPr>
      <w:r>
        <w:tab/>
        <w:t>(c)</w:t>
      </w:r>
      <w:r>
        <w:tab/>
        <w:t>adjacent to each item in the income statement that states an end-of-year amount, the original or amended budget estimate for the item;</w:t>
      </w:r>
    </w:p>
    <w:p>
      <w:pPr>
        <w:pStyle w:val="Indenta"/>
        <w:keepNext/>
      </w:pPr>
      <w:r>
        <w:tab/>
        <w:t>(d)</w:t>
      </w:r>
      <w:r>
        <w:tab/>
        <w:t>adjacent to each item that states an end-of-year amount required by a provision of these regulations listed in the Table to this subregulation, the original or amended budget estimate for the item.</w:t>
      </w:r>
    </w:p>
    <w:p>
      <w:pPr>
        <w:pStyle w:val="MiscellaneousHeading"/>
      </w:pPr>
      <w:r>
        <w:rPr>
          <w:b/>
        </w:rPr>
        <w:t>Table</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1748"/>
        <w:gridCol w:w="1748"/>
        <w:gridCol w:w="1749"/>
      </w:tblGrid>
      <w:tr>
        <w:trPr>
          <w:tblHeader/>
        </w:trPr>
        <w:tc>
          <w:tcPr>
            <w:tcW w:w="1748" w:type="dxa"/>
            <w:tcBorders>
              <w:top w:val="single" w:sz="4" w:space="0" w:color="auto"/>
              <w:bottom w:val="single" w:sz="4" w:space="0" w:color="auto"/>
            </w:tcBorders>
          </w:tcPr>
          <w:p>
            <w:pPr>
              <w:pStyle w:val="Table"/>
              <w:spacing w:before="0"/>
            </w:pPr>
            <w:r>
              <w:rPr>
                <w:b/>
              </w:rPr>
              <w:t xml:space="preserve">Provision </w:t>
            </w:r>
          </w:p>
        </w:tc>
        <w:tc>
          <w:tcPr>
            <w:tcW w:w="1748" w:type="dxa"/>
            <w:tcBorders>
              <w:top w:val="single" w:sz="4" w:space="0" w:color="auto"/>
              <w:bottom w:val="single" w:sz="4" w:space="0" w:color="auto"/>
            </w:tcBorders>
          </w:tcPr>
          <w:p>
            <w:pPr>
              <w:pStyle w:val="Table"/>
              <w:spacing w:before="0"/>
            </w:pPr>
            <w:r>
              <w:rPr>
                <w:b/>
              </w:rPr>
              <w:t>Provision</w:t>
            </w:r>
          </w:p>
        </w:tc>
        <w:tc>
          <w:tcPr>
            <w:tcW w:w="1749" w:type="dxa"/>
            <w:tcBorders>
              <w:top w:val="single" w:sz="4" w:space="0" w:color="auto"/>
              <w:bottom w:val="single" w:sz="4" w:space="0" w:color="auto"/>
            </w:tcBorders>
          </w:tcPr>
          <w:p>
            <w:pPr>
              <w:pStyle w:val="Table"/>
              <w:spacing w:before="0"/>
            </w:pPr>
            <w:r>
              <w:rPr>
                <w:b/>
              </w:rPr>
              <w:t>Provision</w:t>
            </w:r>
          </w:p>
        </w:tc>
      </w:tr>
      <w:tr>
        <w:tc>
          <w:tcPr>
            <w:tcW w:w="1748" w:type="dxa"/>
          </w:tcPr>
          <w:p>
            <w:pPr>
              <w:pStyle w:val="Table"/>
            </w:pPr>
            <w:r>
              <w:t>r. 36(1)(a)</w:t>
            </w:r>
          </w:p>
        </w:tc>
        <w:tc>
          <w:tcPr>
            <w:tcW w:w="1748" w:type="dxa"/>
          </w:tcPr>
          <w:p>
            <w:pPr>
              <w:pStyle w:val="Table"/>
            </w:pPr>
            <w:r>
              <w:t>r. 36(1)(e)</w:t>
            </w:r>
          </w:p>
        </w:tc>
        <w:tc>
          <w:tcPr>
            <w:tcW w:w="1749" w:type="dxa"/>
          </w:tcPr>
          <w:p>
            <w:pPr>
              <w:pStyle w:val="Table"/>
            </w:pPr>
            <w:r>
              <w:t>r. 38(1)(b)</w:t>
            </w:r>
          </w:p>
        </w:tc>
      </w:tr>
      <w:tr>
        <w:tc>
          <w:tcPr>
            <w:tcW w:w="1748" w:type="dxa"/>
          </w:tcPr>
          <w:p>
            <w:pPr>
              <w:pStyle w:val="Table"/>
            </w:pPr>
            <w:r>
              <w:t>r. 38(1)(c)</w:t>
            </w:r>
          </w:p>
        </w:tc>
        <w:tc>
          <w:tcPr>
            <w:tcW w:w="1748" w:type="dxa"/>
          </w:tcPr>
          <w:p>
            <w:pPr>
              <w:pStyle w:val="Table"/>
            </w:pPr>
            <w:r>
              <w:t>r. 38(1)(e)</w:t>
            </w:r>
          </w:p>
        </w:tc>
        <w:tc>
          <w:tcPr>
            <w:tcW w:w="1749" w:type="dxa"/>
          </w:tcPr>
          <w:p>
            <w:pPr>
              <w:pStyle w:val="Table"/>
            </w:pPr>
            <w:r>
              <w:t>r. 39(a)</w:t>
            </w:r>
          </w:p>
        </w:tc>
      </w:tr>
      <w:tr>
        <w:tc>
          <w:tcPr>
            <w:tcW w:w="1748" w:type="dxa"/>
          </w:tcPr>
          <w:p>
            <w:pPr>
              <w:pStyle w:val="Table"/>
            </w:pPr>
            <w:r>
              <w:t>r. 39(b)(v)</w:t>
            </w:r>
          </w:p>
        </w:tc>
        <w:tc>
          <w:tcPr>
            <w:tcW w:w="1748" w:type="dxa"/>
          </w:tcPr>
          <w:p>
            <w:pPr>
              <w:pStyle w:val="Table"/>
            </w:pPr>
            <w:r>
              <w:t>r. 39(d)(iv)</w:t>
            </w:r>
          </w:p>
        </w:tc>
        <w:tc>
          <w:tcPr>
            <w:tcW w:w="1749" w:type="dxa"/>
          </w:tcPr>
          <w:p>
            <w:pPr>
              <w:pStyle w:val="Table"/>
            </w:pPr>
            <w:r>
              <w:t>r. 39(e)(vi)</w:t>
            </w:r>
          </w:p>
        </w:tc>
      </w:tr>
      <w:tr>
        <w:tc>
          <w:tcPr>
            <w:tcW w:w="1748" w:type="dxa"/>
          </w:tcPr>
          <w:p>
            <w:pPr>
              <w:pStyle w:val="Table"/>
            </w:pPr>
            <w:r>
              <w:t>r. 39(e)(vii)</w:t>
            </w:r>
          </w:p>
        </w:tc>
        <w:tc>
          <w:tcPr>
            <w:tcW w:w="1748" w:type="dxa"/>
          </w:tcPr>
          <w:p>
            <w:pPr>
              <w:pStyle w:val="Table"/>
            </w:pPr>
            <w:r>
              <w:t>r. 40(d)</w:t>
            </w:r>
          </w:p>
        </w:tc>
        <w:tc>
          <w:tcPr>
            <w:tcW w:w="1749" w:type="dxa"/>
          </w:tcPr>
          <w:p>
            <w:pPr>
              <w:pStyle w:val="Table"/>
            </w:pPr>
            <w:r>
              <w:t>r. 40(e)</w:t>
            </w:r>
          </w:p>
        </w:tc>
      </w:tr>
      <w:tr>
        <w:tc>
          <w:tcPr>
            <w:tcW w:w="1748" w:type="dxa"/>
          </w:tcPr>
          <w:p>
            <w:pPr>
              <w:pStyle w:val="Table"/>
            </w:pPr>
            <w:r>
              <w:t>r. 42(2)</w:t>
            </w:r>
          </w:p>
        </w:tc>
        <w:tc>
          <w:tcPr>
            <w:tcW w:w="1748" w:type="dxa"/>
          </w:tcPr>
          <w:p>
            <w:pPr>
              <w:pStyle w:val="Table"/>
            </w:pPr>
            <w:r>
              <w:t>r. 43(a)(ii)</w:t>
            </w:r>
          </w:p>
        </w:tc>
        <w:tc>
          <w:tcPr>
            <w:tcW w:w="1749" w:type="dxa"/>
          </w:tcPr>
          <w:p>
            <w:pPr>
              <w:pStyle w:val="Table"/>
            </w:pPr>
            <w:r>
              <w:t>r. 43(b)(ii)</w:t>
            </w:r>
          </w:p>
        </w:tc>
      </w:tr>
      <w:tr>
        <w:tc>
          <w:tcPr>
            <w:tcW w:w="1748" w:type="dxa"/>
          </w:tcPr>
          <w:p>
            <w:pPr>
              <w:pStyle w:val="Table"/>
            </w:pPr>
            <w:r>
              <w:t>r. 43(c)(iv)</w:t>
            </w:r>
          </w:p>
        </w:tc>
        <w:tc>
          <w:tcPr>
            <w:tcW w:w="1748" w:type="dxa"/>
          </w:tcPr>
          <w:p>
            <w:pPr>
              <w:pStyle w:val="Table"/>
            </w:pPr>
            <w:r>
              <w:t>r. 44(b)</w:t>
            </w:r>
          </w:p>
        </w:tc>
        <w:tc>
          <w:tcPr>
            <w:tcW w:w="1749" w:type="dxa"/>
          </w:tcPr>
          <w:p>
            <w:pPr>
              <w:pStyle w:val="Table"/>
            </w:pPr>
            <w:r>
              <w:t>r. 45(a)(i)</w:t>
            </w:r>
          </w:p>
        </w:tc>
      </w:tr>
      <w:tr>
        <w:tc>
          <w:tcPr>
            <w:tcW w:w="1748" w:type="dxa"/>
          </w:tcPr>
          <w:p>
            <w:pPr>
              <w:pStyle w:val="Table"/>
              <w:keepNext/>
            </w:pPr>
            <w:r>
              <w:t>r. 45(b)</w:t>
            </w:r>
          </w:p>
        </w:tc>
        <w:tc>
          <w:tcPr>
            <w:tcW w:w="1748" w:type="dxa"/>
          </w:tcPr>
          <w:p>
            <w:pPr>
              <w:pStyle w:val="Table"/>
              <w:keepNext/>
            </w:pPr>
            <w:r>
              <w:t>r. 46(a)</w:t>
            </w:r>
          </w:p>
        </w:tc>
        <w:tc>
          <w:tcPr>
            <w:tcW w:w="1749" w:type="dxa"/>
          </w:tcPr>
          <w:p>
            <w:pPr>
              <w:pStyle w:val="Table"/>
              <w:keepNext/>
            </w:pPr>
            <w:r>
              <w:t>r. 48(d)(i)</w:t>
            </w:r>
          </w:p>
        </w:tc>
      </w:tr>
      <w:tr>
        <w:tc>
          <w:tcPr>
            <w:tcW w:w="1748" w:type="dxa"/>
            <w:tcBorders>
              <w:bottom w:val="single" w:sz="4" w:space="0" w:color="auto"/>
            </w:tcBorders>
          </w:tcPr>
          <w:p>
            <w:pPr>
              <w:pStyle w:val="Table"/>
              <w:keepNext/>
            </w:pPr>
            <w:r>
              <w:t>r. 48(d)(vii)</w:t>
            </w:r>
          </w:p>
        </w:tc>
        <w:tc>
          <w:tcPr>
            <w:tcW w:w="1748" w:type="dxa"/>
            <w:tcBorders>
              <w:bottom w:val="single" w:sz="4" w:space="0" w:color="auto"/>
            </w:tcBorders>
          </w:tcPr>
          <w:p>
            <w:pPr>
              <w:pStyle w:val="Table"/>
              <w:keepNext/>
            </w:pPr>
            <w:r>
              <w:t>r. 48(f)(ii)-(v)</w:t>
            </w:r>
          </w:p>
        </w:tc>
        <w:tc>
          <w:tcPr>
            <w:tcW w:w="1749" w:type="dxa"/>
            <w:tcBorders>
              <w:bottom w:val="single" w:sz="4" w:space="0" w:color="auto"/>
            </w:tcBorders>
          </w:tcPr>
          <w:p>
            <w:pPr>
              <w:pStyle w:val="Table"/>
              <w:keepNext/>
            </w:pPr>
            <w:r>
              <w:t>r. 49</w:t>
            </w:r>
          </w:p>
        </w:tc>
      </w:tr>
    </w:tbl>
    <w:p>
      <w:pPr>
        <w:pStyle w:val="Footnotesection"/>
      </w:pPr>
      <w:r>
        <w:tab/>
        <w:t>[Regulation 36 amended: Gazette 20 Jun 1997 p. 2842; 19 Jun 1998 p. 3282; 31 Mar 2005 p. 1050</w:t>
      </w:r>
      <w:r>
        <w:noBreakHyphen/>
        <w:t>1; 20 Jun 2008 p. 2724-5; SL 2022/88 r. 9.]</w:t>
      </w:r>
    </w:p>
    <w:p>
      <w:pPr>
        <w:pStyle w:val="Heading5"/>
        <w:rPr>
          <w:snapToGrid w:val="0"/>
        </w:rPr>
      </w:pPr>
      <w:bookmarkStart w:id="59" w:name="_Toc107401909"/>
      <w:r>
        <w:rPr>
          <w:rStyle w:val="CharSectno"/>
        </w:rPr>
        <w:lastRenderedPageBreak/>
        <w:t>37</w:t>
      </w:r>
      <w:r>
        <w:rPr>
          <w:snapToGrid w:val="0"/>
        </w:rPr>
        <w:t>.</w:t>
      </w:r>
      <w:r>
        <w:rPr>
          <w:snapToGrid w:val="0"/>
        </w:rPr>
        <w:tab/>
        <w:t>Trust fund, information about in annual financial report</w:t>
      </w:r>
      <w:bookmarkEnd w:id="59"/>
    </w:p>
    <w:p>
      <w:pPr>
        <w:pStyle w:val="Subsection"/>
        <w:keepNext/>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 and</w:t>
      </w:r>
    </w:p>
    <w:p>
      <w:pPr>
        <w:pStyle w:val="Indenta"/>
        <w:rPr>
          <w:snapToGrid w:val="0"/>
        </w:rPr>
      </w:pPr>
      <w:r>
        <w:rPr>
          <w:snapToGrid w:val="0"/>
        </w:rPr>
        <w:tab/>
        <w:t>(b)</w:t>
      </w:r>
      <w:r>
        <w:rPr>
          <w:snapToGrid w:val="0"/>
        </w:rPr>
        <w:tab/>
        <w:t>the amounts received during the financial year; and</w:t>
      </w:r>
    </w:p>
    <w:p>
      <w:pPr>
        <w:pStyle w:val="Indenta"/>
        <w:rPr>
          <w:snapToGrid w:val="0"/>
        </w:rPr>
      </w:pPr>
      <w:r>
        <w:rPr>
          <w:snapToGrid w:val="0"/>
        </w:rPr>
        <w:tab/>
        <w:t>(c)</w:t>
      </w:r>
      <w:r>
        <w:rPr>
          <w:snapToGrid w:val="0"/>
        </w:rPr>
        <w:tab/>
        <w:t>the purpose for which the money was held or received; and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60" w:name="_Toc107401910"/>
      <w:r>
        <w:rPr>
          <w:rStyle w:val="CharSectno"/>
        </w:rPr>
        <w:t>38</w:t>
      </w:r>
      <w:r>
        <w:rPr>
          <w:snapToGrid w:val="0"/>
        </w:rPr>
        <w:t>.</w:t>
      </w:r>
      <w:r>
        <w:rPr>
          <w:snapToGrid w:val="0"/>
        </w:rPr>
        <w:tab/>
        <w:t>Reserve accounts, information about in annual financial report</w:t>
      </w:r>
      <w:bookmarkEnd w:id="60"/>
    </w:p>
    <w:p>
      <w:pPr>
        <w:pStyle w:val="Subsection"/>
        <w:keepNext/>
        <w:rPr>
          <w:snapToGrid w:val="0"/>
        </w:rPr>
      </w:pPr>
      <w:r>
        <w:rPr>
          <w:snapToGrid w:val="0"/>
        </w:rPr>
        <w:tab/>
        <w:t>(1)</w:t>
      </w:r>
      <w:r>
        <w:rPr>
          <w:snapToGrid w:val="0"/>
        </w:rPr>
        <w:tab/>
        <w:t>In relation to each reserve account, the annual financial report is to include details of —</w:t>
      </w:r>
    </w:p>
    <w:p>
      <w:pPr>
        <w:pStyle w:val="Indenta"/>
        <w:rPr>
          <w:snapToGrid w:val="0"/>
        </w:rPr>
      </w:pPr>
      <w:r>
        <w:rPr>
          <w:snapToGrid w:val="0"/>
        </w:rPr>
        <w:tab/>
        <w:t>(a)</w:t>
      </w:r>
      <w:r>
        <w:rPr>
          <w:snapToGrid w:val="0"/>
        </w:rPr>
        <w:tab/>
        <w:t>the purpose for which the money in the account is set aside; and</w:t>
      </w:r>
    </w:p>
    <w:p>
      <w:pPr>
        <w:pStyle w:val="Indenta"/>
        <w:rPr>
          <w:snapToGrid w:val="0"/>
        </w:rPr>
      </w:pPr>
      <w:r>
        <w:rPr>
          <w:snapToGrid w:val="0"/>
        </w:rPr>
        <w:tab/>
        <w:t>(b)</w:t>
      </w:r>
      <w:r>
        <w:rPr>
          <w:snapToGrid w:val="0"/>
        </w:rPr>
        <w:tab/>
        <w:t>the amount set aside during the financial year; and</w:t>
      </w:r>
    </w:p>
    <w:p>
      <w:pPr>
        <w:pStyle w:val="Indenta"/>
        <w:rPr>
          <w:snapToGrid w:val="0"/>
        </w:rPr>
      </w:pPr>
      <w:r>
        <w:rPr>
          <w:snapToGrid w:val="0"/>
        </w:rPr>
        <w:tab/>
        <w:t>(c)</w:t>
      </w:r>
      <w:r>
        <w:rPr>
          <w:snapToGrid w:val="0"/>
        </w:rPr>
        <w:tab/>
        <w:t>the amount used during the financial year; and</w:t>
      </w:r>
    </w:p>
    <w:p>
      <w:pPr>
        <w:pStyle w:val="Indenta"/>
        <w:rPr>
          <w:snapToGrid w:val="0"/>
        </w:rPr>
      </w:pPr>
      <w:r>
        <w:rPr>
          <w:snapToGrid w:val="0"/>
        </w:rPr>
        <w:tab/>
        <w:t>(d)</w:t>
      </w:r>
      <w:r>
        <w:rPr>
          <w:snapToGrid w:val="0"/>
        </w:rPr>
        <w:tab/>
        <w:t>the opening balance brought forward on 1 July; and</w:t>
      </w:r>
    </w:p>
    <w:p>
      <w:pPr>
        <w:pStyle w:val="Indenta"/>
        <w:rPr>
          <w:snapToGrid w:val="0"/>
        </w:rPr>
      </w:pPr>
      <w:r>
        <w:rPr>
          <w:snapToGrid w:val="0"/>
        </w:rPr>
        <w:tab/>
        <w:t>(e)</w:t>
      </w:r>
      <w:r>
        <w:rPr>
          <w:snapToGrid w:val="0"/>
        </w:rPr>
        <w:tab/>
        <w:t>the closing balance at 30 June; and</w:t>
      </w:r>
    </w:p>
    <w:p>
      <w:pPr>
        <w:pStyle w:val="Indenta"/>
        <w:keepNext/>
        <w:rPr>
          <w:snapToGrid w:val="0"/>
        </w:rPr>
      </w:pPr>
      <w:r>
        <w:rPr>
          <w:snapToGrid w:val="0"/>
        </w:rPr>
        <w:tab/>
        <w:t>(f)</w:t>
      </w:r>
      <w:r>
        <w:rPr>
          <w:snapToGrid w:val="0"/>
        </w:rPr>
        <w:tab/>
        <w:t xml:space="preserve">if the money held in a financial institution or institutions is insufficient to match the corresponding asset account in the </w:t>
      </w:r>
      <w:r>
        <w:t xml:space="preserve">balance sheet — </w:t>
      </w:r>
    </w:p>
    <w:p>
      <w:pPr>
        <w:pStyle w:val="Indenti"/>
        <w:rPr>
          <w:snapToGrid w:val="0"/>
        </w:rPr>
      </w:pPr>
      <w:r>
        <w:rPr>
          <w:snapToGrid w:val="0"/>
        </w:rPr>
        <w:tab/>
        <w:t>(i)</w:t>
      </w:r>
      <w:r>
        <w:rPr>
          <w:snapToGrid w:val="0"/>
        </w:rPr>
        <w:tab/>
        <w:t>the extent of the insufficiency; and</w:t>
      </w:r>
    </w:p>
    <w:p>
      <w:pPr>
        <w:pStyle w:val="Indenti"/>
        <w:rPr>
          <w:snapToGrid w:val="0"/>
        </w:rPr>
      </w:pPr>
      <w:r>
        <w:rPr>
          <w:snapToGrid w:val="0"/>
        </w:rPr>
        <w:tab/>
        <w:t>(ii)</w:t>
      </w:r>
      <w:r>
        <w:rPr>
          <w:snapToGrid w:val="0"/>
        </w:rPr>
        <w:tab/>
        <w:t>the reason for the insufficiency; and</w:t>
      </w:r>
    </w:p>
    <w:p>
      <w:pPr>
        <w:pStyle w:val="Indenti"/>
        <w:keepNext/>
        <w:rPr>
          <w:snapToGrid w:val="0"/>
        </w:rPr>
      </w:pPr>
      <w:r>
        <w:rPr>
          <w:snapToGrid w:val="0"/>
        </w:rPr>
        <w:tab/>
        <w:t>(iii)</w:t>
      </w:r>
      <w:r>
        <w:rPr>
          <w:snapToGrid w:val="0"/>
        </w:rPr>
        <w:tab/>
        <w:t>when the insufficiency is likely to be made up;</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when the local government anticipates the money in the account will be used; and</w:t>
      </w:r>
    </w:p>
    <w:p>
      <w:pPr>
        <w:pStyle w:val="Indenta"/>
        <w:keepNext/>
        <w:rPr>
          <w:snapToGrid w:val="0"/>
        </w:rPr>
      </w:pPr>
      <w:r>
        <w:rPr>
          <w:snapToGrid w:val="0"/>
        </w:rPr>
        <w:lastRenderedPageBreak/>
        <w:tab/>
        <w:t>(h)</w:t>
      </w:r>
      <w:r>
        <w:rPr>
          <w:snapToGrid w:val="0"/>
        </w:rPr>
        <w:tab/>
        <w:t>if the purpose of the account was changed or if money in the account was used for another purpose —</w:t>
      </w:r>
    </w:p>
    <w:p>
      <w:pPr>
        <w:pStyle w:val="Indenti"/>
        <w:rPr>
          <w:snapToGrid w:val="0"/>
        </w:rPr>
      </w:pPr>
      <w:r>
        <w:rPr>
          <w:snapToGrid w:val="0"/>
        </w:rPr>
        <w:tab/>
        <w:t>(i)</w:t>
      </w:r>
      <w:r>
        <w:rPr>
          <w:snapToGrid w:val="0"/>
        </w:rPr>
        <w:tab/>
        <w:t>the purpose for which the money was used; and</w:t>
      </w:r>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keepNext/>
        <w:rPr>
          <w:snapToGrid w:val="0"/>
        </w:rPr>
      </w:pPr>
      <w:r>
        <w:rPr>
          <w:snapToGrid w:val="0"/>
        </w:rPr>
        <w:tab/>
        <w:t>(2)</w:t>
      </w:r>
      <w:r>
        <w:rPr>
          <w:snapToGrid w:val="0"/>
        </w:rPr>
        <w:tab/>
        <w:t>In relation to an asset re</w:t>
      </w:r>
      <w:r>
        <w:rPr>
          <w:snapToGrid w:val="0"/>
        </w:rPr>
        <w:noBreakHyphen/>
        <w:t xml:space="preserve">valuation reserve established in accordance with </w:t>
      </w:r>
      <w:r>
        <w:t xml:space="preserve">the AAS, </w:t>
      </w:r>
      <w:r>
        <w:rPr>
          <w:snapToGrid w:val="0"/>
        </w:rPr>
        <w:t>the annual financial report is not to include the details set forth in subregulation (1).</w:t>
      </w:r>
    </w:p>
    <w:p>
      <w:pPr>
        <w:pStyle w:val="Footnotesection"/>
      </w:pPr>
      <w:r>
        <w:tab/>
        <w:t>[Regulation 38 amended: Gazette 20 Jun 2008 p. 2725.]</w:t>
      </w:r>
    </w:p>
    <w:p>
      <w:pPr>
        <w:pStyle w:val="Heading5"/>
        <w:rPr>
          <w:snapToGrid w:val="0"/>
        </w:rPr>
      </w:pPr>
      <w:bookmarkStart w:id="61" w:name="_Toc107401911"/>
      <w:r>
        <w:rPr>
          <w:rStyle w:val="CharSectno"/>
        </w:rPr>
        <w:t>39</w:t>
      </w:r>
      <w:r>
        <w:rPr>
          <w:snapToGrid w:val="0"/>
        </w:rPr>
        <w:t>.</w:t>
      </w:r>
      <w:r>
        <w:rPr>
          <w:snapToGrid w:val="0"/>
        </w:rPr>
        <w:tab/>
        <w:t>Rates, information about in annual financial report</w:t>
      </w:r>
      <w:bookmarkEnd w:id="61"/>
    </w:p>
    <w:p>
      <w:pPr>
        <w:pStyle w:val="Subsection"/>
        <w:keepNext/>
        <w:rPr>
          <w:snapToGrid w:val="0"/>
        </w:rPr>
      </w:pPr>
      <w:r>
        <w:rPr>
          <w:snapToGrid w:val="0"/>
        </w:rPr>
        <w:tab/>
      </w:r>
      <w:r>
        <w:rPr>
          <w:snapToGrid w:val="0"/>
        </w:rPr>
        <w:tab/>
        <w:t>The annual financial report is to include —</w:t>
      </w:r>
    </w:p>
    <w:p>
      <w:pPr>
        <w:pStyle w:val="Indenta"/>
        <w:spacing w:before="70"/>
        <w:rPr>
          <w:snapToGrid w:val="0"/>
        </w:rPr>
      </w:pPr>
      <w:r>
        <w:rPr>
          <w:snapToGrid w:val="0"/>
        </w:rPr>
        <w:tab/>
        <w:t>(a)</w:t>
      </w:r>
      <w:r>
        <w:rPr>
          <w:snapToGrid w:val="0"/>
        </w:rPr>
        <w:tab/>
        <w:t>the total revenue from all general rates; and</w:t>
      </w:r>
    </w:p>
    <w:p>
      <w:pPr>
        <w:pStyle w:val="Indenta"/>
        <w:keepNext/>
        <w:spacing w:before="70"/>
        <w:rPr>
          <w:snapToGrid w:val="0"/>
        </w:rPr>
      </w:pPr>
      <w:r>
        <w:rPr>
          <w:snapToGrid w:val="0"/>
        </w:rPr>
        <w:tab/>
        <w:t>(b)</w:t>
      </w:r>
      <w:r>
        <w:rPr>
          <w:snapToGrid w:val="0"/>
        </w:rPr>
        <w:tab/>
        <w:t>for each general rate —</w:t>
      </w:r>
    </w:p>
    <w:p>
      <w:pPr>
        <w:pStyle w:val="Indenti"/>
        <w:spacing w:before="70"/>
        <w:rPr>
          <w:snapToGrid w:val="0"/>
        </w:rPr>
      </w:pPr>
      <w:r>
        <w:rPr>
          <w:snapToGrid w:val="0"/>
        </w:rPr>
        <w:tab/>
        <w:t>(i)</w:t>
      </w:r>
      <w:r>
        <w:rPr>
          <w:snapToGrid w:val="0"/>
        </w:rPr>
        <w:tab/>
        <w:t>the rate in the dollar;</w:t>
      </w:r>
    </w:p>
    <w:p>
      <w:pPr>
        <w:pStyle w:val="Indenti"/>
        <w:spacing w:before="70"/>
        <w:rPr>
          <w:snapToGrid w:val="0"/>
        </w:rPr>
      </w:pPr>
      <w:r>
        <w:rPr>
          <w:snapToGrid w:val="0"/>
        </w:rPr>
        <w:tab/>
        <w:t>(ii)</w:t>
      </w:r>
      <w:r>
        <w:rPr>
          <w:snapToGrid w:val="0"/>
        </w:rPr>
        <w:tab/>
        <w:t>whether the basis for the rate was the gross rental value or the unimproved value of land;</w:t>
      </w:r>
    </w:p>
    <w:p>
      <w:pPr>
        <w:pStyle w:val="Indenti"/>
        <w:spacing w:before="70"/>
        <w:rPr>
          <w:snapToGrid w:val="0"/>
        </w:rPr>
      </w:pPr>
      <w:r>
        <w:rPr>
          <w:snapToGrid w:val="0"/>
        </w:rPr>
        <w:tab/>
        <w:t>(iii)</w:t>
      </w:r>
      <w:r>
        <w:rPr>
          <w:snapToGrid w:val="0"/>
        </w:rPr>
        <w:tab/>
        <w:t>the number of properties to which the rate was applied;</w:t>
      </w:r>
    </w:p>
    <w:p>
      <w:pPr>
        <w:pStyle w:val="Indenti"/>
        <w:spacing w:before="70"/>
        <w:rPr>
          <w:snapToGrid w:val="0"/>
        </w:rPr>
      </w:pPr>
      <w:r>
        <w:rPr>
          <w:snapToGrid w:val="0"/>
        </w:rPr>
        <w:tab/>
        <w:t>(iv)</w:t>
      </w:r>
      <w:r>
        <w:rPr>
          <w:snapToGrid w:val="0"/>
        </w:rPr>
        <w:tab/>
        <w:t>the total rateable values of the properties referred to in subparagraph (iii);</w:t>
      </w:r>
    </w:p>
    <w:p>
      <w:pPr>
        <w:pStyle w:val="Indenti"/>
        <w:keepNext/>
        <w:spacing w:before="70"/>
        <w:rPr>
          <w:snapToGrid w:val="0"/>
        </w:rPr>
      </w:pPr>
      <w:r>
        <w:rPr>
          <w:snapToGrid w:val="0"/>
        </w:rPr>
        <w:tab/>
        <w:t>(v)</w:t>
      </w:r>
      <w:r>
        <w:rPr>
          <w:snapToGrid w:val="0"/>
        </w:rPr>
        <w:tab/>
        <w:t>the amount of revenue from —</w:t>
      </w:r>
    </w:p>
    <w:p>
      <w:pPr>
        <w:pStyle w:val="IndentI0"/>
        <w:spacing w:before="70"/>
        <w:rPr>
          <w:snapToGrid w:val="0"/>
        </w:rPr>
      </w:pPr>
      <w:r>
        <w:rPr>
          <w:snapToGrid w:val="0"/>
        </w:rPr>
        <w:tab/>
        <w:t>(I)</w:t>
      </w:r>
      <w:r>
        <w:rPr>
          <w:snapToGrid w:val="0"/>
        </w:rPr>
        <w:tab/>
        <w:t>the rate; and</w:t>
      </w:r>
    </w:p>
    <w:p>
      <w:pPr>
        <w:pStyle w:val="IndentI0"/>
        <w:spacing w:before="70"/>
        <w:rPr>
          <w:snapToGrid w:val="0"/>
        </w:rPr>
      </w:pPr>
      <w:r>
        <w:rPr>
          <w:snapToGrid w:val="0"/>
        </w:rPr>
        <w:tab/>
        <w:t>(II)</w:t>
      </w:r>
      <w:r>
        <w:rPr>
          <w:snapToGrid w:val="0"/>
        </w:rPr>
        <w:tab/>
        <w:t>interim rates; and</w:t>
      </w:r>
    </w:p>
    <w:p>
      <w:pPr>
        <w:pStyle w:val="IndentI0"/>
        <w:keepNext/>
        <w:spacing w:before="70"/>
        <w:rPr>
          <w:snapToGrid w:val="0"/>
        </w:rPr>
      </w:pPr>
      <w:r>
        <w:rPr>
          <w:snapToGrid w:val="0"/>
        </w:rPr>
        <w:tab/>
        <w:t>(III)</w:t>
      </w:r>
      <w:r>
        <w:rPr>
          <w:snapToGrid w:val="0"/>
        </w:rPr>
        <w:tab/>
        <w:t>back rates;</w:t>
      </w:r>
    </w:p>
    <w:p>
      <w:pPr>
        <w:pStyle w:val="Indenta"/>
        <w:spacing w:before="70"/>
        <w:rPr>
          <w:snapToGrid w:val="0"/>
        </w:rPr>
      </w:pPr>
      <w:r>
        <w:rPr>
          <w:snapToGrid w:val="0"/>
        </w:rPr>
        <w:tab/>
      </w:r>
      <w:r>
        <w:rPr>
          <w:snapToGrid w:val="0"/>
        </w:rPr>
        <w:tab/>
        <w:t>and</w:t>
      </w:r>
    </w:p>
    <w:p>
      <w:pPr>
        <w:pStyle w:val="Indenta"/>
        <w:rPr>
          <w:snapToGrid w:val="0"/>
        </w:rPr>
      </w:pPr>
      <w:r>
        <w:rPr>
          <w:snapToGrid w:val="0"/>
        </w:rPr>
        <w:tab/>
        <w:t>(c)</w:t>
      </w:r>
      <w:r>
        <w:rPr>
          <w:snapToGrid w:val="0"/>
        </w:rPr>
        <w:tab/>
        <w:t>for each differential general rate, the characteristics which formed the basis for the imposition of the rate; and</w:t>
      </w:r>
    </w:p>
    <w:p>
      <w:pPr>
        <w:pStyle w:val="Indenta"/>
        <w:keepNext/>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 and</w:t>
      </w:r>
    </w:p>
    <w:p>
      <w:pPr>
        <w:pStyle w:val="Indenti"/>
        <w:rPr>
          <w:snapToGrid w:val="0"/>
        </w:rPr>
      </w:pPr>
      <w:r>
        <w:rPr>
          <w:snapToGrid w:val="0"/>
        </w:rPr>
        <w:lastRenderedPageBreak/>
        <w:tab/>
        <w:t>(ii)</w:t>
      </w:r>
      <w:r>
        <w:rPr>
          <w:snapToGrid w:val="0"/>
        </w:rPr>
        <w:tab/>
        <w:t>the total rateable values of the properties to which the minimum payment applied; and</w:t>
      </w:r>
    </w:p>
    <w:p>
      <w:pPr>
        <w:pStyle w:val="Indenti"/>
        <w:rPr>
          <w:snapToGrid w:val="0"/>
        </w:rPr>
      </w:pPr>
      <w:r>
        <w:rPr>
          <w:snapToGrid w:val="0"/>
        </w:rPr>
        <w:tab/>
        <w:t>(iii)</w:t>
      </w:r>
      <w:r>
        <w:rPr>
          <w:snapToGrid w:val="0"/>
        </w:rPr>
        <w:tab/>
        <w:t>the total number of properties to which the minimum payment applied; and</w:t>
      </w:r>
    </w:p>
    <w:p>
      <w:pPr>
        <w:pStyle w:val="Indenti"/>
        <w:keepNext/>
        <w:rPr>
          <w:snapToGrid w:val="0"/>
        </w:rPr>
      </w:pPr>
      <w:r>
        <w:rPr>
          <w:snapToGrid w:val="0"/>
        </w:rPr>
        <w:tab/>
        <w:t>(iv)</w:t>
      </w:r>
      <w:r>
        <w:rPr>
          <w:snapToGrid w:val="0"/>
        </w:rPr>
        <w:tab/>
        <w:t>the amount of revenue from —</w:t>
      </w:r>
    </w:p>
    <w:p>
      <w:pPr>
        <w:pStyle w:val="IndentI0"/>
        <w:rPr>
          <w:snapToGrid w:val="0"/>
        </w:rPr>
      </w:pPr>
      <w:r>
        <w:rPr>
          <w:snapToGrid w:val="0"/>
        </w:rPr>
        <w:tab/>
        <w:t>(I)</w:t>
      </w:r>
      <w:r>
        <w:rPr>
          <w:snapToGrid w:val="0"/>
        </w:rPr>
        <w:tab/>
        <w:t>the minimum payment; and</w:t>
      </w:r>
    </w:p>
    <w:p>
      <w:pPr>
        <w:pStyle w:val="IndentI0"/>
        <w:rPr>
          <w:snapToGrid w:val="0"/>
        </w:rPr>
      </w:pPr>
      <w:r>
        <w:rPr>
          <w:snapToGrid w:val="0"/>
        </w:rPr>
        <w:tab/>
        <w:t>(II)</w:t>
      </w:r>
      <w:r>
        <w:rPr>
          <w:snapToGrid w:val="0"/>
        </w:rPr>
        <w:tab/>
        <w:t>interim minimum payments; and</w:t>
      </w:r>
    </w:p>
    <w:p>
      <w:pPr>
        <w:pStyle w:val="IndentI0"/>
        <w:keepNext/>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a brief description identifying the area within which the rate was imposed; and</w:t>
      </w:r>
    </w:p>
    <w:p>
      <w:pPr>
        <w:pStyle w:val="Indenti"/>
        <w:rPr>
          <w:snapToGrid w:val="0"/>
        </w:rPr>
      </w:pPr>
      <w:r>
        <w:rPr>
          <w:snapToGrid w:val="0"/>
        </w:rPr>
        <w:tab/>
        <w:t>(iii)</w:t>
      </w:r>
      <w:r>
        <w:rPr>
          <w:snapToGrid w:val="0"/>
        </w:rPr>
        <w:tab/>
        <w:t>the rate in the dollar; and</w:t>
      </w:r>
    </w:p>
    <w:p>
      <w:pPr>
        <w:pStyle w:val="Indenti"/>
        <w:rPr>
          <w:snapToGrid w:val="0"/>
        </w:rPr>
      </w:pPr>
      <w:r>
        <w:rPr>
          <w:snapToGrid w:val="0"/>
        </w:rPr>
        <w:tab/>
        <w:t>(iv)</w:t>
      </w:r>
      <w:r>
        <w:rPr>
          <w:snapToGrid w:val="0"/>
        </w:rPr>
        <w:tab/>
        <w:t>whether the basis for the rate was the gross rental value or the unimproved value of land; and</w:t>
      </w:r>
    </w:p>
    <w:p>
      <w:pPr>
        <w:pStyle w:val="Indenti"/>
        <w:rPr>
          <w:snapToGrid w:val="0"/>
        </w:rPr>
      </w:pPr>
      <w:r>
        <w:rPr>
          <w:snapToGrid w:val="0"/>
        </w:rPr>
        <w:tab/>
        <w:t>(v)</w:t>
      </w:r>
      <w:r>
        <w:rPr>
          <w:snapToGrid w:val="0"/>
        </w:rPr>
        <w:tab/>
        <w:t>the total rateable values of the properties referred to in subparagraph (iv); and</w:t>
      </w:r>
    </w:p>
    <w:p>
      <w:pPr>
        <w:pStyle w:val="Indenti"/>
        <w:keepNext/>
        <w:rPr>
          <w:snapToGrid w:val="0"/>
        </w:rPr>
      </w:pPr>
      <w:r>
        <w:rPr>
          <w:snapToGrid w:val="0"/>
        </w:rPr>
        <w:tab/>
        <w:t>(vi)</w:t>
      </w:r>
      <w:r>
        <w:rPr>
          <w:snapToGrid w:val="0"/>
        </w:rPr>
        <w:tab/>
        <w:t>the amount of revenue from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keepNext/>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keepNext/>
        <w:rPr>
          <w:snapToGrid w:val="0"/>
        </w:rPr>
      </w:pPr>
      <w:r>
        <w:rPr>
          <w:snapToGrid w:val="0"/>
        </w:rPr>
        <w:tab/>
        <w:t>(vii)</w:t>
      </w:r>
      <w:r>
        <w:rPr>
          <w:snapToGrid w:val="0"/>
        </w:rPr>
        <w:tab/>
        <w:t>how the proceeds of the rate were applied including —</w:t>
      </w:r>
    </w:p>
    <w:p>
      <w:pPr>
        <w:pStyle w:val="IndentI0"/>
        <w:rPr>
          <w:snapToGrid w:val="0"/>
        </w:rPr>
      </w:pPr>
      <w:r>
        <w:rPr>
          <w:snapToGrid w:val="0"/>
        </w:rPr>
        <w:tab/>
        <w:t>(I)</w:t>
      </w:r>
      <w:r>
        <w:rPr>
          <w:snapToGrid w:val="0"/>
        </w:rPr>
        <w:tab/>
        <w:t>the amount applied; and</w:t>
      </w:r>
    </w:p>
    <w:p>
      <w:pPr>
        <w:pStyle w:val="IndentI0"/>
        <w:rPr>
          <w:snapToGrid w:val="0"/>
        </w:rPr>
      </w:pPr>
      <w:r>
        <w:rPr>
          <w:snapToGrid w:val="0"/>
        </w:rPr>
        <w:tab/>
        <w:t>(II)</w:t>
      </w:r>
      <w:r>
        <w:rPr>
          <w:snapToGrid w:val="0"/>
        </w:rPr>
        <w:tab/>
        <w:t>the amount set aside in a reserve account; and</w:t>
      </w:r>
    </w:p>
    <w:p>
      <w:pPr>
        <w:pStyle w:val="IndentI0"/>
        <w:spacing w:before="60"/>
        <w:rPr>
          <w:snapToGrid w:val="0"/>
        </w:rPr>
      </w:pPr>
      <w:r>
        <w:rPr>
          <w:snapToGrid w:val="0"/>
        </w:rPr>
        <w:tab/>
        <w:t>(III)</w:t>
      </w:r>
      <w:r>
        <w:rPr>
          <w:snapToGrid w:val="0"/>
        </w:rPr>
        <w:tab/>
        <w:t>the application of money in the reserve account.</w:t>
      </w:r>
    </w:p>
    <w:p>
      <w:pPr>
        <w:pStyle w:val="Heading5"/>
        <w:rPr>
          <w:snapToGrid w:val="0"/>
        </w:rPr>
      </w:pPr>
      <w:bookmarkStart w:id="62" w:name="_Toc107401912"/>
      <w:r>
        <w:rPr>
          <w:rStyle w:val="CharSectno"/>
        </w:rPr>
        <w:lastRenderedPageBreak/>
        <w:t>40</w:t>
      </w:r>
      <w:r>
        <w:rPr>
          <w:snapToGrid w:val="0"/>
        </w:rPr>
        <w:t>.</w:t>
      </w:r>
      <w:r>
        <w:rPr>
          <w:snapToGrid w:val="0"/>
        </w:rPr>
        <w:tab/>
        <w:t>Service charges, information about in annual financial report</w:t>
      </w:r>
      <w:bookmarkEnd w:id="62"/>
    </w:p>
    <w:p>
      <w:pPr>
        <w:pStyle w:val="Subsection"/>
        <w:keepNext/>
        <w:rPr>
          <w:snapToGrid w:val="0"/>
        </w:rPr>
      </w:pPr>
      <w:r>
        <w:rPr>
          <w:snapToGrid w:val="0"/>
        </w:rPr>
        <w:tab/>
      </w:r>
      <w:r>
        <w:rPr>
          <w:snapToGrid w:val="0"/>
        </w:rPr>
        <w:tab/>
        <w:t>In relation to each service charge, the annual financial report is to include details of —</w:t>
      </w:r>
    </w:p>
    <w:p>
      <w:pPr>
        <w:pStyle w:val="Indenta"/>
        <w:spacing w:before="60"/>
        <w:rPr>
          <w:snapToGrid w:val="0"/>
        </w:rPr>
      </w:pPr>
      <w:r>
        <w:rPr>
          <w:snapToGrid w:val="0"/>
        </w:rPr>
        <w:tab/>
        <w:t>(a)</w:t>
      </w:r>
      <w:r>
        <w:rPr>
          <w:snapToGrid w:val="0"/>
        </w:rPr>
        <w:tab/>
        <w:t>the nature of the service for which the service charge was imposed; and</w:t>
      </w:r>
    </w:p>
    <w:p>
      <w:pPr>
        <w:pStyle w:val="Indenta"/>
        <w:spacing w:before="60"/>
        <w:rPr>
          <w:snapToGrid w:val="0"/>
        </w:rPr>
      </w:pPr>
      <w:r>
        <w:rPr>
          <w:snapToGrid w:val="0"/>
        </w:rPr>
        <w:tab/>
        <w:t>(b)</w:t>
      </w:r>
      <w:r>
        <w:rPr>
          <w:snapToGrid w:val="0"/>
        </w:rPr>
        <w:tab/>
        <w:t>if the service charge was imposed on land in a defined part of the district, a brief description identifying the area within which the service charge was imposed; and</w:t>
      </w:r>
    </w:p>
    <w:p>
      <w:pPr>
        <w:pStyle w:val="Indenta"/>
        <w:spacing w:before="60"/>
        <w:rPr>
          <w:snapToGrid w:val="0"/>
        </w:rPr>
      </w:pPr>
      <w:r>
        <w:rPr>
          <w:snapToGrid w:val="0"/>
        </w:rPr>
        <w:tab/>
        <w:t>(c)</w:t>
      </w:r>
      <w:r>
        <w:rPr>
          <w:snapToGrid w:val="0"/>
        </w:rPr>
        <w:tab/>
        <w:t>the amount of each service charge; and</w:t>
      </w:r>
    </w:p>
    <w:p>
      <w:pPr>
        <w:pStyle w:val="Indenta"/>
        <w:spacing w:before="60"/>
        <w:rPr>
          <w:snapToGrid w:val="0"/>
        </w:rPr>
      </w:pPr>
      <w:r>
        <w:rPr>
          <w:snapToGrid w:val="0"/>
        </w:rPr>
        <w:tab/>
        <w:t>(d)</w:t>
      </w:r>
      <w:r>
        <w:rPr>
          <w:snapToGrid w:val="0"/>
        </w:rPr>
        <w:tab/>
        <w:t>the total amount of revenue from the service charge; and</w:t>
      </w:r>
    </w:p>
    <w:p>
      <w:pPr>
        <w:pStyle w:val="Indenta"/>
        <w:keepNext/>
        <w:keepLines/>
        <w:spacing w:before="60"/>
        <w:rPr>
          <w:snapToGrid w:val="0"/>
        </w:rPr>
      </w:pPr>
      <w:r>
        <w:rPr>
          <w:snapToGrid w:val="0"/>
        </w:rPr>
        <w:tab/>
        <w:t>(e)</w:t>
      </w:r>
      <w:r>
        <w:rPr>
          <w:snapToGrid w:val="0"/>
        </w:rPr>
        <w:tab/>
        <w:t>how the proceeds of the service charge were applied including —</w:t>
      </w:r>
    </w:p>
    <w:p>
      <w:pPr>
        <w:pStyle w:val="Indenti"/>
        <w:spacing w:before="60"/>
        <w:rPr>
          <w:snapToGrid w:val="0"/>
        </w:rPr>
      </w:pPr>
      <w:r>
        <w:rPr>
          <w:snapToGrid w:val="0"/>
        </w:rPr>
        <w:tab/>
        <w:t>(i)</w:t>
      </w:r>
      <w:r>
        <w:rPr>
          <w:snapToGrid w:val="0"/>
        </w:rPr>
        <w:tab/>
        <w:t>the amount applied; and</w:t>
      </w:r>
    </w:p>
    <w:p>
      <w:pPr>
        <w:pStyle w:val="Indenti"/>
        <w:spacing w:before="60"/>
        <w:rPr>
          <w:snapToGrid w:val="0"/>
        </w:rPr>
      </w:pPr>
      <w:r>
        <w:rPr>
          <w:snapToGrid w:val="0"/>
        </w:rPr>
        <w:tab/>
        <w:t>(ii)</w:t>
      </w:r>
      <w:r>
        <w:rPr>
          <w:snapToGrid w:val="0"/>
        </w:rPr>
        <w:tab/>
        <w:t>the amount set aside in a reserve account; and</w:t>
      </w:r>
    </w:p>
    <w:p>
      <w:pPr>
        <w:pStyle w:val="Indenti"/>
        <w:spacing w:before="60"/>
        <w:rPr>
          <w:snapToGrid w:val="0"/>
        </w:rPr>
      </w:pPr>
      <w:r>
        <w:rPr>
          <w:snapToGrid w:val="0"/>
        </w:rPr>
        <w:tab/>
        <w:t>(iii)</w:t>
      </w:r>
      <w:r>
        <w:rPr>
          <w:snapToGrid w:val="0"/>
        </w:rPr>
        <w:tab/>
        <w:t>the amount applied from the reserve account.</w:t>
      </w:r>
    </w:p>
    <w:p>
      <w:pPr>
        <w:pStyle w:val="Heading5"/>
        <w:rPr>
          <w:snapToGrid w:val="0"/>
        </w:rPr>
      </w:pPr>
      <w:bookmarkStart w:id="63" w:name="_Toc107401913"/>
      <w:r>
        <w:rPr>
          <w:rStyle w:val="CharSectno"/>
        </w:rPr>
        <w:t>41</w:t>
      </w:r>
      <w:r>
        <w:rPr>
          <w:snapToGrid w:val="0"/>
        </w:rPr>
        <w:t>.</w:t>
      </w:r>
      <w:r>
        <w:rPr>
          <w:snapToGrid w:val="0"/>
        </w:rPr>
        <w:tab/>
        <w:t>Fees and charges, information about in annual financial report</w:t>
      </w:r>
      <w:bookmarkEnd w:id="63"/>
    </w:p>
    <w:p>
      <w:pPr>
        <w:pStyle w:val="Subsection"/>
        <w:keepNext/>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 Gazette 20 Jun 1997 p. 2842.]</w:t>
      </w:r>
    </w:p>
    <w:p>
      <w:pPr>
        <w:pStyle w:val="Heading5"/>
        <w:rPr>
          <w:snapToGrid w:val="0"/>
        </w:rPr>
      </w:pPr>
      <w:bookmarkStart w:id="64" w:name="_Toc107401914"/>
      <w:r>
        <w:rPr>
          <w:rStyle w:val="CharSectno"/>
        </w:rPr>
        <w:t>42</w:t>
      </w:r>
      <w:r>
        <w:rPr>
          <w:snapToGrid w:val="0"/>
        </w:rPr>
        <w:t>.</w:t>
      </w:r>
      <w:r>
        <w:rPr>
          <w:snapToGrid w:val="0"/>
        </w:rPr>
        <w:tab/>
        <w:t>Discounts for early payment etc., information about in annual financial report</w:t>
      </w:r>
      <w:bookmarkEnd w:id="64"/>
    </w:p>
    <w:p>
      <w:pPr>
        <w:pStyle w:val="Subsection"/>
        <w:keepNext/>
        <w:rPr>
          <w:snapToGrid w:val="0"/>
        </w:rPr>
      </w:pPr>
      <w:r>
        <w:rPr>
          <w:snapToGrid w:val="0"/>
        </w:rPr>
        <w:tab/>
        <w:t>(1)</w:t>
      </w:r>
      <w:r>
        <w:rPr>
          <w:snapToGrid w:val="0"/>
        </w:rPr>
        <w:tab/>
        <w:t xml:space="preserve">The annual financial report is to include for each discount or other incentive granted for early payment of any money and in </w:t>
      </w:r>
      <w:r>
        <w:rPr>
          <w:snapToGrid w:val="0"/>
        </w:rPr>
        <w:lastRenderedPageBreak/>
        <w:t>respect of each waiver or concession in relation to any money —</w:t>
      </w:r>
    </w:p>
    <w:p>
      <w:pPr>
        <w:pStyle w:val="Indenta"/>
        <w:keepNext/>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allowed; and</w:t>
      </w:r>
    </w:p>
    <w:p>
      <w:pPr>
        <w:pStyle w:val="Indenti"/>
        <w:keepNext/>
        <w:rPr>
          <w:snapToGrid w:val="0"/>
        </w:rPr>
      </w:pPr>
      <w:r>
        <w:rPr>
          <w:snapToGrid w:val="0"/>
        </w:rPr>
        <w:tab/>
        <w:t>(ii)</w:t>
      </w:r>
      <w:r>
        <w:rPr>
          <w:snapToGrid w:val="0"/>
        </w:rPr>
        <w:tab/>
        <w:t>the circumstances in which the discount was granted;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 respect of an incentive other than a discount —</w:t>
      </w:r>
    </w:p>
    <w:p>
      <w:pPr>
        <w:pStyle w:val="Indenti"/>
        <w:rPr>
          <w:snapToGrid w:val="0"/>
        </w:rPr>
      </w:pPr>
      <w:r>
        <w:rPr>
          <w:snapToGrid w:val="0"/>
        </w:rPr>
        <w:tab/>
        <w:t>(i)</w:t>
      </w:r>
      <w:r>
        <w:rPr>
          <w:snapToGrid w:val="0"/>
        </w:rPr>
        <w:tab/>
        <w:t>a brief description of the incentive scheme; and</w:t>
      </w:r>
    </w:p>
    <w:p>
      <w:pPr>
        <w:pStyle w:val="Indenti"/>
        <w:keepNext/>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was granted; and</w:t>
      </w:r>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keepNext/>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w:t>
      </w:r>
    </w:p>
    <w:p>
      <w:pPr>
        <w:pStyle w:val="Indenta"/>
        <w:rPr>
          <w:snapToGrid w:val="0"/>
        </w:rPr>
      </w:pPr>
      <w:r>
        <w:rPr>
          <w:snapToGrid w:val="0"/>
        </w:rPr>
        <w:tab/>
        <w:t>(a)</w:t>
      </w:r>
      <w:r>
        <w:rPr>
          <w:snapToGrid w:val="0"/>
        </w:rPr>
        <w:tab/>
        <w:t>the total amount of the discounts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65" w:name="_Toc107401915"/>
      <w:r>
        <w:rPr>
          <w:rStyle w:val="CharSectno"/>
        </w:rPr>
        <w:lastRenderedPageBreak/>
        <w:t>43</w:t>
      </w:r>
      <w:r>
        <w:rPr>
          <w:snapToGrid w:val="0"/>
        </w:rPr>
        <w:t>.</w:t>
      </w:r>
      <w:r>
        <w:rPr>
          <w:snapToGrid w:val="0"/>
        </w:rPr>
        <w:tab/>
        <w:t>Interest charges etc., information about in annual financial report</w:t>
      </w:r>
      <w:bookmarkEnd w:id="65"/>
    </w:p>
    <w:p>
      <w:pPr>
        <w:pStyle w:val="Subsection"/>
        <w:keepNext/>
        <w:rPr>
          <w:snapToGrid w:val="0"/>
        </w:rPr>
      </w:pPr>
      <w:r>
        <w:rPr>
          <w:snapToGrid w:val="0"/>
        </w:rPr>
        <w:tab/>
      </w:r>
      <w:r>
        <w:rPr>
          <w:snapToGrid w:val="0"/>
        </w:rPr>
        <w:tab/>
        <w:t>The annual financial report is to include in relation to —</w:t>
      </w:r>
    </w:p>
    <w:p>
      <w:pPr>
        <w:pStyle w:val="Indenta"/>
        <w:keepNext/>
        <w:rPr>
          <w:snapToGrid w:val="0"/>
        </w:rPr>
      </w:pPr>
      <w:r>
        <w:rPr>
          <w:snapToGrid w:val="0"/>
        </w:rPr>
        <w:tab/>
        <w:t>(a)</w:t>
      </w:r>
      <w:r>
        <w:rPr>
          <w:snapToGrid w:val="0"/>
        </w:rPr>
        <w:tab/>
        <w:t>interest charged for the late payment of a rate or service charge —</w:t>
      </w:r>
    </w:p>
    <w:p>
      <w:pPr>
        <w:pStyle w:val="Indenti"/>
        <w:rPr>
          <w:snapToGrid w:val="0"/>
        </w:rPr>
      </w:pPr>
      <w:r>
        <w:rPr>
          <w:snapToGrid w:val="0"/>
        </w:rPr>
        <w:tab/>
        <w:t>(i)</w:t>
      </w:r>
      <w:r>
        <w:rPr>
          <w:snapToGrid w:val="0"/>
        </w:rPr>
        <w:tab/>
        <w:t>the rate of interest; and</w:t>
      </w:r>
    </w:p>
    <w:p>
      <w:pPr>
        <w:pStyle w:val="Indenti"/>
        <w:keepNext/>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keepNext/>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the instalment options of the local government under section 6.45 —</w:t>
      </w:r>
    </w:p>
    <w:p>
      <w:pPr>
        <w:pStyle w:val="Indenti"/>
        <w:rPr>
          <w:snapToGrid w:val="0"/>
        </w:rPr>
      </w:pPr>
      <w:r>
        <w:rPr>
          <w:snapToGrid w:val="0"/>
        </w:rPr>
        <w:tab/>
        <w:t>(i)</w:t>
      </w:r>
      <w:r>
        <w:rPr>
          <w:snapToGrid w:val="0"/>
        </w:rPr>
        <w:tab/>
        <w:t>a brief description of the options; and</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66" w:name="_Toc107401916"/>
      <w:r>
        <w:rPr>
          <w:rStyle w:val="CharSectno"/>
        </w:rPr>
        <w:t>44</w:t>
      </w:r>
      <w:r>
        <w:rPr>
          <w:snapToGrid w:val="0"/>
        </w:rPr>
        <w:t>.</w:t>
      </w:r>
      <w:r>
        <w:rPr>
          <w:snapToGrid w:val="0"/>
        </w:rPr>
        <w:tab/>
        <w:t>Fees etc. to council members, information about in annual financial report</w:t>
      </w:r>
      <w:bookmarkEnd w:id="66"/>
    </w:p>
    <w:p>
      <w:pPr>
        <w:pStyle w:val="Subsection"/>
        <w:keepNext/>
        <w:rPr>
          <w:snapToGrid w:val="0"/>
        </w:rPr>
      </w:pPr>
      <w:r>
        <w:rPr>
          <w:snapToGrid w:val="0"/>
        </w:rPr>
        <w:tab/>
      </w:r>
      <w:r>
        <w:rPr>
          <w:snapToGrid w:val="0"/>
        </w:rPr>
        <w:tab/>
        <w:t xml:space="preserve">In relation to fees, expenses or allowances paid to council members, the mayor or the president the annual financial report is to </w:t>
      </w:r>
      <w:r>
        <w:t xml:space="preserve">include, for each person — </w:t>
      </w:r>
    </w:p>
    <w:p>
      <w:pPr>
        <w:pStyle w:val="Indenta"/>
        <w:rPr>
          <w:snapToGrid w:val="0"/>
        </w:rPr>
      </w:pPr>
      <w:r>
        <w:rPr>
          <w:snapToGrid w:val="0"/>
        </w:rPr>
        <w:tab/>
        <w:t>(a)</w:t>
      </w:r>
      <w:r>
        <w:rPr>
          <w:snapToGrid w:val="0"/>
        </w:rPr>
        <w:tab/>
        <w:t>the nature of the fee, expense or allowance; and</w:t>
      </w:r>
    </w:p>
    <w:p>
      <w:pPr>
        <w:pStyle w:val="Indenta"/>
        <w:keepNext/>
        <w:rPr>
          <w:snapToGrid w:val="0"/>
        </w:rPr>
      </w:pPr>
      <w:r>
        <w:rPr>
          <w:snapToGrid w:val="0"/>
        </w:rPr>
        <w:lastRenderedPageBreak/>
        <w:tab/>
        <w:t>(b)</w:t>
      </w:r>
      <w:r>
        <w:rPr>
          <w:snapToGrid w:val="0"/>
        </w:rPr>
        <w:tab/>
        <w:t>the total amount or value of each class of fee, expense or allowance.</w:t>
      </w:r>
    </w:p>
    <w:p>
      <w:pPr>
        <w:pStyle w:val="Footnotesection"/>
      </w:pPr>
      <w:r>
        <w:tab/>
        <w:t>[Regulation 44 amended: SL 2020/213 r. 33.]</w:t>
      </w:r>
    </w:p>
    <w:p>
      <w:pPr>
        <w:pStyle w:val="Heading5"/>
        <w:rPr>
          <w:snapToGrid w:val="0"/>
        </w:rPr>
      </w:pPr>
      <w:bookmarkStart w:id="67" w:name="_Toc107401917"/>
      <w:r>
        <w:rPr>
          <w:rStyle w:val="CharSectno"/>
        </w:rPr>
        <w:t>45</w:t>
      </w:r>
      <w:r>
        <w:rPr>
          <w:snapToGrid w:val="0"/>
        </w:rPr>
        <w:t>.</w:t>
      </w:r>
      <w:r>
        <w:rPr>
          <w:snapToGrid w:val="0"/>
        </w:rPr>
        <w:tab/>
        <w:t>Trading undertakings, information about in annual financial report</w:t>
      </w:r>
      <w:bookmarkEnd w:id="67"/>
    </w:p>
    <w:p>
      <w:pPr>
        <w:pStyle w:val="Subsection"/>
        <w:keepNext/>
        <w:keepLines/>
        <w:rPr>
          <w:snapToGrid w:val="0"/>
        </w:rPr>
      </w:pPr>
      <w:r>
        <w:rPr>
          <w:snapToGrid w:val="0"/>
        </w:rPr>
        <w:tab/>
      </w:r>
      <w:r>
        <w:rPr>
          <w:snapToGrid w:val="0"/>
        </w:rPr>
        <w:tab/>
        <w:t>The annual financial report is to include the following —</w:t>
      </w:r>
    </w:p>
    <w:p>
      <w:pPr>
        <w:pStyle w:val="Indenta"/>
        <w:keepNext/>
        <w:rPr>
          <w:snapToGrid w:val="0"/>
        </w:rPr>
      </w:pPr>
      <w:r>
        <w:rPr>
          <w:snapToGrid w:val="0"/>
        </w:rPr>
        <w:tab/>
        <w:t>(a)</w:t>
      </w:r>
      <w:r>
        <w:rPr>
          <w:snapToGrid w:val="0"/>
        </w:rPr>
        <w:tab/>
        <w:t>separately, in relation to each trading undertaking —</w:t>
      </w:r>
    </w:p>
    <w:p>
      <w:pPr>
        <w:pStyle w:val="Indenti"/>
      </w:pPr>
      <w:r>
        <w:tab/>
        <w:t>(i)</w:t>
      </w:r>
      <w:r>
        <w:tab/>
        <w:t>an income statement;</w:t>
      </w:r>
    </w:p>
    <w:p>
      <w:pPr>
        <w:pStyle w:val="Indenti"/>
      </w:pPr>
      <w:r>
        <w:tab/>
        <w:t>(ii)</w:t>
      </w:r>
      <w:r>
        <w:tab/>
        <w:t>a balance sheet;</w:t>
      </w:r>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keepNext/>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income statement referred to in paragraph (a)(i) but which has been used in the pricing structure for goods or services to be provided by the undertaking.</w:t>
      </w:r>
    </w:p>
    <w:p>
      <w:pPr>
        <w:pStyle w:val="Footnotesection"/>
      </w:pPr>
      <w:r>
        <w:tab/>
        <w:t>[Regulation 45 amended: Gazette 31 Mar 2005 p. 1053; 20 Jun 2008 p. 2725.]</w:t>
      </w:r>
    </w:p>
    <w:p>
      <w:pPr>
        <w:pStyle w:val="Heading5"/>
        <w:rPr>
          <w:snapToGrid w:val="0"/>
        </w:rPr>
      </w:pPr>
      <w:bookmarkStart w:id="68" w:name="_Toc107401918"/>
      <w:r>
        <w:rPr>
          <w:rStyle w:val="CharSectno"/>
        </w:rPr>
        <w:t>46</w:t>
      </w:r>
      <w:r>
        <w:rPr>
          <w:snapToGrid w:val="0"/>
        </w:rPr>
        <w:t>.</w:t>
      </w:r>
      <w:r>
        <w:rPr>
          <w:snapToGrid w:val="0"/>
        </w:rPr>
        <w:tab/>
        <w:t>Major land transactions, information about in annual financial report</w:t>
      </w:r>
      <w:bookmarkEnd w:id="68"/>
    </w:p>
    <w:p>
      <w:pPr>
        <w:pStyle w:val="Subsection"/>
        <w:keepNext/>
        <w:rPr>
          <w:snapToGrid w:val="0"/>
        </w:rPr>
      </w:pPr>
      <w:r>
        <w:rPr>
          <w:snapToGrid w:val="0"/>
        </w:rPr>
        <w:tab/>
      </w:r>
      <w:r>
        <w:rPr>
          <w:snapToGrid w:val="0"/>
        </w:rPr>
        <w:tab/>
        <w:t>The annual financial report is to include, separately in relation to each major land transaction (according to nature or type classification) —</w:t>
      </w:r>
    </w:p>
    <w:p>
      <w:pPr>
        <w:pStyle w:val="Indenta"/>
        <w:rPr>
          <w:snapToGrid w:val="0"/>
        </w:rPr>
      </w:pPr>
      <w:r>
        <w:rPr>
          <w:snapToGrid w:val="0"/>
        </w:rPr>
        <w:tab/>
        <w:t>(a)</w:t>
      </w:r>
      <w:r>
        <w:rPr>
          <w:snapToGrid w:val="0"/>
        </w:rPr>
        <w:tab/>
        <w:t>all income and expenditure; and</w:t>
      </w:r>
    </w:p>
    <w:p>
      <w:pPr>
        <w:pStyle w:val="Indenta"/>
        <w:rPr>
          <w:snapToGrid w:val="0"/>
        </w:rPr>
      </w:pPr>
      <w:r>
        <w:rPr>
          <w:snapToGrid w:val="0"/>
        </w:rPr>
        <w:tab/>
        <w:t>(b)</w:t>
      </w:r>
      <w:r>
        <w:rPr>
          <w:snapToGrid w:val="0"/>
        </w:rPr>
        <w:tab/>
        <w:t>details of assets and liabilities at 30 June; and</w:t>
      </w:r>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keepNext/>
        <w:rPr>
          <w:snapToGrid w:val="0"/>
        </w:rPr>
      </w:pPr>
      <w:r>
        <w:rPr>
          <w:snapToGrid w:val="0"/>
        </w:rPr>
        <w:lastRenderedPageBreak/>
        <w:tab/>
        <w:t>(d)</w:t>
      </w:r>
      <w:r>
        <w:rPr>
          <w:snapToGrid w:val="0"/>
        </w:rPr>
        <w:tab/>
        <w:t xml:space="preserve">if the transaction is to span more than one financial year, a brief statement showing the cash flows expected during the term of the transaction or the period covered by the plan for </w:t>
      </w:r>
      <w:r>
        <w:t xml:space="preserve">the future, </w:t>
      </w:r>
      <w:r>
        <w:rPr>
          <w:snapToGrid w:val="0"/>
        </w:rPr>
        <w:t>whichever is the lesser.</w:t>
      </w:r>
    </w:p>
    <w:p>
      <w:pPr>
        <w:pStyle w:val="Footnotesection"/>
      </w:pPr>
      <w:r>
        <w:tab/>
        <w:t>[Regulation 46 amended: Gazette 20 Jun 2008 p. 2726.]</w:t>
      </w:r>
    </w:p>
    <w:p>
      <w:pPr>
        <w:pStyle w:val="Heading5"/>
        <w:spacing w:before="180"/>
        <w:rPr>
          <w:snapToGrid w:val="0"/>
        </w:rPr>
      </w:pPr>
      <w:bookmarkStart w:id="69" w:name="_Toc107401919"/>
      <w:r>
        <w:rPr>
          <w:rStyle w:val="CharSectno"/>
        </w:rPr>
        <w:t>47</w:t>
      </w:r>
      <w:r>
        <w:rPr>
          <w:snapToGrid w:val="0"/>
        </w:rPr>
        <w:t>.</w:t>
      </w:r>
      <w:r>
        <w:rPr>
          <w:snapToGrid w:val="0"/>
        </w:rPr>
        <w:tab/>
        <w:t>Completed major land transactions, information about in annual financial report</w:t>
      </w:r>
      <w:bookmarkEnd w:id="69"/>
    </w:p>
    <w:p>
      <w:pPr>
        <w:pStyle w:val="Subsection"/>
        <w:keepNext/>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w:t>
      </w:r>
    </w:p>
    <w:p>
      <w:pPr>
        <w:pStyle w:val="Indenta"/>
        <w:keepNext/>
        <w:rPr>
          <w:snapToGrid w:val="0"/>
        </w:rPr>
      </w:pPr>
      <w:r>
        <w:rPr>
          <w:snapToGrid w:val="0"/>
        </w:rPr>
        <w:tab/>
        <w:t>(a)</w:t>
      </w:r>
      <w:r>
        <w:rPr>
          <w:snapToGrid w:val="0"/>
        </w:rPr>
        <w:tab/>
        <w:t>disclose, separately in relation to each such transaction —</w:t>
      </w:r>
    </w:p>
    <w:p>
      <w:pPr>
        <w:pStyle w:val="Indenti"/>
        <w:rPr>
          <w:snapToGrid w:val="0"/>
        </w:rPr>
      </w:pPr>
      <w:r>
        <w:rPr>
          <w:snapToGrid w:val="0"/>
        </w:rPr>
        <w:tab/>
        <w:t>(i)</w:t>
      </w:r>
      <w:r>
        <w:rPr>
          <w:snapToGrid w:val="0"/>
        </w:rPr>
        <w:tab/>
        <w:t>details of the total income and expenditure for the transaction from the date of commencement to the date of completion; and</w:t>
      </w:r>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keepNext/>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include —</w:t>
      </w:r>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rPr>
          <w:snapToGrid w:val="0"/>
        </w:rPr>
      </w:pPr>
      <w:bookmarkStart w:id="70" w:name="_Toc107401920"/>
      <w:r>
        <w:rPr>
          <w:rStyle w:val="CharSectno"/>
        </w:rPr>
        <w:lastRenderedPageBreak/>
        <w:t>48</w:t>
      </w:r>
      <w:r>
        <w:rPr>
          <w:snapToGrid w:val="0"/>
        </w:rPr>
        <w:t>.</w:t>
      </w:r>
      <w:r>
        <w:rPr>
          <w:snapToGrid w:val="0"/>
        </w:rPr>
        <w:tab/>
        <w:t>Borrowings, information about in annual financial report</w:t>
      </w:r>
      <w:bookmarkEnd w:id="70"/>
    </w:p>
    <w:p>
      <w:pPr>
        <w:pStyle w:val="Subsection"/>
        <w:keepNext/>
        <w:rPr>
          <w:snapToGrid w:val="0"/>
        </w:rPr>
      </w:pPr>
      <w:r>
        <w:rPr>
          <w:snapToGrid w:val="0"/>
        </w:rPr>
        <w:tab/>
      </w:r>
      <w:r>
        <w:rPr>
          <w:snapToGrid w:val="0"/>
        </w:rPr>
        <w:tab/>
        <w:t>The annual financial report is to include —</w:t>
      </w:r>
    </w:p>
    <w:p>
      <w:pPr>
        <w:pStyle w:val="Indenta"/>
        <w:keepNext/>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spacing w:before="70"/>
        <w:rPr>
          <w:snapToGrid w:val="0"/>
          <w:spacing w:val="-4"/>
        </w:rPr>
      </w:pPr>
      <w:r>
        <w:rPr>
          <w:snapToGrid w:val="0"/>
          <w:spacing w:val="-4"/>
        </w:rPr>
        <w:tab/>
        <w:t>(iv)</w:t>
      </w:r>
      <w:r>
        <w:rPr>
          <w:snapToGrid w:val="0"/>
          <w:spacing w:val="-4"/>
        </w:rPr>
        <w:tab/>
        <w:t>the amount expended during the financial year; and</w:t>
      </w:r>
    </w:p>
    <w:p>
      <w:pPr>
        <w:pStyle w:val="Indenti"/>
        <w:keepNext/>
        <w:spacing w:before="70"/>
        <w:rPr>
          <w:snapToGrid w:val="0"/>
        </w:rPr>
      </w:pPr>
      <w:r>
        <w:rPr>
          <w:snapToGrid w:val="0"/>
        </w:rPr>
        <w:tab/>
        <w:t>(v)</w:t>
      </w:r>
      <w:r>
        <w:rPr>
          <w:snapToGrid w:val="0"/>
        </w:rPr>
        <w:tab/>
        <w:t>the amount remaining unspent at 30 June;</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(b)</w:t>
      </w:r>
      <w:r>
        <w:rPr>
          <w:snapToGrid w:val="0"/>
        </w:rPr>
        <w:tab/>
        <w:t xml:space="preserve">in relation to a principal amount carried forward by way of overdrawings on current </w:t>
      </w:r>
      <w:r>
        <w:t>account (the</w:t>
      </w:r>
      <w:r>
        <w:rPr>
          <w:rStyle w:val="CharDefText"/>
        </w:rPr>
        <w:t xml:space="preserve"> overdraft</w:t>
      </w:r>
      <w:r>
        <w:rPr>
          <w:snapToGrid w:val="0"/>
        </w:rPr>
        <w:t>) from the previous financial year, details of the overdraft including —</w:t>
      </w:r>
    </w:p>
    <w:p>
      <w:pPr>
        <w:pStyle w:val="Indenti"/>
        <w:spacing w:before="70"/>
        <w:rPr>
          <w:snapToGrid w:val="0"/>
        </w:rPr>
      </w:pPr>
      <w:r>
        <w:rPr>
          <w:snapToGrid w:val="0"/>
        </w:rPr>
        <w:tab/>
        <w:t>(i)</w:t>
      </w:r>
      <w:r>
        <w:rPr>
          <w:snapToGrid w:val="0"/>
        </w:rPr>
        <w:tab/>
        <w:t>the amount brought forward on 1 July; and</w:t>
      </w:r>
    </w:p>
    <w:p>
      <w:pPr>
        <w:pStyle w:val="Indenti"/>
        <w:spacing w:before="70"/>
        <w:rPr>
          <w:snapToGrid w:val="0"/>
        </w:rPr>
      </w:pPr>
      <w:r>
        <w:rPr>
          <w:snapToGrid w:val="0"/>
        </w:rPr>
        <w:tab/>
        <w:t>(ii)</w:t>
      </w:r>
      <w:r>
        <w:rPr>
          <w:snapToGrid w:val="0"/>
        </w:rPr>
        <w:tab/>
        <w:t>the purpose for which the overdraft was established; and</w:t>
      </w:r>
    </w:p>
    <w:p>
      <w:pPr>
        <w:pStyle w:val="Indenti"/>
        <w:spacing w:before="70"/>
        <w:rPr>
          <w:snapToGrid w:val="0"/>
        </w:rPr>
      </w:pPr>
      <w:r>
        <w:rPr>
          <w:snapToGrid w:val="0"/>
        </w:rPr>
        <w:tab/>
        <w:t>(iii)</w:t>
      </w:r>
      <w:r>
        <w:rPr>
          <w:snapToGrid w:val="0"/>
        </w:rPr>
        <w:tab/>
        <w:t>the year in which the overdraft was first established; and</w:t>
      </w:r>
    </w:p>
    <w:p>
      <w:pPr>
        <w:pStyle w:val="Indenti"/>
        <w:spacing w:before="70"/>
        <w:rPr>
          <w:snapToGrid w:val="0"/>
        </w:rPr>
      </w:pPr>
      <w:r>
        <w:rPr>
          <w:snapToGrid w:val="0"/>
        </w:rPr>
        <w:tab/>
        <w:t>(iv)</w:t>
      </w:r>
      <w:r>
        <w:rPr>
          <w:snapToGrid w:val="0"/>
        </w:rPr>
        <w:tab/>
        <w:t>the amount by which the overdraft was increased or decreased during the financial year; and</w:t>
      </w:r>
    </w:p>
    <w:p>
      <w:pPr>
        <w:pStyle w:val="Indenti"/>
        <w:keepNext/>
        <w:spacing w:before="70"/>
        <w:rPr>
          <w:snapToGrid w:val="0"/>
        </w:rPr>
      </w:pPr>
      <w:r>
        <w:rPr>
          <w:snapToGrid w:val="0"/>
        </w:rPr>
        <w:tab/>
        <w:t>(v)</w:t>
      </w:r>
      <w:r>
        <w:rPr>
          <w:snapToGrid w:val="0"/>
        </w:rPr>
        <w:tab/>
        <w:t>the amount of overdraft remaining at 30 June;</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spacing w:before="70"/>
        <w:rPr>
          <w:snapToGrid w:val="0"/>
        </w:rPr>
      </w:pPr>
      <w:r>
        <w:rPr>
          <w:snapToGrid w:val="0"/>
        </w:rPr>
        <w:tab/>
        <w:t>(i)</w:t>
      </w:r>
      <w:r>
        <w:rPr>
          <w:snapToGrid w:val="0"/>
        </w:rPr>
        <w:tab/>
        <w:t>the amount so applied; and</w:t>
      </w:r>
    </w:p>
    <w:p>
      <w:pPr>
        <w:pStyle w:val="Indenti"/>
        <w:spacing w:before="70"/>
        <w:rPr>
          <w:snapToGrid w:val="0"/>
        </w:rPr>
      </w:pPr>
      <w:r>
        <w:rPr>
          <w:snapToGrid w:val="0"/>
        </w:rPr>
        <w:tab/>
        <w:t>(ii)</w:t>
      </w:r>
      <w:r>
        <w:rPr>
          <w:snapToGrid w:val="0"/>
        </w:rPr>
        <w:tab/>
        <w:t>the purpose for which the money was borrowed; and</w:t>
      </w:r>
    </w:p>
    <w:p>
      <w:pPr>
        <w:pStyle w:val="Indenti"/>
        <w:spacing w:before="70"/>
        <w:rPr>
          <w:snapToGrid w:val="0"/>
        </w:rPr>
      </w:pPr>
      <w:r>
        <w:rPr>
          <w:snapToGrid w:val="0"/>
        </w:rPr>
        <w:tab/>
        <w:t>(iii)</w:t>
      </w:r>
      <w:r>
        <w:rPr>
          <w:snapToGrid w:val="0"/>
        </w:rPr>
        <w:tab/>
        <w:t>the purpose to which the money was applied; and</w:t>
      </w:r>
    </w:p>
    <w:p>
      <w:pPr>
        <w:pStyle w:val="Indenti"/>
        <w:keepNext/>
        <w:spacing w:before="70"/>
        <w:rPr>
          <w:snapToGrid w:val="0"/>
        </w:rPr>
      </w:pPr>
      <w:r>
        <w:rPr>
          <w:snapToGrid w:val="0"/>
        </w:rPr>
        <w:lastRenderedPageBreak/>
        <w:tab/>
        <w:t>(iv)</w:t>
      </w:r>
      <w:r>
        <w:rPr>
          <w:snapToGrid w:val="0"/>
        </w:rPr>
        <w:tab/>
        <w:t>the objects of, and reasons for, the application of the money to that purpose;</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(d)</w:t>
      </w:r>
      <w:r>
        <w:rPr>
          <w:snapToGrid w:val="0"/>
        </w:rPr>
        <w:tab/>
        <w:t>where, in the financial year to which the budget relates, the power to borrow under section 6.20 was exercised, details of —</w:t>
      </w:r>
    </w:p>
    <w:p>
      <w:pPr>
        <w:pStyle w:val="Indenti"/>
        <w:spacing w:before="70"/>
        <w:rPr>
          <w:snapToGrid w:val="0"/>
        </w:rPr>
      </w:pPr>
      <w:r>
        <w:rPr>
          <w:snapToGrid w:val="0"/>
        </w:rPr>
        <w:tab/>
        <w:t>(i)</w:t>
      </w:r>
      <w:r>
        <w:rPr>
          <w:snapToGrid w:val="0"/>
        </w:rPr>
        <w:tab/>
        <w:t>the amount borrowed; and</w:t>
      </w:r>
    </w:p>
    <w:p>
      <w:pPr>
        <w:pStyle w:val="Indenti"/>
        <w:spacing w:before="70"/>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person from whom the money was borrowed; and</w:t>
      </w:r>
    </w:p>
    <w:p>
      <w:pPr>
        <w:pStyle w:val="Indenti"/>
        <w:rPr>
          <w:snapToGrid w:val="0"/>
        </w:rPr>
      </w:pPr>
      <w:r>
        <w:rPr>
          <w:snapToGrid w:val="0"/>
        </w:rPr>
        <w:tab/>
        <w:t>(iv)</w:t>
      </w:r>
      <w:r>
        <w:rPr>
          <w:snapToGrid w:val="0"/>
        </w:rPr>
        <w:tab/>
        <w:t>the nature of the financial accommodation; and</w:t>
      </w:r>
    </w:p>
    <w:p>
      <w:pPr>
        <w:pStyle w:val="Indenti"/>
        <w:rPr>
          <w:snapToGrid w:val="0"/>
        </w:rPr>
      </w:pPr>
      <w:r>
        <w:rPr>
          <w:snapToGrid w:val="0"/>
        </w:rPr>
        <w:tab/>
        <w:t>(v)</w:t>
      </w:r>
      <w:r>
        <w:rPr>
          <w:snapToGrid w:val="0"/>
        </w:rPr>
        <w:tab/>
        <w:t>the term of the repayment; and</w:t>
      </w:r>
    </w:p>
    <w:p>
      <w:pPr>
        <w:pStyle w:val="Indenti"/>
        <w:rPr>
          <w:snapToGrid w:val="0"/>
        </w:rPr>
      </w:pPr>
      <w:r>
        <w:rPr>
          <w:snapToGrid w:val="0"/>
        </w:rPr>
        <w:tab/>
        <w:t>(vi)</w:t>
      </w:r>
      <w:r>
        <w:rPr>
          <w:snapToGrid w:val="0"/>
        </w:rPr>
        <w:tab/>
        <w:t>the interest and other charges payable; and</w:t>
      </w:r>
    </w:p>
    <w:p>
      <w:pPr>
        <w:pStyle w:val="Indenti"/>
        <w:rPr>
          <w:snapToGrid w:val="0"/>
        </w:rPr>
      </w:pPr>
      <w:r>
        <w:rPr>
          <w:snapToGrid w:val="0"/>
        </w:rPr>
        <w:tab/>
        <w:t>(vii)</w:t>
      </w:r>
      <w:r>
        <w:rPr>
          <w:snapToGrid w:val="0"/>
        </w:rPr>
        <w:tab/>
        <w:t>the amount of the borrowings used during the financial year; and</w:t>
      </w:r>
    </w:p>
    <w:p>
      <w:pPr>
        <w:pStyle w:val="Indenti"/>
        <w:keepNext/>
        <w:rPr>
          <w:snapToGrid w:val="0"/>
        </w:rPr>
      </w:pPr>
      <w:r>
        <w:rPr>
          <w:snapToGrid w:val="0"/>
        </w:rPr>
        <w:tab/>
        <w:t>(viii)</w:t>
      </w:r>
      <w:r>
        <w:rPr>
          <w:snapToGrid w:val="0"/>
        </w:rPr>
        <w:tab/>
        <w:t>the amount remaining unused at 30 June;</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financing existing borrowings, in lieu of the details set forth in paragraph (d), details of —</w:t>
      </w:r>
    </w:p>
    <w:p>
      <w:pPr>
        <w:pStyle w:val="Indenti"/>
        <w:rPr>
          <w:snapToGrid w:val="0"/>
        </w:rPr>
      </w:pPr>
      <w:r>
        <w:rPr>
          <w:snapToGrid w:val="0"/>
        </w:rPr>
        <w:tab/>
        <w:t>(i)</w:t>
      </w:r>
      <w:r>
        <w:rPr>
          <w:snapToGrid w:val="0"/>
        </w:rPr>
        <w:tab/>
        <w:t>the amount re</w:t>
      </w:r>
      <w:r>
        <w:rPr>
          <w:snapToGrid w:val="0"/>
        </w:rPr>
        <w:noBreakHyphen/>
        <w:t>financed; and</w:t>
      </w:r>
    </w:p>
    <w:p>
      <w:pPr>
        <w:pStyle w:val="Indenti"/>
        <w:rPr>
          <w:snapToGrid w:val="0"/>
        </w:rPr>
      </w:pPr>
      <w:r>
        <w:rPr>
          <w:snapToGrid w:val="0"/>
        </w:rPr>
        <w:tab/>
        <w:t>(ii)</w:t>
      </w:r>
      <w:r>
        <w:rPr>
          <w:snapToGrid w:val="0"/>
        </w:rPr>
        <w:tab/>
        <w:t>the person from whom the money was borrowed; and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keepNext/>
        <w:rPr>
          <w:snapToGrid w:val="0"/>
        </w:rPr>
      </w:pPr>
      <w:r>
        <w:rPr>
          <w:snapToGrid w:val="0"/>
        </w:rPr>
        <w:lastRenderedPageBreak/>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(f)</w:t>
      </w:r>
      <w:r>
        <w:rPr>
          <w:snapToGrid w:val="0"/>
        </w:rPr>
        <w:tab/>
        <w:t>in relation to the repayment of money borrowed, details, by program, of —</w:t>
      </w:r>
    </w:p>
    <w:p>
      <w:pPr>
        <w:pStyle w:val="Indenti"/>
        <w:rPr>
          <w:snapToGrid w:val="0"/>
        </w:rPr>
      </w:pPr>
      <w:r>
        <w:rPr>
          <w:snapToGrid w:val="0"/>
        </w:rPr>
        <w:tab/>
        <w:t>(i)</w:t>
      </w:r>
      <w:r>
        <w:rPr>
          <w:snapToGrid w:val="0"/>
        </w:rPr>
        <w:tab/>
        <w:t>the unpaid principal sum brought forward on 1 July; and</w:t>
      </w:r>
    </w:p>
    <w:p>
      <w:pPr>
        <w:pStyle w:val="Indenti"/>
        <w:rPr>
          <w:snapToGrid w:val="0"/>
        </w:rPr>
      </w:pPr>
      <w:r>
        <w:rPr>
          <w:snapToGrid w:val="0"/>
        </w:rPr>
        <w:tab/>
        <w:t>(ii)</w:t>
      </w:r>
      <w:r>
        <w:rPr>
          <w:snapToGrid w:val="0"/>
        </w:rPr>
        <w:tab/>
        <w:t>the total interest and other charges incurred during the financial year; and</w:t>
      </w:r>
    </w:p>
    <w:p>
      <w:pPr>
        <w:pStyle w:val="Indenti"/>
        <w:rPr>
          <w:snapToGrid w:val="0"/>
        </w:rPr>
      </w:pPr>
      <w:r>
        <w:rPr>
          <w:snapToGrid w:val="0"/>
        </w:rPr>
        <w:tab/>
        <w:t>(iii)</w:t>
      </w:r>
      <w:r>
        <w:rPr>
          <w:snapToGrid w:val="0"/>
        </w:rPr>
        <w:tab/>
        <w:t>the total expense incurred in the reduction of the principal sum during the financial year; and</w:t>
      </w:r>
    </w:p>
    <w:p>
      <w:pPr>
        <w:pStyle w:val="Indenti"/>
        <w:rPr>
          <w:snapToGrid w:val="0"/>
        </w:rPr>
      </w:pPr>
      <w:r>
        <w:rPr>
          <w:snapToGrid w:val="0"/>
        </w:rPr>
        <w:tab/>
        <w:t>(iv)</w:t>
      </w:r>
      <w:r>
        <w:rPr>
          <w:snapToGrid w:val="0"/>
        </w:rPr>
        <w:tab/>
        <w:t>the principal liability remaining at 30 June; and</w:t>
      </w:r>
    </w:p>
    <w:p>
      <w:pPr>
        <w:pStyle w:val="Indenti"/>
        <w:keepNext/>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ind w:left="890" w:hanging="890"/>
      </w:pPr>
      <w:r>
        <w:tab/>
        <w:t>[Regulation 48 amended: Gazette 31 Mar 2005 p. 1051.]</w:t>
      </w:r>
    </w:p>
    <w:p>
      <w:pPr>
        <w:pStyle w:val="Heading5"/>
        <w:rPr>
          <w:snapToGrid w:val="0"/>
        </w:rPr>
      </w:pPr>
      <w:bookmarkStart w:id="71" w:name="_Toc107401921"/>
      <w:r>
        <w:rPr>
          <w:rStyle w:val="CharSectno"/>
        </w:rPr>
        <w:t>49</w:t>
      </w:r>
      <w:r>
        <w:rPr>
          <w:snapToGrid w:val="0"/>
        </w:rPr>
        <w:t>.</w:t>
      </w:r>
      <w:r>
        <w:rPr>
          <w:snapToGrid w:val="0"/>
        </w:rPr>
        <w:tab/>
        <w:t>Invested money, information about in annual financial report</w:t>
      </w:r>
      <w:bookmarkEnd w:id="71"/>
    </w:p>
    <w:p>
      <w:pPr>
        <w:pStyle w:val="Subsection"/>
        <w:keepNext/>
        <w:rPr>
          <w:snapToGrid w:val="0"/>
        </w:rPr>
      </w:pPr>
      <w:r>
        <w:rPr>
          <w:snapToGrid w:val="0"/>
        </w:rPr>
        <w:tab/>
      </w:r>
      <w:r>
        <w:rPr>
          <w:snapToGrid w:val="0"/>
        </w:rPr>
        <w:tab/>
        <w:t>The annual financial report is to include, in relation to money invested, details of —</w:t>
      </w:r>
    </w:p>
    <w:p>
      <w:pPr>
        <w:pStyle w:val="Indenta"/>
        <w:spacing w:before="60"/>
        <w:rPr>
          <w:snapToGrid w:val="0"/>
        </w:rPr>
      </w:pPr>
      <w:r>
        <w:rPr>
          <w:snapToGrid w:val="0"/>
        </w:rPr>
        <w:tab/>
        <w:t>(a)</w:t>
      </w:r>
      <w:r>
        <w:rPr>
          <w:snapToGrid w:val="0"/>
        </w:rPr>
        <w:tab/>
        <w:t>the amount earned from the investment of money held in reserve; and</w:t>
      </w:r>
    </w:p>
    <w:p>
      <w:pPr>
        <w:pStyle w:val="Indenta"/>
        <w:spacing w:before="60"/>
        <w:rPr>
          <w:snapToGrid w:val="0"/>
        </w:rPr>
      </w:pPr>
      <w:r>
        <w:rPr>
          <w:snapToGrid w:val="0"/>
        </w:rPr>
        <w:tab/>
        <w:t>(b)</w:t>
      </w:r>
      <w:r>
        <w:rPr>
          <w:snapToGrid w:val="0"/>
        </w:rPr>
        <w:tab/>
        <w:t>the amount earned from the investment of other money; and</w:t>
      </w:r>
    </w:p>
    <w:p>
      <w:pPr>
        <w:pStyle w:val="Indenta"/>
        <w:spacing w:before="60"/>
        <w:rPr>
          <w:snapToGrid w:val="0"/>
        </w:rPr>
      </w:pPr>
      <w:r>
        <w:rPr>
          <w:snapToGrid w:val="0"/>
        </w:rPr>
        <w:tab/>
        <w:t>(c)</w:t>
      </w:r>
      <w:r>
        <w:rPr>
          <w:snapToGrid w:val="0"/>
        </w:rPr>
        <w:tab/>
        <w:t>the total earnings from investments.</w:t>
      </w:r>
    </w:p>
    <w:p>
      <w:pPr>
        <w:pStyle w:val="Ednotesection"/>
      </w:pPr>
      <w:r>
        <w:t>[</w:t>
      </w:r>
      <w:r>
        <w:rPr>
          <w:b/>
        </w:rPr>
        <w:t>50.</w:t>
      </w:r>
      <w:r>
        <w:tab/>
        <w:t>Deleted: SL 2022/88 r. 10.]</w:t>
      </w:r>
    </w:p>
    <w:p>
      <w:pPr>
        <w:pStyle w:val="Heading5"/>
        <w:rPr>
          <w:snapToGrid w:val="0"/>
        </w:rPr>
      </w:pPr>
      <w:bookmarkStart w:id="72" w:name="_Toc107401922"/>
      <w:r>
        <w:rPr>
          <w:rStyle w:val="CharSectno"/>
        </w:rPr>
        <w:t>51</w:t>
      </w:r>
      <w:r>
        <w:rPr>
          <w:snapToGrid w:val="0"/>
        </w:rPr>
        <w:t>.</w:t>
      </w:r>
      <w:r>
        <w:rPr>
          <w:snapToGrid w:val="0"/>
        </w:rPr>
        <w:tab/>
        <w:t>Annual financial report to be signed etc. by CEO and given to Department</w:t>
      </w:r>
      <w:bookmarkEnd w:id="72"/>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keepNext/>
        <w:rPr>
          <w:snapToGrid w:val="0"/>
        </w:rPr>
      </w:pPr>
      <w:r>
        <w:rPr>
          <w:snapToGrid w:val="0"/>
        </w:rPr>
        <w:lastRenderedPageBreak/>
        <w:tab/>
        <w:t>(2)</w:t>
      </w:r>
      <w:r>
        <w:rPr>
          <w:snapToGrid w:val="0"/>
        </w:rPr>
        <w:tab/>
        <w:t xml:space="preserve">A copy of the annual financial report of a local government is to be submitted to the </w:t>
      </w:r>
      <w:r>
        <w:t>Departmental CEO</w:t>
      </w:r>
      <w:r>
        <w:rPr>
          <w:snapToGrid w:val="0"/>
        </w:rPr>
        <w:t xml:space="preserve"> within 30 days of the receipt by the </w:t>
      </w:r>
      <w:r>
        <w:t>local government’s</w:t>
      </w:r>
      <w:r>
        <w:rPr>
          <w:snapToGrid w:val="0"/>
        </w:rPr>
        <w:t xml:space="preserve"> CEO of the auditor’s report on that financial report.</w:t>
      </w:r>
    </w:p>
    <w:p>
      <w:pPr>
        <w:pStyle w:val="Footnotesection"/>
      </w:pPr>
      <w:r>
        <w:tab/>
        <w:t>[Regulation 51 amended: Gazette 18 Jun 1999 p. 2639; 20 Jun 2008 p. 2726.]</w:t>
      </w:r>
    </w:p>
    <w:p>
      <w:pPr>
        <w:pStyle w:val="Heading2"/>
      </w:pPr>
      <w:bookmarkStart w:id="73" w:name="_Toc107223025"/>
      <w:bookmarkStart w:id="74" w:name="_Toc107223673"/>
      <w:bookmarkStart w:id="75" w:name="_Toc107401923"/>
      <w:r>
        <w:rPr>
          <w:rStyle w:val="CharPartNo"/>
        </w:rPr>
        <w:lastRenderedPageBreak/>
        <w:t>Part 5</w:t>
      </w:r>
      <w:r>
        <w:rPr>
          <w:rStyle w:val="CharDivNo"/>
        </w:rPr>
        <w:t> </w:t>
      </w:r>
      <w:r>
        <w:t>—</w:t>
      </w:r>
      <w:r>
        <w:rPr>
          <w:rStyle w:val="CharDivText"/>
        </w:rPr>
        <w:t> </w:t>
      </w:r>
      <w:r>
        <w:rPr>
          <w:rStyle w:val="CharPartText"/>
        </w:rPr>
        <w:t>Rates and service charges</w:t>
      </w:r>
      <w:bookmarkEnd w:id="73"/>
      <w:bookmarkEnd w:id="74"/>
      <w:bookmarkEnd w:id="75"/>
    </w:p>
    <w:p>
      <w:pPr>
        <w:pStyle w:val="Heading5"/>
      </w:pPr>
      <w:bookmarkStart w:id="76" w:name="_Toc107401924"/>
      <w:r>
        <w:rPr>
          <w:rStyle w:val="CharSectno"/>
        </w:rPr>
        <w:t>52A</w:t>
      </w:r>
      <w:r>
        <w:t>.</w:t>
      </w:r>
      <w:r>
        <w:tab/>
        <w:t>Characteristics prescribed for differential general rates (Act s. 6.33)</w:t>
      </w:r>
      <w:bookmarkEnd w:id="7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(Financial Management) Amendment Regulations (No. 2) 2012</w:t>
      </w:r>
      <w:r>
        <w:t xml:space="preserve"> regulation 5 comes into operation;</w:t>
      </w:r>
    </w:p>
    <w:p>
      <w:pPr>
        <w:pStyle w:val="Defstart"/>
      </w:pPr>
      <w:r>
        <w:tab/>
      </w:r>
      <w:r>
        <w:rPr>
          <w:rStyle w:val="CharDefText"/>
        </w:rPr>
        <w:t>relevant district</w:t>
      </w:r>
      <w:r>
        <w:t xml:space="preserve"> means a district that — </w:t>
      </w:r>
    </w:p>
    <w:p>
      <w:pPr>
        <w:pStyle w:val="Defpara"/>
      </w:pPr>
      <w:r>
        <w:tab/>
        <w:t>(a)</w:t>
      </w:r>
      <w:r>
        <w:tab/>
        <w:t>is declared to be a district by an order made under section 2.1(1)(a) on or after commencement day; or</w:t>
      </w:r>
    </w:p>
    <w:p>
      <w:pPr>
        <w:pStyle w:val="Defpara"/>
      </w:pPr>
      <w:r>
        <w:tab/>
        <w:t>(b)</w:t>
      </w:r>
      <w:r>
        <w:tab/>
        <w:t>has its boundaries changed by an order made under section 2.1(1)(b) on or after commencement day.</w:t>
      </w:r>
    </w:p>
    <w:p>
      <w:pPr>
        <w:pStyle w:val="Subsection"/>
      </w:pPr>
      <w:r>
        <w:tab/>
        <w:t>(2)</w:t>
      </w:r>
      <w:r>
        <w:tab/>
        <w:t xml:space="preserve">For the purposes of section 6.33(1)(d), the following characteristics are prescribed in relation to land in a relevant district, where not more than 5 years has elapsed since the district last became a relevant district — </w:t>
      </w:r>
    </w:p>
    <w:p>
      <w:pPr>
        <w:pStyle w:val="Indenta"/>
      </w:pPr>
      <w:r>
        <w:tab/>
        <w:t>(a)</w:t>
      </w:r>
      <w:r>
        <w:tab/>
        <w:t xml:space="preserve">whether or not the land is situated in a townsite as defined in the </w:t>
      </w:r>
      <w:r>
        <w:rPr>
          <w:i/>
        </w:rPr>
        <w:t>Land Administration Act 1997</w:t>
      </w:r>
      <w:r>
        <w:t xml:space="preserve"> section 3(1);</w:t>
      </w:r>
    </w:p>
    <w:p>
      <w:pPr>
        <w:pStyle w:val="Indenta"/>
      </w:pPr>
      <w:r>
        <w:tab/>
        <w:t>(b)</w:t>
      </w:r>
      <w:r>
        <w:tab/>
        <w:t>whether or not the land is situated in a particular part of the district of the local government.</w:t>
      </w:r>
    </w:p>
    <w:p>
      <w:pPr>
        <w:pStyle w:val="Footnotesection"/>
      </w:pPr>
      <w:r>
        <w:tab/>
        <w:t>[Regulation 52A inserted: Gazette 29 Jun 2012 p. 2953.]</w:t>
      </w:r>
    </w:p>
    <w:p>
      <w:pPr>
        <w:pStyle w:val="Heading5"/>
        <w:rPr>
          <w:snapToGrid w:val="0"/>
        </w:rPr>
      </w:pPr>
      <w:bookmarkStart w:id="77" w:name="_Toc107401925"/>
      <w:r>
        <w:rPr>
          <w:rStyle w:val="CharSectno"/>
        </w:rPr>
        <w:t>52</w:t>
      </w:r>
      <w:r>
        <w:rPr>
          <w:snapToGrid w:val="0"/>
        </w:rPr>
        <w:t>.</w:t>
      </w:r>
      <w:r>
        <w:rPr>
          <w:snapToGrid w:val="0"/>
        </w:rPr>
        <w:tab/>
        <w:t>Percentage prescribed for minimum payment (Act s. 6.35(4))</w:t>
      </w:r>
      <w:bookmarkEnd w:id="77"/>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78" w:name="_Toc107401926"/>
      <w:r>
        <w:rPr>
          <w:rStyle w:val="CharSectno"/>
        </w:rPr>
        <w:t>53</w:t>
      </w:r>
      <w:r>
        <w:rPr>
          <w:snapToGrid w:val="0"/>
        </w:rPr>
        <w:t>.</w:t>
      </w:r>
      <w:r>
        <w:rPr>
          <w:snapToGrid w:val="0"/>
        </w:rPr>
        <w:tab/>
        <w:t>Amount prescribed for minimum payment (Act s. </w:t>
      </w:r>
      <w:r>
        <w:rPr>
          <w:rStyle w:val="CharSectno"/>
        </w:rPr>
        <w:t>6</w:t>
      </w:r>
      <w:r>
        <w:rPr>
          <w:snapToGrid w:val="0"/>
        </w:rPr>
        <w:t>.35(4))</w:t>
      </w:r>
      <w:bookmarkEnd w:id="78"/>
    </w:p>
    <w:p>
      <w:pPr>
        <w:pStyle w:val="Subsection"/>
        <w:rPr>
          <w:snapToGrid w:val="0"/>
        </w:rPr>
      </w:pPr>
      <w:r>
        <w:rPr>
          <w:snapToGrid w:val="0"/>
        </w:rPr>
        <w:tab/>
      </w:r>
      <w:r>
        <w:rPr>
          <w:snapToGrid w:val="0"/>
        </w:rPr>
        <w:tab/>
        <w:t>The amount prescribed for the purposes of section 6.35(4) is $200.</w:t>
      </w:r>
    </w:p>
    <w:p>
      <w:pPr>
        <w:pStyle w:val="Heading5"/>
      </w:pPr>
      <w:bookmarkStart w:id="79" w:name="_Toc107401927"/>
      <w:r>
        <w:rPr>
          <w:rStyle w:val="CharSectno"/>
        </w:rPr>
        <w:lastRenderedPageBreak/>
        <w:t>54</w:t>
      </w:r>
      <w:r>
        <w:t>.</w:t>
      </w:r>
      <w:r>
        <w:tab/>
      </w:r>
      <w:r>
        <w:rPr>
          <w:snapToGrid w:val="0"/>
        </w:rPr>
        <w:t>Works etc. prescribed for service charges on land (Act s. 6.38(1))</w:t>
      </w:r>
      <w:bookmarkEnd w:id="79"/>
    </w:p>
    <w:p>
      <w:pPr>
        <w:pStyle w:val="Subsection"/>
        <w:rPr>
          <w:snapToGrid w:val="0"/>
        </w:rPr>
      </w:pPr>
      <w:r>
        <w:tab/>
      </w:r>
      <w:r>
        <w:tab/>
      </w:r>
      <w:r>
        <w:rPr>
          <w:snapToGrid w:val="0"/>
        </w:rPr>
        <w:t xml:space="preserve">For the purposes of section 6.38(1), the following are prescribed as works, services and facilities — </w:t>
      </w:r>
    </w:p>
    <w:p>
      <w:pPr>
        <w:pStyle w:val="Indenta"/>
        <w:rPr>
          <w:snapToGrid w:val="0"/>
        </w:rPr>
      </w:pPr>
      <w:r>
        <w:tab/>
        <w:t>(a)</w:t>
      </w:r>
      <w:r>
        <w:tab/>
      </w:r>
      <w:r>
        <w:rPr>
          <w:snapToGrid w:val="0"/>
        </w:rPr>
        <w:t>property surveillance and security;</w:t>
      </w:r>
    </w:p>
    <w:p>
      <w:pPr>
        <w:pStyle w:val="Indenta"/>
        <w:rPr>
          <w:snapToGrid w:val="0"/>
        </w:rPr>
      </w:pPr>
      <w:r>
        <w:rPr>
          <w:snapToGrid w:val="0"/>
        </w:rPr>
        <w:tab/>
        <w:t>(b)</w:t>
      </w:r>
      <w:r>
        <w:rPr>
          <w:snapToGrid w:val="0"/>
        </w:rPr>
        <w:tab/>
        <w:t>television and radio rebroadcasting;</w:t>
      </w:r>
    </w:p>
    <w:p>
      <w:pPr>
        <w:pStyle w:val="Indenta"/>
        <w:rPr>
          <w:snapToGrid w:val="0"/>
        </w:rPr>
      </w:pPr>
      <w:r>
        <w:rPr>
          <w:snapToGrid w:val="0"/>
        </w:rPr>
        <w:tab/>
        <w:t>(c)</w:t>
      </w:r>
      <w:r>
        <w:rPr>
          <w:snapToGrid w:val="0"/>
        </w:rPr>
        <w:tab/>
        <w:t>underground electricity;</w:t>
      </w:r>
    </w:p>
    <w:p>
      <w:pPr>
        <w:pStyle w:val="Indenta"/>
        <w:rPr>
          <w:snapToGrid w:val="0"/>
        </w:rPr>
      </w:pPr>
      <w:r>
        <w:rPr>
          <w:snapToGrid w:val="0"/>
        </w:rPr>
        <w:tab/>
        <w:t>(d)</w:t>
      </w:r>
      <w:r>
        <w:rPr>
          <w:snapToGrid w:val="0"/>
        </w:rPr>
        <w:tab/>
      </w:r>
      <w:r>
        <w:t>water.</w:t>
      </w:r>
    </w:p>
    <w:p>
      <w:pPr>
        <w:pStyle w:val="Footnotesection"/>
      </w:pPr>
      <w:r>
        <w:tab/>
        <w:t>[Regulation 54 inserted: Gazette 20 Apr 2012 p. 1704.]</w:t>
      </w:r>
    </w:p>
    <w:p>
      <w:pPr>
        <w:pStyle w:val="Heading5"/>
        <w:rPr>
          <w:snapToGrid w:val="0"/>
        </w:rPr>
      </w:pPr>
      <w:bookmarkStart w:id="80" w:name="_Toc107401928"/>
      <w:r>
        <w:rPr>
          <w:rStyle w:val="CharSectno"/>
        </w:rPr>
        <w:t>55</w:t>
      </w:r>
      <w:r>
        <w:rPr>
          <w:snapToGrid w:val="0"/>
        </w:rPr>
        <w:t>.</w:t>
      </w:r>
      <w:r>
        <w:rPr>
          <w:snapToGrid w:val="0"/>
        </w:rPr>
        <w:tab/>
        <w:t>Rate record, form of etc. (Act s. 6.39(1))</w:t>
      </w:r>
      <w:bookmarkEnd w:id="80"/>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 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 and</w:t>
      </w:r>
    </w:p>
    <w:p>
      <w:pPr>
        <w:pStyle w:val="Indenti"/>
        <w:rPr>
          <w:snapToGrid w:val="0"/>
        </w:rPr>
      </w:pPr>
      <w:r>
        <w:rPr>
          <w:snapToGrid w:val="0"/>
        </w:rPr>
        <w:tab/>
        <w:t>(iii)</w:t>
      </w:r>
      <w:r>
        <w:rPr>
          <w:snapToGrid w:val="0"/>
        </w:rPr>
        <w:tab/>
        <w:t>a description of the land and its location; and</w:t>
      </w:r>
    </w:p>
    <w:p>
      <w:pPr>
        <w:pStyle w:val="Indenti"/>
        <w:rPr>
          <w:snapToGrid w:val="0"/>
        </w:rPr>
      </w:pPr>
      <w:r>
        <w:rPr>
          <w:snapToGrid w:val="0"/>
        </w:rPr>
        <w:tab/>
        <w:t>(iv)</w:t>
      </w:r>
      <w:r>
        <w:rPr>
          <w:snapToGrid w:val="0"/>
        </w:rPr>
        <w:tab/>
        <w:t>the valuation to be used for rating purposes; and</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r>
      <w:r>
        <w:rPr>
          <w:snapToGrid w:val="0"/>
        </w:rPr>
        <w:tab/>
        <w:t>and</w:t>
      </w:r>
    </w:p>
    <w:p>
      <w:pPr>
        <w:pStyle w:val="Indenti"/>
        <w:rPr>
          <w:snapToGrid w:val="0"/>
        </w:rPr>
      </w:pPr>
      <w:r>
        <w:rPr>
          <w:snapToGrid w:val="0"/>
        </w:rPr>
        <w:lastRenderedPageBreak/>
        <w:tab/>
        <w:t>(vi)</w:t>
      </w:r>
      <w:r>
        <w:rPr>
          <w:snapToGrid w:val="0"/>
        </w:rPr>
        <w:tab/>
        <w:t>if differential general rates are imposed, the characteristics of the land upon which those rates are based; and</w:t>
      </w:r>
    </w:p>
    <w:p>
      <w:pPr>
        <w:pStyle w:val="Indenti"/>
        <w:rPr>
          <w:snapToGrid w:val="0"/>
        </w:rPr>
      </w:pPr>
      <w:r>
        <w:rPr>
          <w:snapToGrid w:val="0"/>
        </w:rPr>
        <w:tab/>
        <w:t>(vii)</w:t>
      </w:r>
      <w:r>
        <w:rPr>
          <w:snapToGrid w:val="0"/>
        </w:rPr>
        <w:tab/>
        <w:t>if a minimum payment is imposed, the amount of the minimum payment; and</w:t>
      </w:r>
    </w:p>
    <w:p>
      <w:pPr>
        <w:pStyle w:val="Indenti"/>
        <w:rPr>
          <w:snapToGrid w:val="0"/>
        </w:rPr>
      </w:pPr>
      <w:r>
        <w:rPr>
          <w:snapToGrid w:val="0"/>
        </w:rPr>
        <w:tab/>
        <w:t>(viii)</w:t>
      </w:r>
      <w:r>
        <w:rPr>
          <w:snapToGrid w:val="0"/>
        </w:rPr>
        <w:tab/>
        <w:t>if a specified area rate is imposed, the purpose for which it is imposed; and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 and</w:t>
      </w:r>
    </w:p>
    <w:p>
      <w:pPr>
        <w:pStyle w:val="IndentI0"/>
        <w:rPr>
          <w:snapToGrid w:val="0"/>
        </w:rPr>
      </w:pPr>
      <w:r>
        <w:rPr>
          <w:snapToGrid w:val="0"/>
        </w:rPr>
        <w:tab/>
        <w:t>(II)</w:t>
      </w:r>
      <w:r>
        <w:rPr>
          <w:snapToGrid w:val="0"/>
        </w:rPr>
        <w:tab/>
        <w:t>any discount, waiver, concession, interest or additional charge applicable to the rates or service charges; and</w:t>
      </w:r>
    </w:p>
    <w:p>
      <w:pPr>
        <w:pStyle w:val="IndentI0"/>
        <w:rPr>
          <w:snapToGrid w:val="0"/>
        </w:rPr>
      </w:pPr>
      <w:r>
        <w:rPr>
          <w:snapToGrid w:val="0"/>
        </w:rPr>
        <w:tab/>
        <w:t>(III)</w:t>
      </w:r>
      <w:r>
        <w:rPr>
          <w:snapToGrid w:val="0"/>
        </w:rPr>
        <w:tab/>
        <w:t>amounts received in respect of the rates or service charges on the land; 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81" w:name="_Toc107401929"/>
      <w:r>
        <w:rPr>
          <w:rStyle w:val="CharSectno"/>
        </w:rPr>
        <w:t>56</w:t>
      </w:r>
      <w:r>
        <w:rPr>
          <w:snapToGrid w:val="0"/>
        </w:rPr>
        <w:t>.</w:t>
      </w:r>
      <w:r>
        <w:rPr>
          <w:snapToGrid w:val="0"/>
        </w:rPr>
        <w:tab/>
        <w:t>Rate notice, content of etc. (Act s. 6.41)</w:t>
      </w:r>
      <w:bookmarkEnd w:id="81"/>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lastRenderedPageBreak/>
        <w:tab/>
        <w:t>(3)</w:t>
      </w:r>
      <w:r>
        <w:rPr>
          <w:snapToGrid w:val="0"/>
        </w:rPr>
        <w:tab/>
        <w:t>A rate notice for land is to include —</w:t>
      </w:r>
    </w:p>
    <w:p>
      <w:pPr>
        <w:pStyle w:val="Indenta"/>
        <w:rPr>
          <w:snapToGrid w:val="0"/>
        </w:rPr>
      </w:pPr>
      <w:r>
        <w:rPr>
          <w:snapToGrid w:val="0"/>
        </w:rPr>
        <w:tab/>
        <w:t>(a)</w:t>
      </w:r>
      <w:r>
        <w:rPr>
          <w:snapToGrid w:val="0"/>
        </w:rPr>
        <w:tab/>
        <w:t>the date the notice was issued; and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details (including the amount and, where applicable, the rate in the dollar) of every rate and service charge imposed on the land; and</w:t>
      </w:r>
    </w:p>
    <w:p>
      <w:pPr>
        <w:pStyle w:val="Indenta"/>
      </w:pPr>
      <w:r>
        <w:tab/>
        <w:t>(da)</w:t>
      </w:r>
      <w:r>
        <w:tab/>
        <w:t xml:space="preserve">where, under the </w:t>
      </w:r>
      <w:r>
        <w:rPr>
          <w:i/>
        </w:rPr>
        <w:t>Rates and Charges (Rebates and Deferments) Act 1992</w:t>
      </w:r>
      <w:r>
        <w:t>, a rebate on a rate or service charge may be allowed, the amount of the probable rebate adjacent to the words “State Government Rebate”; 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 and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a minimum payment is imposed on the land, the amount of that minimum payment; and</w:t>
      </w:r>
    </w:p>
    <w:p>
      <w:pPr>
        <w:pStyle w:val="Indenta"/>
        <w:rPr>
          <w:snapToGrid w:val="0"/>
        </w:rPr>
      </w:pPr>
      <w:r>
        <w:rPr>
          <w:snapToGrid w:val="0"/>
        </w:rPr>
        <w:lastRenderedPageBreak/>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 and</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Indenta"/>
        <w:rPr>
          <w:i/>
          <w:snapToGrid w:val="0"/>
        </w:rPr>
      </w:pPr>
      <w:r>
        <w:rPr>
          <w:snapToGrid w:val="0"/>
        </w:rPr>
        <w:tab/>
      </w:r>
      <w:r>
        <w:rPr>
          <w:snapToGrid w:val="0"/>
        </w:rPr>
        <w:tab/>
        <w:t>and</w:t>
      </w:r>
    </w:p>
    <w:p>
      <w:pPr>
        <w:pStyle w:val="Ednotepara"/>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 and</w:t>
      </w:r>
    </w:p>
    <w:p>
      <w:pPr>
        <w:pStyle w:val="Indenta"/>
        <w:rPr>
          <w:snapToGrid w:val="0"/>
        </w:rPr>
      </w:pPr>
      <w:r>
        <w:rPr>
          <w:snapToGrid w:val="0"/>
        </w:rPr>
        <w:tab/>
        <w:t>(k)</w:t>
      </w:r>
      <w:r>
        <w:rPr>
          <w:snapToGrid w:val="0"/>
        </w:rPr>
        <w:tab/>
        <w:t>the date the rates or service charges become due and payable; and</w:t>
      </w:r>
    </w:p>
    <w:p>
      <w:pPr>
        <w:pStyle w:val="Indenta"/>
        <w:rPr>
          <w:snapToGrid w:val="0"/>
        </w:rPr>
      </w:pPr>
      <w:r>
        <w:rPr>
          <w:snapToGrid w:val="0"/>
        </w:rPr>
        <w:tab/>
        <w:t>(l)</w:t>
      </w:r>
      <w:r>
        <w:rPr>
          <w:snapToGrid w:val="0"/>
        </w:rPr>
        <w:tab/>
        <w:t>the place appointed for the receipt of rates or service charges and the hours during which payment may be made; and</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 and</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lastRenderedPageBreak/>
        <w:tab/>
        <w:t>(iii)</w:t>
      </w:r>
      <w:r>
        <w:rPr>
          <w:snapToGrid w:val="0"/>
        </w:rPr>
        <w:tab/>
        <w:t>any service charges imposed by the local government;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 and</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 and</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 and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 and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pPr>
      <w:r>
        <w:tab/>
      </w:r>
      <w:r>
        <w:tab/>
        <w:t>and</w:t>
      </w:r>
    </w:p>
    <w:p>
      <w:pPr>
        <w:pStyle w:val="Indenta"/>
      </w:pPr>
      <w:r>
        <w:tab/>
        <w:t>(ha)</w:t>
      </w:r>
      <w:r>
        <w:tab/>
        <w:t xml:space="preserve">a brief statement that rebates to pensioners and seniors </w:t>
      </w:r>
      <w:r>
        <w:rPr>
          <w:snapToGrid w:val="0"/>
        </w:rPr>
        <w:t xml:space="preserve">under the </w:t>
      </w:r>
      <w:r>
        <w:rPr>
          <w:i/>
          <w:snapToGrid w:val="0"/>
        </w:rPr>
        <w:t xml:space="preserve">Rates and Charges (Rebates and Deferments) </w:t>
      </w:r>
      <w:r>
        <w:rPr>
          <w:i/>
          <w:snapToGrid w:val="0"/>
        </w:rPr>
        <w:lastRenderedPageBreak/>
        <w:t xml:space="preserve">Act 1992 </w:t>
      </w:r>
      <w:r>
        <w:t>are funded by the Government of Western Australia; and</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Gazette 20 Jun 1997 p. 2843; 30 Dec 2004 p. 7015; 31 Mar 2005 p. 1052; 20 Apr 2012 p. 1704</w:t>
      </w:r>
      <w:r>
        <w:noBreakHyphen/>
        <w:t>5.]</w:t>
      </w:r>
    </w:p>
    <w:p>
      <w:pPr>
        <w:pStyle w:val="Heading5"/>
        <w:rPr>
          <w:snapToGrid w:val="0"/>
        </w:rPr>
      </w:pPr>
      <w:bookmarkStart w:id="82" w:name="_Toc107401930"/>
      <w:r>
        <w:rPr>
          <w:rStyle w:val="CharSectno"/>
        </w:rPr>
        <w:t>57</w:t>
      </w:r>
      <w:r>
        <w:rPr>
          <w:snapToGrid w:val="0"/>
        </w:rPr>
        <w:t>.</w:t>
      </w:r>
      <w:r>
        <w:rPr>
          <w:snapToGrid w:val="0"/>
        </w:rPr>
        <w:tab/>
        <w:t>Rate notice where rates being paid by instalments, content of etc. (Act s. </w:t>
      </w:r>
      <w:r>
        <w:rPr>
          <w:rStyle w:val="CharSectno"/>
        </w:rPr>
        <w:t>6</w:t>
      </w:r>
      <w:r>
        <w:rPr>
          <w:snapToGrid w:val="0"/>
        </w:rPr>
        <w:t>.41)</w:t>
      </w:r>
      <w:bookmarkEnd w:id="82"/>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 and</w:t>
      </w:r>
    </w:p>
    <w:p>
      <w:pPr>
        <w:pStyle w:val="Indenta"/>
        <w:rPr>
          <w:snapToGrid w:val="0"/>
        </w:rPr>
      </w:pPr>
      <w:r>
        <w:rPr>
          <w:snapToGrid w:val="0"/>
        </w:rPr>
        <w:tab/>
        <w:t>(b)</w:t>
      </w:r>
      <w:r>
        <w:rPr>
          <w:snapToGrid w:val="0"/>
        </w:rPr>
        <w:tab/>
        <w:t>the balance payable for the current financial year; and</w:t>
      </w:r>
    </w:p>
    <w:p>
      <w:pPr>
        <w:pStyle w:val="Indenta"/>
        <w:rPr>
          <w:snapToGrid w:val="0"/>
        </w:rPr>
      </w:pPr>
      <w:r>
        <w:rPr>
          <w:snapToGrid w:val="0"/>
        </w:rPr>
        <w:tab/>
        <w:t>(c)</w:t>
      </w:r>
      <w:r>
        <w:rPr>
          <w:snapToGrid w:val="0"/>
        </w:rPr>
        <w:tab/>
        <w:t>the amount of the instalment due; and</w:t>
      </w:r>
    </w:p>
    <w:p>
      <w:pPr>
        <w:pStyle w:val="Indenta"/>
        <w:rPr>
          <w:snapToGrid w:val="0"/>
        </w:rPr>
      </w:pPr>
      <w:r>
        <w:rPr>
          <w:snapToGrid w:val="0"/>
        </w:rPr>
        <w:tab/>
        <w:t>(d)</w:t>
      </w:r>
      <w:r>
        <w:rPr>
          <w:snapToGrid w:val="0"/>
        </w:rPr>
        <w:tab/>
        <w:t>the due date of the instalment; and</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lastRenderedPageBreak/>
        <w:tab/>
        <w:t>(2)</w:t>
      </w:r>
      <w:r>
        <w:rPr>
          <w:snapToGrid w:val="0"/>
        </w:rPr>
        <w:tab/>
        <w:t>The information required by regulation 56(4)(c), 56(4)(d) and 56(4)(h) is to accompany or be included in the notice under subregulation (1).</w:t>
      </w:r>
    </w:p>
    <w:p>
      <w:pPr>
        <w:pStyle w:val="Heading5"/>
        <w:rPr>
          <w:snapToGrid w:val="0"/>
        </w:rPr>
      </w:pPr>
      <w:bookmarkStart w:id="83" w:name="_Toc107401931"/>
      <w:r>
        <w:rPr>
          <w:rStyle w:val="CharSectno"/>
        </w:rPr>
        <w:t>58</w:t>
      </w:r>
      <w:r>
        <w:rPr>
          <w:snapToGrid w:val="0"/>
        </w:rPr>
        <w:t>.</w:t>
      </w:r>
      <w:r>
        <w:rPr>
          <w:snapToGrid w:val="0"/>
        </w:rPr>
        <w:tab/>
        <w:t>Instalments not available if land in arrears (Act s. 6.45)</w:t>
      </w:r>
      <w:bookmarkEnd w:id="83"/>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84" w:name="_Toc107401932"/>
      <w:r>
        <w:rPr>
          <w:rStyle w:val="CharSectno"/>
        </w:rPr>
        <w:t>59</w:t>
      </w:r>
      <w:r>
        <w:rPr>
          <w:snapToGrid w:val="0"/>
        </w:rPr>
        <w:t>.</w:t>
      </w:r>
      <w:r>
        <w:rPr>
          <w:snapToGrid w:val="0"/>
        </w:rPr>
        <w:tab/>
        <w:t>Instalments not available if total less than $200 (Act s. 6.45)</w:t>
      </w:r>
      <w:bookmarkEnd w:id="84"/>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Gazette 20 Jun 1997 p. 2843.]</w:t>
      </w:r>
    </w:p>
    <w:p>
      <w:pPr>
        <w:pStyle w:val="Heading5"/>
        <w:rPr>
          <w:snapToGrid w:val="0"/>
        </w:rPr>
      </w:pPr>
      <w:bookmarkStart w:id="85" w:name="_Toc107401933"/>
      <w:r>
        <w:rPr>
          <w:rStyle w:val="CharSectno"/>
        </w:rPr>
        <w:t>60</w:t>
      </w:r>
      <w:r>
        <w:rPr>
          <w:snapToGrid w:val="0"/>
        </w:rPr>
        <w:t>.</w:t>
      </w:r>
      <w:r>
        <w:rPr>
          <w:snapToGrid w:val="0"/>
        </w:rPr>
        <w:tab/>
        <w:t>Instalments, manner of electing to pay by (Act s. 6.45)</w:t>
      </w:r>
      <w:bookmarkEnd w:id="85"/>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 Gazette 20 Jun 1997 p. 2843.]</w:t>
      </w:r>
    </w:p>
    <w:p>
      <w:pPr>
        <w:pStyle w:val="Heading5"/>
        <w:rPr>
          <w:snapToGrid w:val="0"/>
        </w:rPr>
      </w:pPr>
      <w:bookmarkStart w:id="86" w:name="_Toc107401934"/>
      <w:r>
        <w:rPr>
          <w:rStyle w:val="CharSectno"/>
        </w:rPr>
        <w:t>61</w:t>
      </w:r>
      <w:r>
        <w:rPr>
          <w:snapToGrid w:val="0"/>
        </w:rPr>
        <w:t>.</w:t>
      </w:r>
      <w:r>
        <w:rPr>
          <w:snapToGrid w:val="0"/>
        </w:rPr>
        <w:tab/>
        <w:t>Instalments, additional circumstance when rates may be paid by</w:t>
      </w:r>
      <w:bookmarkEnd w:id="86"/>
    </w:p>
    <w:p>
      <w:pPr>
        <w:pStyle w:val="Subsection"/>
        <w:rPr>
          <w:snapToGrid w:val="0"/>
        </w:rPr>
      </w:pPr>
      <w:r>
        <w:rPr>
          <w:snapToGrid w:val="0"/>
        </w:rPr>
        <w:tab/>
      </w:r>
      <w:r>
        <w:rPr>
          <w:snapToGrid w:val="0"/>
        </w:rPr>
        <w:tab/>
        <w:t xml:space="preserve">Where a local government imposes rates after amending the rate record under section 6.39(2)(b) payment of the total amount of the rates may be made by the method of payment by instalments </w:t>
      </w:r>
      <w:r>
        <w:rPr>
          <w:snapToGrid w:val="0"/>
        </w:rPr>
        <w:lastRenderedPageBreak/>
        <w:t>set forth in the local government’s annual budget for the financial year in which the rates are imposed.</w:t>
      </w:r>
    </w:p>
    <w:p>
      <w:pPr>
        <w:pStyle w:val="Heading5"/>
        <w:rPr>
          <w:snapToGrid w:val="0"/>
        </w:rPr>
      </w:pPr>
      <w:bookmarkStart w:id="87" w:name="_Toc107401935"/>
      <w:r>
        <w:rPr>
          <w:rStyle w:val="CharSectno"/>
        </w:rPr>
        <w:t>62</w:t>
      </w:r>
      <w:r>
        <w:rPr>
          <w:snapToGrid w:val="0"/>
        </w:rPr>
        <w:t>.</w:t>
      </w:r>
      <w:r>
        <w:rPr>
          <w:snapToGrid w:val="0"/>
        </w:rPr>
        <w:tab/>
        <w:t>Rates re-assessed under Act s. 6.40, when rates due etc.</w:t>
      </w:r>
      <w:bookmarkEnd w:id="87"/>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88" w:name="_Toc107401936"/>
      <w:r>
        <w:rPr>
          <w:rStyle w:val="CharSectno"/>
        </w:rPr>
        <w:t>63</w:t>
      </w:r>
      <w:r>
        <w:rPr>
          <w:snapToGrid w:val="0"/>
        </w:rPr>
        <w:t>.</w:t>
      </w:r>
      <w:r>
        <w:rPr>
          <w:snapToGrid w:val="0"/>
        </w:rPr>
        <w:tab/>
        <w:t>Instalments, effect on if land sold</w:t>
      </w:r>
      <w:bookmarkEnd w:id="88"/>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89" w:name="_Toc107401937"/>
      <w:r>
        <w:rPr>
          <w:rStyle w:val="CharSectno"/>
        </w:rPr>
        <w:t>64</w:t>
      </w:r>
      <w:r>
        <w:rPr>
          <w:snapToGrid w:val="0"/>
        </w:rPr>
        <w:t>.</w:t>
      </w:r>
      <w:r>
        <w:rPr>
          <w:snapToGrid w:val="0"/>
        </w:rPr>
        <w:tab/>
        <w:t>Instalments, when to be paid</w:t>
      </w:r>
      <w:bookmarkEnd w:id="89"/>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rPr>
          <w:snapToGrid w:val="0"/>
        </w:rPr>
      </w:pPr>
      <w:r>
        <w:rPr>
          <w:snapToGrid w:val="0"/>
        </w:rPr>
        <w:tab/>
        <w:t>(3)</w:t>
      </w:r>
      <w:r>
        <w:rPr>
          <w:snapToGrid w:val="0"/>
        </w:rPr>
        <w:tab/>
        <w:t xml:space="preserve">In respect of the 4 instalment option referred to in section 6.45(1)(a), if the local government does not determine </w:t>
      </w:r>
      <w:r>
        <w:rPr>
          <w:snapToGrid w:val="0"/>
        </w:rPr>
        <w:lastRenderedPageBreak/>
        <w:t>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90" w:name="_Toc107401938"/>
      <w:r>
        <w:rPr>
          <w:rStyle w:val="CharSectno"/>
        </w:rPr>
        <w:t>65</w:t>
      </w:r>
      <w:r>
        <w:rPr>
          <w:snapToGrid w:val="0"/>
        </w:rPr>
        <w:t>.</w:t>
      </w:r>
      <w:r>
        <w:rPr>
          <w:snapToGrid w:val="0"/>
        </w:rPr>
        <w:tab/>
        <w:t>Instalment due on public holiday, payment of</w:t>
      </w:r>
      <w:bookmarkEnd w:id="90"/>
    </w:p>
    <w:p>
      <w:pPr>
        <w:pStyle w:val="Subsection"/>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91" w:name="_Toc107401939"/>
      <w:r>
        <w:rPr>
          <w:rStyle w:val="CharSectno"/>
        </w:rPr>
        <w:t>66</w:t>
      </w:r>
      <w:r>
        <w:rPr>
          <w:snapToGrid w:val="0"/>
        </w:rPr>
        <w:t>.</w:t>
      </w:r>
      <w:r>
        <w:rPr>
          <w:snapToGrid w:val="0"/>
        </w:rPr>
        <w:tab/>
        <w:t>Instalments, when right to pay by ceases</w:t>
      </w:r>
      <w:bookmarkEnd w:id="91"/>
    </w:p>
    <w:p>
      <w:pPr>
        <w:pStyle w:val="Subsection"/>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 and</w:t>
      </w:r>
    </w:p>
    <w:p>
      <w:pPr>
        <w:pStyle w:val="Indenti"/>
        <w:rPr>
          <w:snapToGrid w:val="0"/>
        </w:rPr>
      </w:pPr>
      <w:r>
        <w:rPr>
          <w:snapToGrid w:val="0"/>
        </w:rPr>
        <w:tab/>
        <w:t>(ii)</w:t>
      </w:r>
      <w:r>
        <w:rPr>
          <w:snapToGrid w:val="0"/>
        </w:rPr>
        <w:tab/>
        <w:t>the due date for payment of the unpaid rate; and</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lastRenderedPageBreak/>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Gazette 20 Jun 1997 p. 2844; amended: Gazette 31 Mar 2005 p. 1052.]</w:t>
      </w:r>
    </w:p>
    <w:p>
      <w:pPr>
        <w:pStyle w:val="Heading5"/>
      </w:pPr>
      <w:bookmarkStart w:id="92" w:name="_Toc107401940"/>
      <w:r>
        <w:rPr>
          <w:rStyle w:val="CharSectno"/>
        </w:rPr>
        <w:t>67</w:t>
      </w:r>
      <w:r>
        <w:t>.</w:t>
      </w:r>
      <w:r>
        <w:tab/>
        <w:t>Instalments, determining additional charge for payment by</w:t>
      </w:r>
      <w:bookmarkEnd w:id="92"/>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93" w:name="_Toc107401941"/>
      <w:r>
        <w:rPr>
          <w:rStyle w:val="CharSectno"/>
        </w:rPr>
        <w:t>68</w:t>
      </w:r>
      <w:r>
        <w:rPr>
          <w:snapToGrid w:val="0"/>
        </w:rPr>
        <w:t>.</w:t>
      </w:r>
      <w:r>
        <w:rPr>
          <w:snapToGrid w:val="0"/>
        </w:rPr>
        <w:tab/>
        <w:t>Maximum interest component prescribed (Act s. 6.45)</w:t>
      </w:r>
      <w:bookmarkEnd w:id="93"/>
    </w:p>
    <w:p>
      <w:pPr>
        <w:pStyle w:val="Subsection"/>
        <w:rPr>
          <w:snapToGrid w:val="0"/>
        </w:rPr>
      </w:pPr>
      <w:r>
        <w:rPr>
          <w:snapToGrid w:val="0"/>
        </w:rPr>
        <w:tab/>
      </w:r>
      <w:r>
        <w:rPr>
          <w:snapToGrid w:val="0"/>
        </w:rPr>
        <w:tab/>
        <w:t>The maximum rate of interest to be imposed under section 6.45(3) is prescribed as 5.5%.</w:t>
      </w:r>
    </w:p>
    <w:p>
      <w:pPr>
        <w:pStyle w:val="Footnotesection"/>
      </w:pPr>
      <w:r>
        <w:tab/>
        <w:t>[Regulation 68 amended: Gazette 18 Jun 1999 p. 2639; 20 Apr 2012 p. 1705; 29 Jun 2012 p. 2954.]</w:t>
      </w:r>
    </w:p>
    <w:p>
      <w:pPr>
        <w:pStyle w:val="Heading5"/>
        <w:rPr>
          <w:snapToGrid w:val="0"/>
        </w:rPr>
      </w:pPr>
      <w:bookmarkStart w:id="94" w:name="_Toc107401942"/>
      <w:r>
        <w:rPr>
          <w:rStyle w:val="CharSectno"/>
        </w:rPr>
        <w:lastRenderedPageBreak/>
        <w:t>69</w:t>
      </w:r>
      <w:r>
        <w:rPr>
          <w:snapToGrid w:val="0"/>
        </w:rPr>
        <w:t>.</w:t>
      </w:r>
      <w:r>
        <w:rPr>
          <w:snapToGrid w:val="0"/>
        </w:rPr>
        <w:tab/>
        <w:t xml:space="preserve">Instalments, calculating interest for </w:t>
      </w:r>
      <w:r>
        <w:t>(Act s. 6.45(3))</w:t>
      </w:r>
      <w:bookmarkEnd w:id="94"/>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95" w:name="_Toc107401943"/>
      <w:r>
        <w:rPr>
          <w:rStyle w:val="CharSectno"/>
        </w:rPr>
        <w:t>69A</w:t>
      </w:r>
      <w:r>
        <w:t>.</w:t>
      </w:r>
      <w:r>
        <w:tab/>
        <w:t>When concession under Act s. 6.47 can not be granted</w:t>
      </w:r>
      <w:bookmarkEnd w:id="95"/>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Gazette 7 Jan 2005 p. 72.]</w:t>
      </w:r>
    </w:p>
    <w:p>
      <w:pPr>
        <w:pStyle w:val="Heading5"/>
        <w:rPr>
          <w:snapToGrid w:val="0"/>
        </w:rPr>
      </w:pPr>
      <w:bookmarkStart w:id="96" w:name="_Toc107401944"/>
      <w:r>
        <w:rPr>
          <w:rStyle w:val="CharSectno"/>
        </w:rPr>
        <w:t>70</w:t>
      </w:r>
      <w:r>
        <w:rPr>
          <w:snapToGrid w:val="0"/>
        </w:rPr>
        <w:t>.</w:t>
      </w:r>
      <w:r>
        <w:rPr>
          <w:snapToGrid w:val="0"/>
        </w:rPr>
        <w:tab/>
        <w:t>Maximum rate of interest prescribed (Act s. </w:t>
      </w:r>
      <w:r>
        <w:rPr>
          <w:rStyle w:val="CharSectno"/>
        </w:rPr>
        <w:t>6</w:t>
      </w:r>
      <w:r>
        <w:rPr>
          <w:snapToGrid w:val="0"/>
        </w:rPr>
        <w:t>.51)</w:t>
      </w:r>
      <w:bookmarkEnd w:id="96"/>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Gazette 18 Jun 1999 p. 2640; 20 Apr 2012 p. 1705; 29 Jun 2012 p. 2954.]</w:t>
      </w:r>
    </w:p>
    <w:p>
      <w:pPr>
        <w:pStyle w:val="Heading5"/>
        <w:rPr>
          <w:snapToGrid w:val="0"/>
        </w:rPr>
      </w:pPr>
      <w:bookmarkStart w:id="97" w:name="_Toc107401945"/>
      <w:r>
        <w:rPr>
          <w:rStyle w:val="CharSectno"/>
        </w:rPr>
        <w:t>71</w:t>
      </w:r>
      <w:r>
        <w:rPr>
          <w:snapToGrid w:val="0"/>
        </w:rPr>
        <w:t>.</w:t>
      </w:r>
      <w:r>
        <w:rPr>
          <w:snapToGrid w:val="0"/>
        </w:rPr>
        <w:tab/>
        <w:t>Overdue rates and service charges, calculating interest on</w:t>
      </w:r>
      <w:bookmarkEnd w:id="97"/>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b w:val="0"/>
          <w:i w:val="0"/>
        </w:rP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lastRenderedPageBreak/>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Gazette 31 Mar 2005 p. 1052.]</w:t>
      </w:r>
    </w:p>
    <w:p>
      <w:pPr>
        <w:pStyle w:val="Heading5"/>
        <w:rPr>
          <w:snapToGrid w:val="0"/>
        </w:rPr>
      </w:pPr>
      <w:bookmarkStart w:id="98" w:name="_Toc107401946"/>
      <w:r>
        <w:rPr>
          <w:rStyle w:val="CharSectno"/>
        </w:rPr>
        <w:t>72</w:t>
      </w:r>
      <w:r>
        <w:rPr>
          <w:snapToGrid w:val="0"/>
        </w:rPr>
        <w:t>.</w:t>
      </w:r>
      <w:r>
        <w:rPr>
          <w:snapToGrid w:val="0"/>
        </w:rPr>
        <w:tab/>
        <w:t>Notification prescribed (Act s. </w:t>
      </w:r>
      <w:r>
        <w:rPr>
          <w:rStyle w:val="CharSectno"/>
        </w:rPr>
        <w:t>6</w:t>
      </w:r>
      <w:r>
        <w:rPr>
          <w:snapToGrid w:val="0"/>
        </w:rPr>
        <w:t>.64(2))</w:t>
      </w:r>
      <w:bookmarkEnd w:id="98"/>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99" w:name="_Toc107401947"/>
      <w:r>
        <w:rPr>
          <w:rStyle w:val="CharSectno"/>
        </w:rPr>
        <w:t>73</w:t>
      </w:r>
      <w:r>
        <w:rPr>
          <w:snapToGrid w:val="0"/>
        </w:rPr>
        <w:t>.</w:t>
      </w:r>
      <w:r>
        <w:rPr>
          <w:snapToGrid w:val="0"/>
        </w:rPr>
        <w:tab/>
        <w:t>Form of notice prescribed (Act s. </w:t>
      </w:r>
      <w:r>
        <w:rPr>
          <w:rStyle w:val="CharSectno"/>
        </w:rPr>
        <w:t>6</w:t>
      </w:r>
      <w:r>
        <w:rPr>
          <w:snapToGrid w:val="0"/>
        </w:rPr>
        <w:t>.64(2))</w:t>
      </w:r>
      <w:bookmarkEnd w:id="99"/>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100" w:name="_Toc107401948"/>
      <w:r>
        <w:rPr>
          <w:rStyle w:val="CharSectno"/>
        </w:rPr>
        <w:t>74</w:t>
      </w:r>
      <w:r>
        <w:rPr>
          <w:snapToGrid w:val="0"/>
        </w:rPr>
        <w:t>.</w:t>
      </w:r>
      <w:r>
        <w:rPr>
          <w:snapToGrid w:val="0"/>
        </w:rPr>
        <w:tab/>
        <w:t>Form prescribed (Act Sch. 6.3 cl. 1(2)(e))</w:t>
      </w:r>
      <w:bookmarkEnd w:id="100"/>
    </w:p>
    <w:p>
      <w:pPr>
        <w:pStyle w:val="Subsection"/>
        <w:rPr>
          <w:snapToGrid w:val="0"/>
        </w:rPr>
      </w:pPr>
      <w:r>
        <w:rPr>
          <w:snapToGrid w:val="0"/>
        </w:rPr>
        <w:tab/>
      </w:r>
      <w:r>
        <w:rPr>
          <w:snapToGrid w:val="0"/>
        </w:rPr>
        <w:tab/>
        <w:t>For the purposes of clause 1(2)(e) of Schedule 6.3 of the Act a notice requiring payment of outstanding rates and service charges is to be in the form of Form 4.</w:t>
      </w:r>
    </w:p>
    <w:p>
      <w:pPr>
        <w:pStyle w:val="Heading5"/>
        <w:rPr>
          <w:snapToGrid w:val="0"/>
        </w:rPr>
      </w:pPr>
      <w:bookmarkStart w:id="101" w:name="_Toc107401949"/>
      <w:r>
        <w:rPr>
          <w:rStyle w:val="CharSectno"/>
        </w:rPr>
        <w:t>75</w:t>
      </w:r>
      <w:r>
        <w:rPr>
          <w:snapToGrid w:val="0"/>
        </w:rPr>
        <w:t>.</w:t>
      </w:r>
      <w:r>
        <w:rPr>
          <w:snapToGrid w:val="0"/>
        </w:rPr>
        <w:tab/>
        <w:t>Form prescribed (Act Sch. 6.3 cl. 2(1)(a))</w:t>
      </w:r>
      <w:bookmarkEnd w:id="101"/>
    </w:p>
    <w:p>
      <w:pPr>
        <w:pStyle w:val="Subsection"/>
        <w:rPr>
          <w:snapToGrid w:val="0"/>
        </w:rPr>
      </w:pPr>
      <w:r>
        <w:rPr>
          <w:snapToGrid w:val="0"/>
        </w:rPr>
        <w:tab/>
      </w:r>
      <w:r>
        <w:rPr>
          <w:snapToGrid w:val="0"/>
        </w:rPr>
        <w:tab/>
        <w:t>For the purposes of clause 2(1)(a) of Schedule 6.3 of the Act a Statewide public notice of a sale of land is to be in the form of Form 5.</w:t>
      </w:r>
    </w:p>
    <w:p>
      <w:pPr>
        <w:pStyle w:val="Heading5"/>
        <w:rPr>
          <w:snapToGrid w:val="0"/>
        </w:rPr>
      </w:pPr>
      <w:bookmarkStart w:id="102" w:name="_Toc107401950"/>
      <w:r>
        <w:rPr>
          <w:rStyle w:val="CharSectno"/>
        </w:rPr>
        <w:t>76</w:t>
      </w:r>
      <w:r>
        <w:rPr>
          <w:snapToGrid w:val="0"/>
        </w:rPr>
        <w:t>.</w:t>
      </w:r>
      <w:r>
        <w:rPr>
          <w:snapToGrid w:val="0"/>
        </w:rPr>
        <w:tab/>
        <w:t>Local government to notify Registrar of Titles of payment (Act s. 6.69(3)); effect of notice</w:t>
      </w:r>
      <w:bookmarkEnd w:id="102"/>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xml:space="preserve">, as the case requires, a certificate signed and dated by the CEO </w:t>
      </w:r>
      <w:r>
        <w:rPr>
          <w:snapToGrid w:val="0"/>
        </w:rPr>
        <w:lastRenderedPageBreak/>
        <w:t>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 No. 47 of 2011 s. 16.]</w:t>
      </w:r>
    </w:p>
    <w:p>
      <w:pPr>
        <w:pStyle w:val="Heading5"/>
        <w:rPr>
          <w:snapToGrid w:val="0"/>
        </w:rPr>
      </w:pPr>
      <w:bookmarkStart w:id="103" w:name="_Toc107401951"/>
      <w:r>
        <w:rPr>
          <w:rStyle w:val="CharSectno"/>
        </w:rPr>
        <w:t>77</w:t>
      </w:r>
      <w:r>
        <w:rPr>
          <w:snapToGrid w:val="0"/>
        </w:rPr>
        <w:t>.</w:t>
      </w:r>
      <w:r>
        <w:rPr>
          <w:snapToGrid w:val="0"/>
        </w:rPr>
        <w:tab/>
        <w:t>Application under Act s. 6.74, prerequisites to making</w:t>
      </w:r>
      <w:bookmarkEnd w:id="103"/>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104" w:name="_Toc107401952"/>
      <w:r>
        <w:rPr>
          <w:rStyle w:val="CharSectno"/>
        </w:rPr>
        <w:lastRenderedPageBreak/>
        <w:t>78</w:t>
      </w:r>
      <w:r>
        <w:rPr>
          <w:snapToGrid w:val="0"/>
        </w:rPr>
        <w:t>.</w:t>
      </w:r>
      <w:r>
        <w:rPr>
          <w:snapToGrid w:val="0"/>
        </w:rPr>
        <w:tab/>
        <w:t>Form of application etc. prescribed (Act s. </w:t>
      </w:r>
      <w:r>
        <w:rPr>
          <w:rStyle w:val="CharSectno"/>
        </w:rPr>
        <w:t>6</w:t>
      </w:r>
      <w:r>
        <w:rPr>
          <w:snapToGrid w:val="0"/>
        </w:rPr>
        <w:t>.74)</w:t>
      </w:r>
      <w:bookmarkEnd w:id="104"/>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105" w:name="_Toc107223055"/>
      <w:bookmarkStart w:id="106" w:name="_Toc107223703"/>
      <w:bookmarkStart w:id="107" w:name="_Toc107401953"/>
      <w:r>
        <w:rPr>
          <w:rStyle w:val="CharPartNo"/>
        </w:rPr>
        <w:lastRenderedPageBreak/>
        <w:t>Part 6</w:t>
      </w:r>
      <w:r>
        <w:rPr>
          <w:rStyle w:val="CharDivNo"/>
        </w:rPr>
        <w:t> </w:t>
      </w:r>
      <w:r>
        <w:t>—</w:t>
      </w:r>
      <w:r>
        <w:rPr>
          <w:rStyle w:val="CharDivText"/>
        </w:rPr>
        <w:t> </w:t>
      </w:r>
      <w:r>
        <w:rPr>
          <w:rStyle w:val="CharPartText"/>
        </w:rPr>
        <w:t>Transitional matters</w:t>
      </w:r>
      <w:bookmarkEnd w:id="105"/>
      <w:bookmarkEnd w:id="106"/>
      <w:bookmarkEnd w:id="107"/>
    </w:p>
    <w:p>
      <w:pPr>
        <w:pStyle w:val="Footnoteheading"/>
      </w:pPr>
      <w:r>
        <w:tab/>
        <w:t>[Heading inserted: Gazette 20 Jun 2008 p. 2727.]</w:t>
      </w:r>
    </w:p>
    <w:p>
      <w:pPr>
        <w:pStyle w:val="Heading5"/>
      </w:pPr>
      <w:bookmarkStart w:id="108" w:name="_Toc107401954"/>
      <w:r>
        <w:rPr>
          <w:rStyle w:val="CharSectno"/>
        </w:rPr>
        <w:t>79</w:t>
      </w:r>
      <w:r>
        <w:t>.</w:t>
      </w:r>
      <w:r>
        <w:tab/>
      </w:r>
      <w:r>
        <w:rPr>
          <w:i/>
        </w:rPr>
        <w:t>Local Government (Financial Management) Amendment Regulations 2012</w:t>
      </w:r>
      <w:r>
        <w:rPr>
          <w:iCs/>
        </w:rPr>
        <w:t>, provisions for</w:t>
      </w:r>
      <w:bookmarkEnd w:id="108"/>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2012</w:t>
      </w:r>
      <w:r>
        <w:t>, other than regulations 1 and 2 of those regulations;</w:t>
      </w:r>
    </w:p>
    <w:p>
      <w:pPr>
        <w:pStyle w:val="Defstart"/>
      </w:pPr>
      <w:r>
        <w:rPr>
          <w:b/>
        </w:rPr>
        <w:tab/>
      </w:r>
      <w:r>
        <w:rPr>
          <w:rStyle w:val="CharDefText"/>
        </w:rPr>
        <w:t>old law</w:t>
      </w:r>
      <w:r>
        <w:t xml:space="preserve"> means these regulations as in force immediately before the amending regulations come into operation.</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and rate notices for, or relating to, the financial year ending on 30 June 2012.</w:t>
      </w:r>
    </w:p>
    <w:p>
      <w:pPr>
        <w:pStyle w:val="Footnotesection"/>
      </w:pPr>
      <w:r>
        <w:tab/>
        <w:t>[Regulation 79 inserted: Gazette 20 Apr 2012 p. 1705; amended: Gazette 29 Jun 2012 p. 2954.]</w:t>
      </w:r>
    </w:p>
    <w:p>
      <w:pPr>
        <w:pStyle w:val="Heading5"/>
      </w:pPr>
      <w:bookmarkStart w:id="109" w:name="_Toc105152894"/>
      <w:bookmarkStart w:id="110" w:name="_Toc106101531"/>
      <w:bookmarkStart w:id="111" w:name="_Toc107401955"/>
      <w:r>
        <w:rPr>
          <w:rStyle w:val="CharSectno"/>
        </w:rPr>
        <w:t>80</w:t>
      </w:r>
      <w:r>
        <w:t>.</w:t>
      </w:r>
      <w:r>
        <w:tab/>
        <w:t xml:space="preserve">Transitional provisions for </w:t>
      </w:r>
      <w:r>
        <w:rPr>
          <w:i/>
        </w:rPr>
        <w:t>Local Government Regulations Amendment (Financial Management and Audit) Regulations 2022</w:t>
      </w:r>
      <w:bookmarkEnd w:id="109"/>
      <w:bookmarkEnd w:id="110"/>
      <w:bookmarkEnd w:id="11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Regulations Amendment (Financial Management and Audit) Regulations 2022</w:t>
      </w:r>
      <w:r>
        <w:t xml:space="preserve"> regulations 7, 9 and 10 come into operation.</w:t>
      </w:r>
    </w:p>
    <w:p>
      <w:pPr>
        <w:pStyle w:val="Subsection"/>
      </w:pPr>
      <w:r>
        <w:tab/>
        <w:t>(2)</w:t>
      </w:r>
      <w:r>
        <w:tab/>
        <w:t>Regulations 14, 36(1)(f) and 50 as in force immediately before commencement day continue to apply in relation to the annual financial report of a local government for the financial year ending on 30 June 2021.</w:t>
      </w:r>
    </w:p>
    <w:p>
      <w:pPr>
        <w:pStyle w:val="Subsection"/>
      </w:pPr>
      <w:r>
        <w:lastRenderedPageBreak/>
        <w:tab/>
        <w:t>(3)</w:t>
      </w:r>
      <w:r>
        <w:tab/>
        <w:t>Regulation 14 as in force immediately before commencement day continues to apply in relation to the annual budget of a local government for the financial year ending on 30 June 2022.</w:t>
      </w:r>
    </w:p>
    <w:p>
      <w:pPr>
        <w:pStyle w:val="Footnotesection"/>
      </w:pPr>
      <w:r>
        <w:tab/>
        <w:t>[Regulation 80 inserted: SL 2022/88 r. 11.]</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12" w:name="_Toc107223057"/>
      <w:bookmarkStart w:id="113" w:name="_Toc107223706"/>
      <w:bookmarkStart w:id="114" w:name="_Toc107401956"/>
      <w:r>
        <w:rPr>
          <w:rStyle w:val="CharSchNo"/>
        </w:rPr>
        <w:lastRenderedPageBreak/>
        <w:t>Schedule 1</w:t>
      </w:r>
      <w:bookmarkEnd w:id="112"/>
      <w:bookmarkEnd w:id="113"/>
      <w:bookmarkEnd w:id="114"/>
    </w:p>
    <w:p>
      <w:pPr>
        <w:pStyle w:val="yShoulderClause"/>
        <w:rPr>
          <w:snapToGrid w:val="0"/>
        </w:rPr>
      </w:pPr>
      <w:r>
        <w:rPr>
          <w:snapToGrid w:val="0"/>
        </w:rPr>
        <w:t>[reg. 3]</w:t>
      </w:r>
    </w:p>
    <w:p>
      <w:pPr>
        <w:pStyle w:val="yHeading3"/>
        <w:spacing w:after="80"/>
        <w:rPr>
          <w:snapToGrid w:val="0"/>
        </w:rPr>
      </w:pPr>
      <w:bookmarkStart w:id="115" w:name="_Toc107223058"/>
      <w:bookmarkStart w:id="116" w:name="_Toc107223707"/>
      <w:bookmarkStart w:id="117" w:name="_Toc107401957"/>
      <w:r>
        <w:rPr>
          <w:rStyle w:val="CharSDivNo"/>
        </w:rPr>
        <w:t>Part 1</w:t>
      </w:r>
      <w:r>
        <w:rPr>
          <w:rStyle w:val="CharSchText"/>
        </w:rPr>
        <w:t> </w:t>
      </w:r>
      <w:r>
        <w:rPr>
          <w:snapToGrid w:val="0"/>
        </w:rPr>
        <w:t>— </w:t>
      </w:r>
      <w:r>
        <w:rPr>
          <w:rStyle w:val="CharSDivText"/>
        </w:rPr>
        <w:t>Local government program titles</w:t>
      </w:r>
      <w:bookmarkEnd w:id="115"/>
      <w:bookmarkEnd w:id="116"/>
      <w:bookmarkEnd w:id="117"/>
    </w:p>
    <w:tbl>
      <w:tblPr>
        <w:tblW w:w="0" w:type="auto"/>
        <w:tblInd w:w="141" w:type="dxa"/>
        <w:tblLayout w:type="fixed"/>
        <w:tblCellMar>
          <w:left w:w="141" w:type="dxa"/>
          <w:right w:w="85" w:type="dxa"/>
        </w:tblCellMar>
        <w:tblLook w:val="0000" w:firstRow="0" w:lastRow="0" w:firstColumn="0" w:lastColumn="0" w:noHBand="0" w:noVBand="0"/>
      </w:tblPr>
      <w:tblGrid>
        <w:gridCol w:w="2736"/>
        <w:gridCol w:w="4350"/>
      </w:tblGrid>
      <w:tr>
        <w:trPr>
          <w:tblHeader/>
        </w:trPr>
        <w:tc>
          <w:tcPr>
            <w:tcW w:w="2736" w:type="dxa"/>
          </w:tcPr>
          <w:p>
            <w:pPr>
              <w:pStyle w:val="yTable"/>
              <w:spacing w:before="0" w:after="60"/>
              <w:ind w:left="-141"/>
              <w:rPr>
                <w:b/>
              </w:rPr>
            </w:pPr>
            <w:r>
              <w:rPr>
                <w:b/>
              </w:rPr>
              <w:t>Column 1</w:t>
            </w:r>
          </w:p>
        </w:tc>
        <w:tc>
          <w:tcPr>
            <w:tcW w:w="4350" w:type="dxa"/>
          </w:tcPr>
          <w:p>
            <w:pPr>
              <w:pStyle w:val="yTable"/>
              <w:spacing w:before="0" w:after="60"/>
              <w:rPr>
                <w:b/>
              </w:rPr>
            </w:pPr>
            <w:r>
              <w:rPr>
                <w:b/>
              </w:rPr>
              <w:t>Column 2</w:t>
            </w:r>
          </w:p>
        </w:tc>
      </w:tr>
      <w:tr>
        <w:trPr>
          <w:tblHeader/>
        </w:trPr>
        <w:tc>
          <w:tcPr>
            <w:tcW w:w="2736" w:type="dxa"/>
          </w:tcPr>
          <w:p>
            <w:pPr>
              <w:pStyle w:val="yTable"/>
              <w:spacing w:before="0" w:after="60"/>
              <w:ind w:left="-141"/>
            </w:pPr>
            <w:r>
              <w:rPr>
                <w:b/>
              </w:rPr>
              <w:t>Program titles</w:t>
            </w:r>
          </w:p>
        </w:tc>
        <w:tc>
          <w:tcPr>
            <w:tcW w:w="4350" w:type="dxa"/>
          </w:tcPr>
          <w:p>
            <w:pPr>
              <w:pStyle w:val="yTable"/>
              <w:spacing w:before="0" w:after="60"/>
              <w:rPr>
                <w:b/>
              </w:rPr>
            </w:pPr>
            <w:r>
              <w:rPr>
                <w:b/>
              </w:rPr>
              <w:t>Sub</w:t>
            </w:r>
            <w:r>
              <w:rPr>
                <w:b/>
              </w:rPr>
              <w:noBreakHyphen/>
              <w:t>programs included within the program</w:t>
            </w:r>
          </w:p>
        </w:tc>
      </w:tr>
      <w:tr>
        <w:tc>
          <w:tcPr>
            <w:tcW w:w="2736" w:type="dxa"/>
          </w:tcPr>
          <w:p>
            <w:pPr>
              <w:pStyle w:val="yTable"/>
              <w:spacing w:before="0"/>
              <w:ind w:left="-141"/>
            </w:pPr>
            <w:r>
              <w:t>Governance</w:t>
            </w:r>
          </w:p>
        </w:tc>
        <w:tc>
          <w:tcPr>
            <w:tcW w:w="4350" w:type="dxa"/>
          </w:tcPr>
          <w:p>
            <w:pPr>
              <w:pStyle w:val="yTable"/>
              <w:spacing w:before="0"/>
            </w:pPr>
            <w:r>
              <w:t>Members of council</w:t>
            </w:r>
          </w:p>
          <w:p>
            <w:pPr>
              <w:pStyle w:val="yTable"/>
              <w:spacing w:before="0"/>
            </w:pPr>
            <w:r>
              <w:t>Governance — general</w:t>
            </w:r>
          </w:p>
        </w:tc>
      </w:tr>
      <w:tr>
        <w:tc>
          <w:tcPr>
            <w:tcW w:w="2736" w:type="dxa"/>
          </w:tcPr>
          <w:p>
            <w:pPr>
              <w:pStyle w:val="yTable"/>
              <w:spacing w:before="0"/>
              <w:ind w:left="-141"/>
            </w:pPr>
            <w:r>
              <w:t>General purpose funding</w:t>
            </w:r>
          </w:p>
        </w:tc>
        <w:tc>
          <w:tcPr>
            <w:tcW w:w="4350" w:type="dxa"/>
          </w:tcPr>
          <w:p>
            <w:pPr>
              <w:pStyle w:val="yTable"/>
              <w:spacing w:before="0"/>
            </w:pPr>
            <w:r>
              <w:t>Rates</w:t>
            </w:r>
          </w:p>
          <w:p>
            <w:pPr>
              <w:pStyle w:val="yTable"/>
              <w:spacing w:before="0"/>
            </w:pPr>
            <w:r>
              <w:t>Other general purpose funding</w:t>
            </w:r>
          </w:p>
        </w:tc>
      </w:tr>
      <w:tr>
        <w:tc>
          <w:tcPr>
            <w:tcW w:w="2736" w:type="dxa"/>
          </w:tcPr>
          <w:p>
            <w:pPr>
              <w:pStyle w:val="yTable"/>
              <w:spacing w:before="0"/>
              <w:ind w:left="-141"/>
            </w:pPr>
            <w:r>
              <w:t>Law, order, public safety</w:t>
            </w:r>
          </w:p>
        </w:tc>
        <w:tc>
          <w:tcPr>
            <w:tcW w:w="4350"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736" w:type="dxa"/>
          </w:tcPr>
          <w:p>
            <w:pPr>
              <w:pStyle w:val="yTable"/>
              <w:spacing w:before="0"/>
              <w:ind w:left="-141"/>
            </w:pPr>
            <w:r>
              <w:t>Health</w:t>
            </w:r>
          </w:p>
        </w:tc>
        <w:tc>
          <w:tcPr>
            <w:tcW w:w="4350"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Pest control</w:t>
            </w:r>
          </w:p>
          <w:p>
            <w:pPr>
              <w:pStyle w:val="yTable"/>
              <w:tabs>
                <w:tab w:val="left" w:pos="426"/>
              </w:tabs>
              <w:spacing w:before="0"/>
            </w:pPr>
            <w:r>
              <w:tab/>
              <w:t> — Other</w:t>
            </w:r>
          </w:p>
          <w:p>
            <w:pPr>
              <w:pStyle w:val="yTable"/>
              <w:tabs>
                <w:tab w:val="left" w:pos="426"/>
              </w:tabs>
              <w:spacing w:before="0"/>
            </w:pPr>
            <w:r>
              <w:t>Other health</w:t>
            </w:r>
          </w:p>
        </w:tc>
      </w:tr>
      <w:tr>
        <w:tc>
          <w:tcPr>
            <w:tcW w:w="2736" w:type="dxa"/>
          </w:tcPr>
          <w:p>
            <w:pPr>
              <w:pStyle w:val="yTable"/>
              <w:spacing w:before="0"/>
              <w:ind w:left="-141"/>
            </w:pPr>
            <w:r>
              <w:t>Education and Welfare</w:t>
            </w:r>
          </w:p>
        </w:tc>
        <w:tc>
          <w:tcPr>
            <w:tcW w:w="4350"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736" w:type="dxa"/>
          </w:tcPr>
          <w:p>
            <w:pPr>
              <w:pStyle w:val="yTable"/>
              <w:spacing w:before="0"/>
              <w:ind w:left="-141"/>
            </w:pPr>
            <w:r>
              <w:t>Housing</w:t>
            </w:r>
          </w:p>
        </w:tc>
        <w:tc>
          <w:tcPr>
            <w:tcW w:w="4350" w:type="dxa"/>
          </w:tcPr>
          <w:p>
            <w:pPr>
              <w:pStyle w:val="yTable"/>
              <w:tabs>
                <w:tab w:val="left" w:pos="426"/>
              </w:tabs>
              <w:spacing w:before="0"/>
            </w:pPr>
            <w:r>
              <w:t>Staff housing</w:t>
            </w:r>
          </w:p>
          <w:p>
            <w:pPr>
              <w:pStyle w:val="yTable"/>
              <w:tabs>
                <w:tab w:val="left" w:pos="426"/>
              </w:tabs>
              <w:spacing w:before="0"/>
            </w:pPr>
            <w:r>
              <w:t>Other housing</w:t>
            </w:r>
          </w:p>
        </w:tc>
      </w:tr>
      <w:tr>
        <w:tc>
          <w:tcPr>
            <w:tcW w:w="2736" w:type="dxa"/>
          </w:tcPr>
          <w:p>
            <w:pPr>
              <w:pStyle w:val="yTable"/>
              <w:spacing w:before="0"/>
              <w:ind w:left="-141"/>
            </w:pPr>
            <w:r>
              <w:t>Community amenities</w:t>
            </w:r>
          </w:p>
        </w:tc>
        <w:tc>
          <w:tcPr>
            <w:tcW w:w="4350"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736" w:type="dxa"/>
          </w:tcPr>
          <w:p>
            <w:pPr>
              <w:pStyle w:val="yTable"/>
              <w:keepNext/>
              <w:spacing w:before="0"/>
              <w:ind w:left="-141"/>
            </w:pPr>
            <w:r>
              <w:lastRenderedPageBreak/>
              <w:t>Recreation and culture</w:t>
            </w:r>
          </w:p>
        </w:tc>
        <w:tc>
          <w:tcPr>
            <w:tcW w:w="4350"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736" w:type="dxa"/>
          </w:tcPr>
          <w:p>
            <w:pPr>
              <w:pStyle w:val="yTable"/>
              <w:spacing w:before="0"/>
              <w:ind w:left="-141"/>
            </w:pPr>
            <w:r>
              <w:t>Transport</w:t>
            </w:r>
          </w:p>
        </w:tc>
        <w:tc>
          <w:tcPr>
            <w:tcW w:w="4350"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736" w:type="dxa"/>
          </w:tcPr>
          <w:p>
            <w:pPr>
              <w:pStyle w:val="yTable"/>
              <w:spacing w:before="0"/>
              <w:ind w:left="-141"/>
            </w:pPr>
            <w:r>
              <w:t>Economic services</w:t>
            </w:r>
          </w:p>
        </w:tc>
        <w:tc>
          <w:tcPr>
            <w:tcW w:w="4350"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736" w:type="dxa"/>
          </w:tcPr>
          <w:p>
            <w:pPr>
              <w:pStyle w:val="yTable"/>
              <w:spacing w:before="0"/>
              <w:ind w:left="-141"/>
            </w:pPr>
            <w:r>
              <w:t>Other property and services</w:t>
            </w:r>
          </w:p>
        </w:tc>
        <w:tc>
          <w:tcPr>
            <w:tcW w:w="4350"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r>
        <w:tab/>
        <w:t>[Part 1 amended: Gazette 20 Jun 1997 p. 2844.]</w:t>
      </w:r>
    </w:p>
    <w:p>
      <w:pPr>
        <w:pStyle w:val="yHeading3"/>
      </w:pPr>
      <w:bookmarkStart w:id="118" w:name="_Toc107223059"/>
      <w:bookmarkStart w:id="119" w:name="_Toc107223708"/>
      <w:bookmarkStart w:id="120" w:name="_Toc107401958"/>
      <w:r>
        <w:rPr>
          <w:rStyle w:val="CharSDivNo"/>
        </w:rPr>
        <w:t>Part 2</w:t>
      </w:r>
      <w:r>
        <w:rPr>
          <w:b w:val="0"/>
        </w:rPr>
        <w:t> — </w:t>
      </w:r>
      <w:r>
        <w:rPr>
          <w:rStyle w:val="CharSDivText"/>
        </w:rPr>
        <w:t>Nature or type classifications</w:t>
      </w:r>
      <w:bookmarkEnd w:id="118"/>
      <w:bookmarkEnd w:id="119"/>
      <w:bookmarkEnd w:id="120"/>
    </w:p>
    <w:p>
      <w:pPr>
        <w:pStyle w:val="yFootnoteheading"/>
      </w:pPr>
      <w:r>
        <w:tab/>
        <w:t>[Heading inserted: Gazette 20 Jun 2008 p. 2727.]</w:t>
      </w:r>
    </w:p>
    <w:p>
      <w:pPr>
        <w:pStyle w:val="yTable"/>
        <w:rPr>
          <w:b/>
          <w:bCs/>
        </w:rPr>
      </w:pPr>
      <w:r>
        <w:rPr>
          <w:b/>
          <w:bCs/>
        </w:rPr>
        <w:t>Revenue</w:t>
      </w:r>
    </w:p>
    <w:p>
      <w:pPr>
        <w:pStyle w:val="yTable"/>
        <w:tabs>
          <w:tab w:val="left" w:pos="600"/>
        </w:tabs>
      </w:pPr>
      <w:r>
        <w:tab/>
        <w:t>Rates</w:t>
      </w:r>
    </w:p>
    <w:p>
      <w:pPr>
        <w:pStyle w:val="yTable"/>
        <w:tabs>
          <w:tab w:val="left" w:pos="600"/>
        </w:tabs>
      </w:pPr>
      <w:r>
        <w:tab/>
        <w:t>Operating grants, subsidies and contributions</w:t>
      </w:r>
    </w:p>
    <w:p>
      <w:pPr>
        <w:pStyle w:val="yTable"/>
        <w:tabs>
          <w:tab w:val="left" w:pos="600"/>
        </w:tabs>
      </w:pPr>
      <w:r>
        <w:tab/>
        <w:t>Non-operating grants, subsidies and contributions</w:t>
      </w:r>
    </w:p>
    <w:p>
      <w:pPr>
        <w:pStyle w:val="yTable"/>
        <w:tabs>
          <w:tab w:val="left" w:pos="600"/>
        </w:tabs>
      </w:pPr>
      <w:r>
        <w:tab/>
        <w:t>Profit on asset disposals</w:t>
      </w:r>
    </w:p>
    <w:p>
      <w:pPr>
        <w:pStyle w:val="yTable"/>
        <w:tabs>
          <w:tab w:val="left" w:pos="600"/>
        </w:tabs>
      </w:pPr>
      <w:r>
        <w:tab/>
        <w:t>Fees and charges</w:t>
      </w:r>
    </w:p>
    <w:p>
      <w:pPr>
        <w:pStyle w:val="yTable"/>
        <w:tabs>
          <w:tab w:val="left" w:pos="600"/>
        </w:tabs>
      </w:pPr>
      <w:r>
        <w:lastRenderedPageBreak/>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Interest expenses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Gazette 20 Jun 2008 p. 2727-8.]</w:t>
      </w:r>
    </w:p>
    <w:p>
      <w:pPr>
        <w:pStyle w:val="yScheduleHeading"/>
      </w:pPr>
      <w:bookmarkStart w:id="121" w:name="_Toc107223060"/>
      <w:bookmarkStart w:id="122" w:name="_Toc107223709"/>
      <w:bookmarkStart w:id="123" w:name="_Toc107401959"/>
      <w:r>
        <w:rPr>
          <w:rStyle w:val="CharSchNo"/>
        </w:rPr>
        <w:lastRenderedPageBreak/>
        <w:t>Schedule 2</w:t>
      </w:r>
      <w:bookmarkEnd w:id="121"/>
      <w:bookmarkEnd w:id="122"/>
      <w:bookmarkEnd w:id="123"/>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after="240"/>
        <w:jc w:val="center"/>
        <w:rPr>
          <w:b/>
          <w:snapToGrid w:val="0"/>
        </w:rPr>
      </w:pPr>
      <w:r>
        <w:rPr>
          <w:b/>
          <w:snapToGrid w:val="0"/>
        </w:rPr>
        <w:t>Statement by CEO</w:t>
      </w:r>
    </w:p>
    <w:p>
      <w:pPr>
        <w:pStyle w:val="yTable"/>
        <w:tabs>
          <w:tab w:val="right" w:leader="dot" w:pos="7088"/>
        </w:tabs>
        <w:spacing w:before="0"/>
        <w:rPr>
          <w:snapToGrid w:val="0"/>
        </w:rPr>
      </w:pPr>
      <w:r>
        <w:rPr>
          <w:snapToGrid w:val="0"/>
        </w:rPr>
        <w:t xml:space="preserve">The attached financial report of the </w:t>
      </w:r>
      <w:r>
        <w:rPr>
          <w:snapToGrid w:val="0"/>
          <w:vertAlign w:val="superscript"/>
        </w:rPr>
        <w:t>(1)</w:t>
      </w:r>
      <w:r>
        <w:rPr>
          <w:snapToGrid w:val="0"/>
        </w:rPr>
        <w:t xml:space="preserve"> Shire/Town/City of </w:t>
      </w:r>
      <w:r>
        <w:rPr>
          <w:snapToGrid w:val="0"/>
          <w:vertAlign w:val="superscript"/>
        </w:rPr>
        <w:t>(2)</w:t>
      </w:r>
      <w:r>
        <w:rPr>
          <w:snapToGrid w:val="0"/>
        </w:rPr>
        <w:t xml:space="preserve">................................ </w:t>
      </w:r>
      <w:r>
        <w:rPr>
          <w:szCs w:val="22"/>
        </w:rPr>
        <w:t xml:space="preserve">for the financial year ended 30 June </w:t>
      </w:r>
      <w:r>
        <w:rPr>
          <w:szCs w:val="22"/>
          <w:vertAlign w:val="superscript"/>
        </w:rPr>
        <w:t>(3)</w:t>
      </w:r>
      <w:r>
        <w:rPr>
          <w:szCs w:val="22"/>
        </w:rPr>
        <w:t xml:space="preserve"> ........ is based on proper accounts and records</w:t>
      </w:r>
      <w:r>
        <w:rPr>
          <w:snapToGrid w:val="0"/>
        </w:rPr>
        <w:t xml:space="preserve">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 xml:space="preserve">...................... at 30 June </w:t>
      </w:r>
      <w:r>
        <w:rPr>
          <w:snapToGrid w:val="0"/>
          <w:vertAlign w:val="superscript"/>
        </w:rPr>
        <w:t>(3)</w:t>
      </w:r>
      <w:r>
        <w:rPr>
          <w:snapToGrid w:val="0"/>
        </w:rPr>
        <w:t xml:space="preserve">.............. and the results of the operations for the financial year then ended in accordance with </w:t>
      </w:r>
      <w:r>
        <w:rPr>
          <w:szCs w:val="22"/>
        </w:rPr>
        <w:t>the</w:t>
      </w:r>
      <w:r>
        <w:rPr>
          <w:snapToGrid w:val="0"/>
          <w:szCs w:val="22"/>
        </w:rPr>
        <w:t xml:space="preserve"> </w:t>
      </w:r>
      <w:r>
        <w:rPr>
          <w:i/>
          <w:snapToGrid w:val="0"/>
          <w:szCs w:val="22"/>
        </w:rPr>
        <w:t>Local Government Act 1995</w:t>
      </w:r>
      <w:r>
        <w:t xml:space="preserve"> and, to the extent that they are not inconsistent with the Act, the Australian Accounting Standards.</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Footnotesection"/>
      </w:pPr>
      <w:r>
        <w:tab/>
        <w:t>[Form 1 amended: Gazette 18 Jun 1999 p. 2640; 20 Jun 2008 p. 2728; 26 Jun 2018 p. 2389.]</w:t>
      </w:r>
    </w:p>
    <w:p>
      <w:pPr>
        <w:pStyle w:val="yTable"/>
        <w:pageBreakBefore/>
        <w:tabs>
          <w:tab w:val="right" w:leader="dot" w:pos="7088"/>
        </w:tabs>
        <w:jc w:val="center"/>
        <w:rPr>
          <w:b/>
          <w:snapToGrid w:val="0"/>
        </w:rPr>
      </w:pPr>
      <w:r>
        <w:rPr>
          <w:b/>
          <w:snapToGrid w:val="0"/>
        </w:rPr>
        <w:lastRenderedPageBreak/>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lastRenderedPageBreak/>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Shire/Town/City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Shire/Town/City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lastRenderedPageBreak/>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lastRenderedPageBreak/>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lastRenderedPageBreak/>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keepNext/>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lastRenderedPageBreak/>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lastRenderedPageBreak/>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line="160" w:lineRule="atLeast"/>
        <w:ind w:left="993" w:hanging="993"/>
        <w:rPr>
          <w:snapToGrid w:val="0"/>
          <w:sz w:val="16"/>
        </w:rPr>
      </w:pPr>
      <w:r>
        <w:rPr>
          <w:snapToGrid w:val="0"/>
          <w:sz w:val="16"/>
        </w:rPr>
        <w:tab/>
        <w:t>(2)</w:t>
      </w:r>
      <w:r>
        <w:rPr>
          <w:snapToGrid w:val="0"/>
          <w:sz w:val="16"/>
        </w:rPr>
        <w:tab/>
        <w:t>insert name of local government</w:t>
      </w:r>
    </w:p>
    <w:p>
      <w:pPr>
        <w:pStyle w:val="yTable"/>
        <w:tabs>
          <w:tab w:val="left" w:pos="426"/>
        </w:tabs>
        <w:spacing w:line="160" w:lineRule="atLeast"/>
        <w:ind w:left="993" w:hanging="993"/>
        <w:rPr>
          <w:snapToGrid w:val="0"/>
          <w:sz w:val="16"/>
        </w:rPr>
      </w:pPr>
      <w:r>
        <w:rPr>
          <w:snapToGrid w:val="0"/>
          <w:sz w:val="16"/>
        </w:rPr>
        <w:tab/>
        <w:t>(3)</w:t>
      </w:r>
      <w:r>
        <w:rPr>
          <w:snapToGrid w:val="0"/>
          <w:sz w:val="16"/>
        </w:rPr>
        <w:tab/>
        <w:t>insert date</w:t>
      </w:r>
    </w:p>
    <w:p>
      <w:pPr>
        <w:pStyle w:val="yTable"/>
        <w:tabs>
          <w:tab w:val="left" w:pos="426"/>
        </w:tabs>
        <w:spacing w:line="160" w:lineRule="atLeast"/>
        <w:ind w:left="993" w:hanging="993"/>
        <w:rPr>
          <w:snapToGrid w:val="0"/>
          <w:sz w:val="16"/>
        </w:rPr>
      </w:pPr>
      <w:r>
        <w:rPr>
          <w:snapToGrid w:val="0"/>
          <w:sz w:val="16"/>
        </w:rPr>
        <w:tab/>
        <w:t>(4)</w:t>
      </w:r>
      <w:r>
        <w:rPr>
          <w:snapToGrid w:val="0"/>
          <w:sz w:val="16"/>
        </w:rPr>
        <w:tab/>
        <w:t>insert details</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25" w:name="_Toc107223061"/>
      <w:bookmarkStart w:id="126" w:name="_Toc107223710"/>
      <w:bookmarkStart w:id="127" w:name="_Toc107401960"/>
      <w:r>
        <w:lastRenderedPageBreak/>
        <w:t>Notes</w:t>
      </w:r>
      <w:bookmarkEnd w:id="125"/>
      <w:bookmarkEnd w:id="126"/>
      <w:bookmarkEnd w:id="127"/>
    </w:p>
    <w:p>
      <w:pPr>
        <w:pStyle w:val="nStatement"/>
      </w:pPr>
      <w:r>
        <w:t xml:space="preserve">This is a compilation of the </w:t>
      </w:r>
      <w:r>
        <w:rPr>
          <w:i/>
          <w:noProof/>
        </w:rPr>
        <w:t>Local Government (Financial Management) Regulations 1996</w:t>
      </w:r>
      <w:r>
        <w:t xml:space="preserve"> and includes amendments made by other written laws. For provisions that have come into operation, and for information about any reprints, see the compilation table.</w:t>
      </w:r>
    </w:p>
    <w:p>
      <w:pPr>
        <w:pStyle w:val="nHeading3"/>
      </w:pPr>
      <w:bookmarkStart w:id="128" w:name="_Toc107401961"/>
      <w:r>
        <w:t>Compilation table</w:t>
      </w:r>
      <w:bookmarkEnd w:id="12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Regulations 1996</w:t>
            </w:r>
          </w:p>
        </w:tc>
        <w:tc>
          <w:tcPr>
            <w:tcW w:w="1276" w:type="dxa"/>
          </w:tcPr>
          <w:p>
            <w:pPr>
              <w:pStyle w:val="nTable"/>
              <w:spacing w:after="40"/>
            </w:pPr>
            <w:r>
              <w:t>24 Jun 1996 p. 2681</w:t>
            </w:r>
            <w:r>
              <w:noBreakHyphen/>
              <w:t>750</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1996</w:t>
            </w:r>
          </w:p>
        </w:tc>
        <w:tc>
          <w:tcPr>
            <w:tcW w:w="1276" w:type="dxa"/>
          </w:tcPr>
          <w:p>
            <w:pPr>
              <w:pStyle w:val="nTable"/>
              <w:spacing w:after="40"/>
            </w:pPr>
            <w:r>
              <w:t>28 Jun 1996 p. 3169</w:t>
            </w:r>
            <w:r>
              <w:noBreakHyphen/>
              <w:t>70</w:t>
            </w:r>
          </w:p>
        </w:tc>
        <w:tc>
          <w:tcPr>
            <w:tcW w:w="2693" w:type="dxa"/>
          </w:tcPr>
          <w:p>
            <w:pPr>
              <w:pStyle w:val="nTable"/>
              <w:spacing w:after="40"/>
            </w:pPr>
            <w:r>
              <w:t>1 Jul 1996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(No. 2) 1996</w:t>
            </w:r>
          </w:p>
        </w:tc>
        <w:tc>
          <w:tcPr>
            <w:tcW w:w="1276" w:type="dxa"/>
          </w:tcPr>
          <w:p>
            <w:pPr>
              <w:pStyle w:val="nTable"/>
              <w:spacing w:after="40"/>
            </w:pPr>
            <w:r>
              <w:t>30 Aug 1996 p. 4330</w:t>
            </w:r>
            <w:r>
              <w:noBreakHyphen/>
              <w:t>1</w:t>
            </w:r>
          </w:p>
        </w:tc>
        <w:tc>
          <w:tcPr>
            <w:tcW w:w="2693" w:type="dxa"/>
          </w:tcPr>
          <w:p>
            <w:pPr>
              <w:pStyle w:val="nTable"/>
              <w:spacing w:after="40"/>
            </w:pPr>
            <w:r>
              <w:t>30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1997</w:t>
            </w:r>
          </w:p>
        </w:tc>
        <w:tc>
          <w:tcPr>
            <w:tcW w:w="1276" w:type="dxa"/>
          </w:tcPr>
          <w:p>
            <w:pPr>
              <w:pStyle w:val="nTable"/>
              <w:spacing w:after="40"/>
            </w:pPr>
            <w:r>
              <w:t>20 Jun 1997 p. 2837</w:t>
            </w:r>
            <w:r>
              <w:noBreakHyphen/>
              <w:t>45</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1998</w:t>
            </w:r>
          </w:p>
        </w:tc>
        <w:tc>
          <w:tcPr>
            <w:tcW w:w="1276" w:type="dxa"/>
          </w:tcPr>
          <w:p>
            <w:pPr>
              <w:pStyle w:val="nTable"/>
              <w:spacing w:after="40"/>
            </w:pPr>
            <w:r>
              <w:t>19 Jun 1998 p. 3281</w:t>
            </w:r>
            <w:r>
              <w:noBreakHyphen/>
              <w:t>2</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1999</w:t>
            </w:r>
          </w:p>
        </w:tc>
        <w:tc>
          <w:tcPr>
            <w:tcW w:w="1276" w:type="dxa"/>
          </w:tcPr>
          <w:p>
            <w:pPr>
              <w:pStyle w:val="nTable"/>
              <w:spacing w:after="40"/>
            </w:pPr>
            <w:r>
              <w:t>18 Jun 1999 p. 2639</w:t>
            </w:r>
            <w:r>
              <w:noBreakHyphen/>
              <w:t>40</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2) 1999</w:t>
            </w:r>
          </w:p>
        </w:tc>
        <w:tc>
          <w:tcPr>
            <w:tcW w:w="1276" w:type="dxa"/>
          </w:tcPr>
          <w:p>
            <w:pPr>
              <w:pStyle w:val="nTable"/>
              <w:spacing w:after="40"/>
            </w:pPr>
            <w:r>
              <w:t>29 Jun 1999 p. 2854</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Local Government (Financial Management) Regulations 1996</w:t>
            </w:r>
            <w:r>
              <w:rPr>
                <w:b/>
                <w:bCs/>
              </w:rPr>
              <w:t xml:space="preserve"> as at 24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2000</w:t>
            </w:r>
          </w:p>
        </w:tc>
        <w:tc>
          <w:tcPr>
            <w:tcW w:w="1276" w:type="dxa"/>
          </w:tcPr>
          <w:p>
            <w:pPr>
              <w:pStyle w:val="nTable"/>
              <w:spacing w:after="40"/>
            </w:pPr>
            <w:r>
              <w:t>16 Jun 2000 p. 2950</w:t>
            </w:r>
            <w:r>
              <w:noBreakHyphen/>
              <w:t>1</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3) 2004</w:t>
            </w:r>
          </w:p>
        </w:tc>
        <w:tc>
          <w:tcPr>
            <w:tcW w:w="1276" w:type="dxa"/>
          </w:tcPr>
          <w:p>
            <w:pPr>
              <w:pStyle w:val="nTable"/>
              <w:spacing w:after="40"/>
            </w:pPr>
            <w:r>
              <w:t>30 Dec 2004 p. 7015</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2005</w:t>
            </w:r>
          </w:p>
        </w:tc>
        <w:tc>
          <w:tcPr>
            <w:tcW w:w="1276" w:type="dxa"/>
          </w:tcPr>
          <w:p>
            <w:pPr>
              <w:pStyle w:val="nTable"/>
              <w:spacing w:after="40"/>
            </w:pPr>
            <w:r>
              <w:t>7 Jan 2005 p. 71</w:t>
            </w:r>
            <w:r>
              <w:noBreakHyphen/>
              <w:t>2</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Local Government (Financial Management) Amendment Regulations (No. 2) 2005</w:t>
            </w:r>
          </w:p>
        </w:tc>
        <w:tc>
          <w:tcPr>
            <w:tcW w:w="1276" w:type="dxa"/>
          </w:tcPr>
          <w:p>
            <w:pPr>
              <w:pStyle w:val="nTable"/>
              <w:spacing w:after="40"/>
            </w:pPr>
            <w:r>
              <w:t>31 Mar 2005 p. 1047</w:t>
            </w:r>
            <w:r>
              <w:noBreakHyphen/>
              <w:t>53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Local Government (Financial Management) Regulations 1996</w:t>
            </w:r>
            <w:r>
              <w:rPr>
                <w:b/>
                <w:bCs/>
              </w:rPr>
              <w:t xml:space="preserve"> as at 17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2008</w:t>
            </w:r>
          </w:p>
        </w:tc>
        <w:tc>
          <w:tcPr>
            <w:tcW w:w="1276" w:type="dxa"/>
          </w:tcPr>
          <w:p>
            <w:pPr>
              <w:pStyle w:val="nTable"/>
              <w:spacing w:after="40"/>
            </w:pPr>
            <w:r>
              <w:t>20 Jun 2008 p. 2720-8</w:t>
            </w:r>
          </w:p>
        </w:tc>
        <w:tc>
          <w:tcPr>
            <w:tcW w:w="2693" w:type="dxa"/>
          </w:tcPr>
          <w:p>
            <w:pPr>
              <w:pStyle w:val="nTable"/>
              <w:spacing w:after="40"/>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pPr>
            <w:r>
              <w:rPr>
                <w:i/>
                <w:snapToGrid w:val="0"/>
              </w:rPr>
              <w:t xml:space="preserve">Statutes (Repeals and Minor Amendments) Act 2011 </w:t>
            </w:r>
            <w:r>
              <w:rPr>
                <w:snapToGrid w:val="0"/>
              </w:rPr>
              <w:t>s.</w:t>
            </w:r>
            <w:r>
              <w:t> 16 assented to 25 Oct 2011</w:t>
            </w:r>
          </w:p>
        </w:tc>
        <w:tc>
          <w:tcPr>
            <w:tcW w:w="2693"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2012</w:t>
            </w:r>
          </w:p>
        </w:tc>
        <w:tc>
          <w:tcPr>
            <w:tcW w:w="1276" w:type="dxa"/>
          </w:tcPr>
          <w:p>
            <w:pPr>
              <w:pStyle w:val="nTable"/>
              <w:spacing w:after="40"/>
            </w:pPr>
            <w:r>
              <w:t>20 Apr 2012 p. 1698</w:t>
            </w:r>
            <w:r>
              <w:noBreakHyphen/>
              <w:t>705</w:t>
            </w:r>
          </w:p>
        </w:tc>
        <w:tc>
          <w:tcPr>
            <w:tcW w:w="2693" w:type="dxa"/>
          </w:tcPr>
          <w:p>
            <w:pPr>
              <w:pStyle w:val="nTable"/>
              <w:spacing w:after="40"/>
              <w:rPr>
                <w:snapToGrid w:val="0"/>
              </w:rPr>
            </w:pPr>
            <w:r>
              <w:rPr>
                <w:snapToGrid w:val="0"/>
              </w:rPr>
              <w:t>r. 1 and 2: 20 Apr 2012 (see r. 2(a));</w:t>
            </w:r>
            <w:r>
              <w:rPr>
                <w:snapToGrid w:val="0"/>
              </w:rPr>
              <w:br/>
              <w:t xml:space="preserve">Regulations other than r. 1 and 2: 21 Apr 2012 (see r.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(No. 2) 2012</w:t>
            </w:r>
          </w:p>
        </w:tc>
        <w:tc>
          <w:tcPr>
            <w:tcW w:w="1276" w:type="dxa"/>
            <w:shd w:val="clear" w:color="auto" w:fill="auto"/>
          </w:tcPr>
          <w:p>
            <w:pPr>
              <w:pStyle w:val="nTable"/>
              <w:spacing w:after="40"/>
            </w:pPr>
            <w:r>
              <w:t>29 Jun 2012 p. 2952-4</w:t>
            </w:r>
          </w:p>
        </w:tc>
        <w:tc>
          <w:tcPr>
            <w:tcW w:w="2693" w:type="dxa"/>
            <w:shd w:val="clear" w:color="auto" w:fill="auto"/>
          </w:tcPr>
          <w:p>
            <w:pPr>
              <w:pStyle w:val="nTable"/>
              <w:spacing w:after="40"/>
              <w:rPr>
                <w:snapToGrid w:val="0"/>
              </w:rPr>
            </w:pPr>
            <w:r>
              <w:rPr>
                <w:snapToGrid w:val="0"/>
              </w:rPr>
              <w:t>r. 1 and 2: 29 Jun 2012 (see r. 2(a));</w:t>
            </w:r>
            <w:r>
              <w:rPr>
                <w:snapToGrid w:val="0"/>
              </w:rPr>
              <w:br/>
              <w:t>Regulations other than r. 1 and 2: 30 Jun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bCs/>
              </w:rPr>
              <w:t xml:space="preserve">Reprint 3: The </w:t>
            </w:r>
            <w:r>
              <w:rPr>
                <w:b/>
                <w:bCs/>
                <w:i/>
              </w:rPr>
              <w:t>Local Government (Financial Management) Regulations 1996</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2013</w:t>
            </w:r>
          </w:p>
        </w:tc>
        <w:tc>
          <w:tcPr>
            <w:tcW w:w="1276" w:type="dxa"/>
            <w:shd w:val="clear" w:color="auto" w:fill="auto"/>
          </w:tcPr>
          <w:p>
            <w:pPr>
              <w:pStyle w:val="nTable"/>
              <w:spacing w:after="40"/>
            </w:pPr>
            <w:r>
              <w:t>21 Jun 2013 p. 2450-2</w:t>
            </w:r>
          </w:p>
        </w:tc>
        <w:tc>
          <w:tcPr>
            <w:tcW w:w="2693" w:type="dxa"/>
            <w:shd w:val="clear" w:color="auto" w:fill="auto"/>
          </w:tcPr>
          <w:p>
            <w:pPr>
              <w:pStyle w:val="nTable"/>
              <w:spacing w:after="40"/>
              <w:rPr>
                <w:i/>
                <w:snapToGrid w:val="0"/>
              </w:rPr>
            </w:pPr>
            <w:r>
              <w:rPr>
                <w:snapToGrid w:val="0"/>
              </w:rPr>
              <w:t>r. 1 and 2: 21 Jun 2013 (see r. 2(a));</w:t>
            </w:r>
            <w:r>
              <w:rPr>
                <w:snapToGrid w:val="0"/>
              </w:rPr>
              <w:br/>
              <w:t>Regulations other than r. 1 and 2: 22 Jun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2017</w:t>
            </w:r>
          </w:p>
        </w:tc>
        <w:tc>
          <w:tcPr>
            <w:tcW w:w="1276" w:type="dxa"/>
            <w:shd w:val="clear" w:color="auto" w:fill="auto"/>
          </w:tcPr>
          <w:p>
            <w:pPr>
              <w:pStyle w:val="nTable"/>
              <w:spacing w:after="40"/>
            </w:pPr>
            <w:r>
              <w:t>12 May 2017 p. 2469</w:t>
            </w:r>
          </w:p>
        </w:tc>
        <w:tc>
          <w:tcPr>
            <w:tcW w:w="2693" w:type="dxa"/>
            <w:shd w:val="clear" w:color="auto" w:fill="auto"/>
          </w:tcPr>
          <w:p>
            <w:pPr>
              <w:pStyle w:val="nTable"/>
              <w:spacing w:after="40"/>
              <w:rPr>
                <w:snapToGrid w:val="0"/>
              </w:rPr>
            </w:pPr>
            <w:r>
              <w:rPr>
                <w:bCs/>
                <w:snapToGrid w:val="0"/>
                <w:spacing w:val="-2"/>
              </w:rPr>
              <w:t xml:space="preserve">r. 1 and 2: </w:t>
            </w:r>
            <w:r>
              <w:rPr>
                <w:snapToGrid w:val="0"/>
              </w:rPr>
              <w:t>12 May 2017</w:t>
            </w:r>
            <w:r>
              <w:rPr>
                <w:bCs/>
                <w:snapToGrid w:val="0"/>
                <w:spacing w:val="-2"/>
              </w:rPr>
              <w:t xml:space="preserve"> (see r. 2(a));</w:t>
            </w:r>
            <w:r>
              <w:rPr>
                <w:bCs/>
                <w:snapToGrid w:val="0"/>
                <w:spacing w:val="-2"/>
              </w:rPr>
              <w:br/>
              <w:t xml:space="preserve">Regulations other than r. 1 and 2: </w:t>
            </w:r>
            <w:r>
              <w:rPr>
                <w:snapToGrid w:val="0"/>
              </w:rPr>
              <w:t>13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pPr>
            <w:r>
              <w:rPr>
                <w:i/>
              </w:rPr>
              <w:t>Local Government Regulations Amendment (Auditing) Regulations 2018</w:t>
            </w:r>
            <w:r>
              <w:t xml:space="preserve"> Pt. 3</w:t>
            </w:r>
          </w:p>
        </w:tc>
        <w:tc>
          <w:tcPr>
            <w:tcW w:w="1276" w:type="dxa"/>
            <w:shd w:val="clear" w:color="auto" w:fill="auto"/>
          </w:tcPr>
          <w:p>
            <w:pPr>
              <w:pStyle w:val="nTable"/>
              <w:spacing w:after="40"/>
            </w:pPr>
            <w:r>
              <w:t>26 Jun 2018 p. 2384</w:t>
            </w:r>
            <w:r>
              <w:noBreakHyphen/>
              <w:t>9</w:t>
            </w:r>
          </w:p>
        </w:tc>
        <w:tc>
          <w:tcPr>
            <w:tcW w:w="2693" w:type="dxa"/>
            <w:shd w:val="clear" w:color="auto" w:fill="auto"/>
          </w:tcPr>
          <w:p>
            <w:pPr>
              <w:pStyle w:val="nTable"/>
              <w:spacing w:after="40"/>
              <w:rPr>
                <w:bCs/>
                <w:snapToGrid w:val="0"/>
                <w:spacing w:val="-2"/>
              </w:rPr>
            </w:pPr>
            <w:r>
              <w:t xml:space="preserve">Pt. 3 (other than r. 13 and 14): </w:t>
            </w:r>
            <w:r>
              <w:rPr>
                <w:bCs/>
                <w:snapToGrid w:val="0"/>
                <w:spacing w:val="-2"/>
              </w:rPr>
              <w:t>27 Jun 2018 (see r. 2(c));</w:t>
            </w:r>
            <w:r>
              <w:rPr>
                <w:bCs/>
                <w:snapToGrid w:val="0"/>
                <w:spacing w:val="-2"/>
              </w:rPr>
              <w:br/>
              <w:t>r. 13 and 14: 1 Jul 2018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(Recovery of Advance Payments) Regulations 2018</w:t>
            </w:r>
            <w:r>
              <w:t xml:space="preserve"> Pt. 3</w:t>
            </w:r>
          </w:p>
        </w:tc>
        <w:tc>
          <w:tcPr>
            <w:tcW w:w="1276" w:type="dxa"/>
            <w:tcBorders>
              <w:top w:val="nil"/>
              <w:bottom w:val="nil"/>
            </w:tcBorders>
            <w:shd w:val="clear" w:color="auto" w:fill="auto"/>
          </w:tcPr>
          <w:p>
            <w:pPr>
              <w:pStyle w:val="nTable"/>
              <w:spacing w:after="40"/>
            </w:pPr>
            <w:r>
              <w:t>14 Dec 2018 p. 4805</w:t>
            </w:r>
            <w:r>
              <w:noBreakHyphen/>
              <w:t>6</w:t>
            </w:r>
          </w:p>
        </w:tc>
        <w:tc>
          <w:tcPr>
            <w:tcW w:w="2693" w:type="dxa"/>
            <w:tcBorders>
              <w:top w:val="nil"/>
              <w:bottom w:val="nil"/>
            </w:tcBorders>
            <w:shd w:val="clear" w:color="auto" w:fill="auto"/>
          </w:tcPr>
          <w:p>
            <w:pPr>
              <w:pStyle w:val="nTable"/>
              <w:spacing w:after="40"/>
            </w:pPr>
            <w:r>
              <w:t>15 Dec 2018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Regulations 2020</w:t>
            </w:r>
            <w:r>
              <w:t xml:space="preserve"> Pt. 2</w:t>
            </w:r>
          </w:p>
        </w:tc>
        <w:tc>
          <w:tcPr>
            <w:tcW w:w="1276" w:type="dxa"/>
            <w:tcBorders>
              <w:top w:val="nil"/>
              <w:bottom w:val="nil"/>
            </w:tcBorders>
            <w:shd w:val="clear" w:color="auto" w:fill="auto"/>
          </w:tcPr>
          <w:p>
            <w:pPr>
              <w:pStyle w:val="nTable"/>
              <w:spacing w:after="40"/>
            </w:pPr>
            <w:r>
              <w:t>SL 2020/35 9 Apr 2020</w:t>
            </w:r>
          </w:p>
        </w:tc>
        <w:tc>
          <w:tcPr>
            <w:tcW w:w="2693" w:type="dxa"/>
            <w:tcBorders>
              <w:top w:val="nil"/>
              <w:bottom w:val="nil"/>
            </w:tcBorders>
            <w:shd w:val="clear" w:color="auto" w:fill="auto"/>
          </w:tcPr>
          <w:p>
            <w:pPr>
              <w:pStyle w:val="nTable"/>
              <w:spacing w:after="40"/>
            </w:pPr>
            <w:r>
              <w:t>10 Apr 2020 (see r. 2(b))</w:t>
            </w:r>
          </w:p>
        </w:tc>
      </w:tr>
      <w:tr>
        <w:trPr>
          <w:cantSplit/>
        </w:trPr>
        <w:tc>
          <w:tcPr>
            <w:tcW w:w="3118" w:type="dxa"/>
            <w:tcBorders>
              <w:top w:val="nil"/>
              <w:bottom w:val="nil"/>
            </w:tcBorders>
            <w:shd w:val="clear" w:color="auto" w:fill="auto"/>
          </w:tcPr>
          <w:p>
            <w:pPr>
              <w:pStyle w:val="nTable"/>
              <w:spacing w:after="40"/>
              <w:ind w:right="113"/>
            </w:pPr>
            <w:r>
              <w:rPr>
                <w:i/>
              </w:rPr>
              <w:lastRenderedPageBreak/>
              <w:t>Local Government Regulations Amendment Regulations (No. 2) 2020</w:t>
            </w:r>
            <w:r>
              <w:t xml:space="preserve"> Pt. 7</w:t>
            </w:r>
          </w:p>
        </w:tc>
        <w:tc>
          <w:tcPr>
            <w:tcW w:w="1276" w:type="dxa"/>
            <w:tcBorders>
              <w:top w:val="nil"/>
              <w:bottom w:val="nil"/>
            </w:tcBorders>
            <w:shd w:val="clear" w:color="auto" w:fill="auto"/>
          </w:tcPr>
          <w:p>
            <w:pPr>
              <w:pStyle w:val="nTable"/>
              <w:spacing w:after="40"/>
            </w:pPr>
            <w:r>
              <w:t>SL 2020/213 6 Nov 2020</w:t>
            </w:r>
          </w:p>
        </w:tc>
        <w:tc>
          <w:tcPr>
            <w:tcW w:w="2693" w:type="dxa"/>
            <w:tcBorders>
              <w:top w:val="nil"/>
              <w:bottom w:val="nil"/>
            </w:tcBorders>
            <w:shd w:val="clear" w:color="auto" w:fill="auto"/>
          </w:tcPr>
          <w:p>
            <w:pPr>
              <w:pStyle w:val="nTable"/>
              <w:spacing w:after="40"/>
            </w:pPr>
            <w:r>
              <w:t>7 Nov 2020 (see r. 2(b) and SL 2020/212 cl. 2)</w:t>
            </w:r>
          </w:p>
        </w:tc>
      </w:tr>
      <w:tr>
        <w:trPr>
          <w:cantSplit/>
        </w:trPr>
        <w:tc>
          <w:tcPr>
            <w:tcW w:w="3118" w:type="dxa"/>
            <w:tcBorders>
              <w:top w:val="nil"/>
              <w:bottom w:val="nil"/>
            </w:tcBorders>
            <w:shd w:val="clear" w:color="auto" w:fill="auto"/>
          </w:tcPr>
          <w:p>
            <w:pPr>
              <w:pStyle w:val="nTable"/>
              <w:spacing w:after="40"/>
              <w:ind w:right="113"/>
            </w:pPr>
            <w:r>
              <w:rPr>
                <w:i/>
              </w:rPr>
              <w:t>Local Government (Financial Management) Amendment Regulations 2020</w:t>
            </w:r>
          </w:p>
        </w:tc>
        <w:tc>
          <w:tcPr>
            <w:tcW w:w="1276" w:type="dxa"/>
            <w:tcBorders>
              <w:top w:val="nil"/>
              <w:bottom w:val="nil"/>
            </w:tcBorders>
            <w:shd w:val="clear" w:color="auto" w:fill="auto"/>
          </w:tcPr>
          <w:p>
            <w:pPr>
              <w:pStyle w:val="nTable"/>
              <w:spacing w:after="40"/>
            </w:pPr>
            <w:r>
              <w:t>SL 2020/219 6 Nov 2020</w:t>
            </w:r>
          </w:p>
        </w:tc>
        <w:tc>
          <w:tcPr>
            <w:tcW w:w="2693" w:type="dxa"/>
            <w:tcBorders>
              <w:top w:val="nil"/>
              <w:bottom w:val="nil"/>
            </w:tcBorders>
            <w:shd w:val="clear" w:color="auto" w:fill="auto"/>
          </w:tcPr>
          <w:p>
            <w:pPr>
              <w:pStyle w:val="nTable"/>
              <w:spacing w:after="40"/>
            </w:pPr>
            <w:r>
              <w:t>r. 1 and 2: 6 Nov 2020 (see r. 2(a));</w:t>
            </w:r>
            <w:r>
              <w:br/>
              <w:t>Regulations other than r. 1 and 2: 7 Nov 2020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ind w:right="113"/>
              <w:rPr>
                <w:i/>
              </w:rPr>
            </w:pPr>
            <w:r>
              <w:rPr>
                <w:i/>
              </w:rPr>
              <w:t>Local Government Regulations Amendment (Financial Management and Audit) Regulations 2022</w:t>
            </w:r>
            <w:r>
              <w:t xml:space="preserve"> Pt. 3</w:t>
            </w:r>
          </w:p>
        </w:tc>
        <w:tc>
          <w:tcPr>
            <w:tcW w:w="1276" w:type="dxa"/>
            <w:tcBorders>
              <w:bottom w:val="single" w:sz="4" w:space="0" w:color="auto"/>
            </w:tcBorders>
            <w:shd w:val="clear" w:color="auto" w:fill="auto"/>
          </w:tcPr>
          <w:p>
            <w:pPr>
              <w:pStyle w:val="nTable"/>
              <w:spacing w:after="40"/>
            </w:pPr>
            <w:r>
              <w:t>SL 2022/88 17 Jun 2022</w:t>
            </w:r>
          </w:p>
        </w:tc>
        <w:tc>
          <w:tcPr>
            <w:tcW w:w="2693" w:type="dxa"/>
            <w:tcBorders>
              <w:bottom w:val="single" w:sz="4" w:space="0" w:color="auto"/>
            </w:tcBorders>
            <w:shd w:val="clear" w:color="auto" w:fill="auto"/>
          </w:tcPr>
          <w:p>
            <w:pPr>
              <w:pStyle w:val="nTable"/>
              <w:spacing w:after="40"/>
            </w:pPr>
            <w:r>
              <w:t>1 Jul 2022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30" w:name="_Toc107401962"/>
      <w:r>
        <w:rPr>
          <w:sz w:val="28"/>
        </w:rPr>
        <w:lastRenderedPageBreak/>
        <w:t>Defined terms</w:t>
      </w:r>
      <w:bookmarkEnd w:id="1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AAS</w:t>
      </w:r>
      <w:r>
        <w:tab/>
        <w:t>3(1)</w:t>
      </w:r>
    </w:p>
    <w:p>
      <w:pPr>
        <w:pStyle w:val="DefinedTerms"/>
      </w:pPr>
      <w:r>
        <w:t>amending regulations</w:t>
      </w:r>
      <w:r>
        <w:tab/>
        <w:t>79(1)</w:t>
      </w:r>
    </w:p>
    <w:p>
      <w:pPr>
        <w:pStyle w:val="DefinedTerms"/>
      </w:pPr>
      <w:r>
        <w:t>asset</w:t>
      </w:r>
      <w:r>
        <w:tab/>
        <w:t>17A(1)</w:t>
      </w:r>
    </w:p>
    <w:p>
      <w:pPr>
        <w:pStyle w:val="DefinedTerms"/>
      </w:pPr>
      <w:r>
        <w:t>Australian Accounting Standards Board</w:t>
      </w:r>
      <w:r>
        <w:tab/>
        <w:t>3(1)</w:t>
      </w:r>
    </w:p>
    <w:p>
      <w:pPr>
        <w:pStyle w:val="DefinedTerms"/>
      </w:pPr>
      <w:r>
        <w:t>authorised institution</w:t>
      </w:r>
      <w:r>
        <w:tab/>
        <w:t>19C(1)</w:t>
      </w:r>
    </w:p>
    <w:p>
      <w:pPr>
        <w:pStyle w:val="DefinedTerms"/>
      </w:pPr>
      <w:r>
        <w:t>back minimum payment</w:t>
      </w:r>
      <w:r>
        <w:tab/>
        <w:t>3(1)</w:t>
      </w:r>
    </w:p>
    <w:p>
      <w:pPr>
        <w:pStyle w:val="DefinedTerms"/>
      </w:pPr>
      <w:r>
        <w:t>back rate</w:t>
      </w:r>
      <w:r>
        <w:tab/>
        <w:t>3(1)</w:t>
      </w:r>
    </w:p>
    <w:p>
      <w:pPr>
        <w:pStyle w:val="DefinedTerms"/>
      </w:pPr>
      <w:r>
        <w:t>balance sheet</w:t>
      </w:r>
      <w:r>
        <w:tab/>
        <w:t>3(1)</w:t>
      </w:r>
    </w:p>
    <w:p>
      <w:pPr>
        <w:pStyle w:val="DefinedTerms"/>
      </w:pPr>
      <w:r>
        <w:t>carrying amount</w:t>
      </w:r>
      <w:r>
        <w:tab/>
        <w:t>17A(1)</w:t>
      </w:r>
    </w:p>
    <w:p>
      <w:pPr>
        <w:pStyle w:val="DefinedTerms"/>
      </w:pPr>
      <w:r>
        <w:t>cash flow statement</w:t>
      </w:r>
      <w:r>
        <w:tab/>
        <w:t>3(1)</w:t>
      </w:r>
    </w:p>
    <w:p>
      <w:pPr>
        <w:pStyle w:val="DefinedTerms"/>
      </w:pPr>
      <w:r>
        <w:t>class of assets</w:t>
      </w:r>
      <w:r>
        <w:tab/>
        <w:t>3(1)</w:t>
      </w:r>
    </w:p>
    <w:p>
      <w:pPr>
        <w:pStyle w:val="DefinedTerms"/>
      </w:pPr>
      <w:r>
        <w:t>commencement day</w:t>
      </w:r>
      <w:r>
        <w:tab/>
        <w:t>52A(1), 80(1)</w:t>
      </w:r>
    </w:p>
    <w:p>
      <w:pPr>
        <w:pStyle w:val="DefinedTerms"/>
      </w:pPr>
      <w:r>
        <w:t>committed assets</w:t>
      </w:r>
      <w:r>
        <w:tab/>
        <w:t>34(1A)</w:t>
      </w:r>
    </w:p>
    <w:p>
      <w:pPr>
        <w:pStyle w:val="DefinedTerms"/>
      </w:pPr>
      <w:r>
        <w:t>comparative figures</w:t>
      </w:r>
      <w:r>
        <w:tab/>
        <w:t>30(1)</w:t>
      </w:r>
    </w:p>
    <w:p>
      <w:pPr>
        <w:pStyle w:val="DefinedTerms"/>
      </w:pPr>
      <w:r>
        <w:t>due date</w:t>
      </w:r>
      <w:r>
        <w:tab/>
        <w:t>19B(1)</w:t>
      </w:r>
    </w:p>
    <w:p>
      <w:pPr>
        <w:pStyle w:val="DefinedTerms"/>
      </w:pPr>
      <w:r>
        <w:t>existing loan</w:t>
      </w:r>
      <w:r>
        <w:tab/>
        <w:t>20(1)</w:t>
      </w:r>
    </w:p>
    <w:p>
      <w:pPr>
        <w:pStyle w:val="DefinedTerms"/>
      </w:pPr>
      <w:r>
        <w:t>fair value</w:t>
      </w:r>
      <w:r>
        <w:tab/>
        <w:t>17A(1)</w:t>
      </w:r>
    </w:p>
    <w:p>
      <w:pPr>
        <w:pStyle w:val="DefinedTerms"/>
      </w:pPr>
      <w:r>
        <w:t>foreign currency</w:t>
      </w:r>
      <w:r>
        <w:tab/>
        <w:t>19C(1)</w:t>
      </w:r>
    </w:p>
    <w:p>
      <w:pPr>
        <w:pStyle w:val="DefinedTerms"/>
      </w:pPr>
      <w:r>
        <w:t>Form</w:t>
      </w:r>
      <w:r>
        <w:tab/>
        <w:t>3(1)</w:t>
      </w:r>
    </w:p>
    <w:p>
      <w:pPr>
        <w:pStyle w:val="DefinedTerms"/>
      </w:pPr>
      <w:r>
        <w:t>income statement</w:t>
      </w:r>
      <w:r>
        <w:tab/>
        <w:t>3(1)</w:t>
      </w:r>
    </w:p>
    <w:p>
      <w:pPr>
        <w:pStyle w:val="DefinedTerms"/>
      </w:pPr>
      <w:r>
        <w:t>interim minimum payment</w:t>
      </w:r>
      <w:r>
        <w:tab/>
        <w:t>3(1)</w:t>
      </w:r>
    </w:p>
    <w:p>
      <w:pPr>
        <w:pStyle w:val="DefinedTerms"/>
      </w:pPr>
      <w:r>
        <w:t>interim notice</w:t>
      </w:r>
      <w:r>
        <w:tab/>
        <w:t>62(1)</w:t>
      </w:r>
    </w:p>
    <w:p>
      <w:pPr>
        <w:pStyle w:val="DefinedTerms"/>
      </w:pPr>
      <w:r>
        <w:t>interim rate</w:t>
      </w:r>
      <w:r>
        <w:tab/>
        <w:t>3(1)</w:t>
      </w:r>
    </w:p>
    <w:p>
      <w:pPr>
        <w:pStyle w:val="DefinedTerms"/>
      </w:pPr>
      <w:r>
        <w:t>major variation</w:t>
      </w:r>
      <w:r>
        <w:tab/>
        <w:t>20(1)</w:t>
      </w:r>
    </w:p>
    <w:p>
      <w:pPr>
        <w:pStyle w:val="DefinedTerms"/>
      </w:pPr>
      <w:r>
        <w:t>material variance</w:t>
      </w:r>
      <w:r>
        <w:tab/>
        <w:t>3(1)</w:t>
      </w:r>
    </w:p>
    <w:p>
      <w:pPr>
        <w:pStyle w:val="DefinedTerms"/>
      </w:pPr>
      <w:r>
        <w:t>nature or type classification</w:t>
      </w:r>
      <w:r>
        <w:tab/>
        <w:t>3(1)</w:t>
      </w:r>
    </w:p>
    <w:p>
      <w:pPr>
        <w:pStyle w:val="DefinedTerms"/>
      </w:pPr>
      <w:r>
        <w:t>net current assets</w:t>
      </w:r>
      <w:r>
        <w:tab/>
        <w:t>3(1)</w:t>
      </w:r>
    </w:p>
    <w:p>
      <w:pPr>
        <w:pStyle w:val="DefinedTerms"/>
      </w:pPr>
      <w:r>
        <w:t>new loan</w:t>
      </w:r>
      <w:r>
        <w:tab/>
        <w:t>20(1)</w:t>
      </w:r>
    </w:p>
    <w:p>
      <w:pPr>
        <w:pStyle w:val="DefinedTerms"/>
      </w:pPr>
      <w:r>
        <w:t>non-current asset</w:t>
      </w:r>
      <w:r>
        <w:tab/>
        <w:t>3(1)</w:t>
      </w:r>
    </w:p>
    <w:p>
      <w:pPr>
        <w:pStyle w:val="DefinedTerms"/>
      </w:pPr>
      <w:r>
        <w:t>old law</w:t>
      </w:r>
      <w:r>
        <w:tab/>
        <w:t>79(1)</w:t>
      </w:r>
    </w:p>
    <w:p>
      <w:pPr>
        <w:pStyle w:val="DefinedTerms"/>
      </w:pPr>
      <w:r>
        <w:t>operating revenue</w:t>
      </w:r>
      <w:r>
        <w:tab/>
        <w:t>3(1)</w:t>
      </w:r>
    </w:p>
    <w:p>
      <w:pPr>
        <w:pStyle w:val="DefinedTerms"/>
      </w:pPr>
      <w:r>
        <w:t xml:space="preserve"> overdraft</w:t>
      </w:r>
      <w:r>
        <w:tab/>
        <w:t>29, 48</w:t>
      </w:r>
    </w:p>
    <w:p>
      <w:pPr>
        <w:pStyle w:val="DefinedTerms"/>
      </w:pPr>
      <w:r>
        <w:t>program</w:t>
      </w:r>
      <w:r>
        <w:tab/>
        <w:t>3(1)</w:t>
      </w:r>
    </w:p>
    <w:p>
      <w:pPr>
        <w:pStyle w:val="DefinedTerms"/>
      </w:pPr>
      <w:r>
        <w:t>rate</w:t>
      </w:r>
      <w:r>
        <w:tab/>
        <w:t>3(1)</w:t>
      </w:r>
    </w:p>
    <w:p>
      <w:pPr>
        <w:pStyle w:val="DefinedTerms"/>
      </w:pPr>
      <w:r>
        <w:t>rate setting statement</w:t>
      </w:r>
      <w:r>
        <w:tab/>
        <w:t>3(1)</w:t>
      </w:r>
    </w:p>
    <w:p>
      <w:pPr>
        <w:pStyle w:val="DefinedTerms"/>
      </w:pPr>
      <w:r>
        <w:t>re-finance</w:t>
      </w:r>
      <w:r>
        <w:tab/>
        <w:t>20(1)</w:t>
      </w:r>
    </w:p>
    <w:p>
      <w:pPr>
        <w:pStyle w:val="DefinedTerms"/>
      </w:pPr>
      <w:r>
        <w:t>relevant district</w:t>
      </w:r>
      <w:r>
        <w:tab/>
        <w:t>52A(1)</w:t>
      </w:r>
    </w:p>
    <w:p>
      <w:pPr>
        <w:pStyle w:val="DefinedTerms"/>
      </w:pPr>
      <w:r>
        <w:t>restricted asset</w:t>
      </w:r>
      <w:r>
        <w:tab/>
        <w:t>3(1)</w:t>
      </w:r>
    </w:p>
    <w:p>
      <w:pPr>
        <w:pStyle w:val="DefinedTerms"/>
      </w:pPr>
      <w:r>
        <w:t>right-of-use</w:t>
      </w:r>
      <w:r>
        <w:tab/>
        <w:t>17A(1)</w:t>
      </w:r>
    </w:p>
    <w:p>
      <w:pPr>
        <w:pStyle w:val="DefinedTerms"/>
      </w:pPr>
      <w:r>
        <w:t>section</w:t>
      </w:r>
      <w:r>
        <w:tab/>
        <w:t>3(1)</w:t>
      </w:r>
    </w:p>
    <w:p>
      <w:pPr>
        <w:pStyle w:val="DefinedTerms"/>
      </w:pPr>
      <w:r>
        <w:lastRenderedPageBreak/>
        <w:t>state of emergency declaration</w:t>
      </w:r>
      <w:r>
        <w:tab/>
        <w:t>3(1)</w:t>
      </w:r>
    </w:p>
    <w:p>
      <w:pPr>
        <w:pStyle w:val="DefinedTerms"/>
      </w:pPr>
      <w:r>
        <w:t>the due date</w:t>
      </w:r>
      <w:r>
        <w:tab/>
        <w:t>71(1)</w:t>
      </w:r>
    </w:p>
    <w:p>
      <w:pPr>
        <w:pStyle w:val="DefinedTerms"/>
      </w:pPr>
      <w:r>
        <w:t>total assets</w:t>
      </w:r>
      <w:r>
        <w:tab/>
        <w:t>3(1)</w:t>
      </w:r>
    </w:p>
    <w:p>
      <w:pPr>
        <w:pStyle w:val="DefinedTerms"/>
      </w:pPr>
      <w:r>
        <w:t>unpaid rate</w:t>
      </w:r>
      <w:r>
        <w:tab/>
        <w:t>66(5)</w:t>
      </w:r>
    </w:p>
    <w:p>
      <w:pPr>
        <w:pStyle w:val="DefinedTerms"/>
      </w:pPr>
      <w:r>
        <w:t>vested improvement</w:t>
      </w:r>
      <w:r>
        <w:tab/>
        <w:t>17A(1)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4" w:name="Schedule"/>
    <w:bookmarkEnd w:id="1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31" w:name="DefinedTerms"/>
    <w:bookmarkEnd w:id="13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 w:name="Coversheet"/>
    <w:bookmarkEnd w:id="1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13727"/>
    <w:docVar w:name="WAFER_20140116091630" w:val="RemoveTocBookmarks,RemoveUnusedBookmarks,RemoveLanguageTags,UsedStyles,ResetPageSize,UpdateArrangement"/>
    <w:docVar w:name="WAFER_20140116091630_GUID" w:val="37e5994e-72ae-4c07-818d-5246c7edd687"/>
    <w:docVar w:name="WAFER_20140116091642" w:val="RemoveTocBookmarks,RunningHeaders"/>
    <w:docVar w:name="WAFER_20140116091642_GUID" w:val="282e069e-51fc-479b-bb5c-a8b13b0af1a2"/>
    <w:docVar w:name="WAFER_20150602110918" w:val="ResetPageSize,UpdateArrangement,UpdateNTable"/>
    <w:docVar w:name="WAFER_20150602110918_GUID" w:val="b939f57d-4127-4c44-8aa7-f8b5d7ec40b0"/>
    <w:docVar w:name="WAFER_20151126104442" w:val="UpdateStyles"/>
    <w:docVar w:name="WAFER_20151126104442_GUID" w:val="2e83d837-afe7-4bc7-aa80-4687a000a706"/>
    <w:docVar w:name="WAFER_20151126112930" w:val="UsedStyles"/>
    <w:docVar w:name="WAFER_20151126112930_GUID" w:val="238bec43-cca1-40cc-b825-89144cd117db"/>
    <w:docVar w:name="WAFER_20170511111129" w:val="RemoveTocBookmarks,RemoveUnusedBookmarks,RemoveLanguageTags,UsedStyles,ResetPageSize"/>
    <w:docVar w:name="WAFER_20170511111129_GUID" w:val="bd587c81-fbbc-4d5a-8b33-76de64fcce5d"/>
    <w:docVar w:name="WAFER_2020040812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8124330_GUID" w:val="672cc791-f95d-4687-8625-100e26196c9b"/>
    <w:docVar w:name="WAFER_20201103085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085616_GUID" w:val="db11b61a-42e0-4043-8ca3-2c9fac167c33"/>
    <w:docVar w:name="WAFER_20201103121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121049_GUID" w:val="0e7a9d78-9775-42fd-80a4-6d09d540ada5"/>
    <w:docVar w:name="WAFER_202206151105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0508_GUID" w:val="0331e72f-58e7-470a-b199-4034c7bfeb10"/>
    <w:docVar w:name="WAFER_202206271137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13727_GUID" w:val="adde62a7-aa11-42c4-a7f7-bc7daeaa85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docId w15:val="{FD569FF9-66B9-48AC-8DA5-E78ADC1C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NAm">
    <w:name w:val="THeadingNAm"/>
    <w:pPr>
      <w:keepNext/>
      <w:spacing w:before="160" w:after="60" w:line="260" w:lineRule="atLeast"/>
      <w:ind w:left="879" w:right="142"/>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18032</Words>
  <Characters>89442</Characters>
  <Application>Microsoft Office Word</Application>
  <DocSecurity>0</DocSecurity>
  <Lines>2795</Lines>
  <Paragraphs>1821</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105653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1996 - 03-j0-00</dc:title>
  <dc:subject/>
  <dc:creator/>
  <cp:keywords/>
  <dc:description/>
  <cp:lastModifiedBy>Master Repository Process</cp:lastModifiedBy>
  <cp:revision>4</cp:revision>
  <cp:lastPrinted>2018-06-27T03:09:00Z</cp:lastPrinted>
  <dcterms:created xsi:type="dcterms:W3CDTF">2022-06-30T02:00:00Z</dcterms:created>
  <dcterms:modified xsi:type="dcterms:W3CDTF">2022-06-30T02:00:00Z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DocumentType">
    <vt:lpwstr>Reg</vt:lpwstr>
  </property>
  <property fmtid="{D5CDD505-2E9C-101B-9397-08002B2CF9AE}" pid="4" name="OwlsUID">
    <vt:i4>4577</vt:i4>
  </property>
  <property fmtid="{D5CDD505-2E9C-101B-9397-08002B2CF9AE}" pid="5" name="ReprintNo">
    <vt:lpwstr>3</vt:lpwstr>
  </property>
  <property fmtid="{D5CDD505-2E9C-101B-9397-08002B2CF9AE}" pid="6" name="ReprintedAsAt">
    <vt:filetime>2012-12-06T16:00:00Z</vt:filetime>
  </property>
  <property fmtid="{D5CDD505-2E9C-101B-9397-08002B2CF9AE}" pid="7" name="AsAtDate">
    <vt:lpwstr>01 Jul 2022</vt:lpwstr>
  </property>
  <property fmtid="{D5CDD505-2E9C-101B-9397-08002B2CF9AE}" pid="8" name="Suffix">
    <vt:lpwstr>03-j0-00</vt:lpwstr>
  </property>
  <property fmtid="{D5CDD505-2E9C-101B-9397-08002B2CF9AE}" pid="9" name="CommencementDate">
    <vt:lpwstr>20220701</vt:lpwstr>
  </property>
</Properties>
</file>