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(Fees)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_Toc107306539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_Toc107306540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_Toc107306541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_Toc107306542 \h </w:instrText>
      </w:r>
      <w:r>
        <w:fldChar w:fldCharType="separate"/>
      </w:r>
      <w:r>
        <w:t>3</w:t>
      </w:r>
      <w:r>
        <w:fldChar w:fldCharType="end"/>
      </w:r>
    </w:p>
    <w:p>
      <w:pPr>
        <w:pStyle w:val="TOC8"/>
        <w:rPr>
          <w:rFonts w:asciiTheme="minorHAnsi" w:eastAsiaTheme="minorEastAsia" w:hAnsiTheme="minorHAnsi" w:cstheme="minorBidi"/>
          <w:szCs w:val="22"/>
        </w:rPr>
      </w:pPr>
      <w:r>
        <w:t>5A.</w:t>
      </w:r>
      <w:r>
        <w:tab/>
        <w:t>Fees for small businesses and non</w:t>
      </w:r>
      <w:r>
        <w:noBreakHyphen/>
        <w:t>profit associations</w:t>
      </w:r>
      <w:r>
        <w:tab/>
      </w:r>
      <w:r>
        <w:fldChar w:fldCharType="begin"/>
      </w:r>
      <w:r>
        <w:instrText xml:space="preserve"> PAGEREF _Toc107306543 \h </w:instrText>
      </w:r>
      <w:r>
        <w:fldChar w:fldCharType="separate"/>
      </w:r>
      <w:r>
        <w:t>4</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_Toc107306544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_Toc107306545 \h </w:instrText>
      </w:r>
      <w:r>
        <w:fldChar w:fldCharType="separate"/>
      </w:r>
      <w:r>
        <w:t>6</w:t>
      </w:r>
      <w:r>
        <w:fldChar w:fldCharType="end"/>
      </w:r>
    </w:p>
    <w:p>
      <w:pPr>
        <w:pStyle w:val="TOC8"/>
        <w:rPr>
          <w:rFonts w:asciiTheme="minorHAnsi" w:eastAsiaTheme="minorEastAsia" w:hAnsiTheme="minorHAnsi" w:cstheme="minorBidi"/>
          <w:szCs w:val="22"/>
        </w:rPr>
      </w:pPr>
      <w:r>
        <w:t>6A.</w:t>
      </w:r>
      <w:r>
        <w:tab/>
        <w:t>Certain transcript fees must be waived</w:t>
      </w:r>
      <w:r>
        <w:tab/>
      </w:r>
      <w:r>
        <w:fldChar w:fldCharType="begin"/>
      </w:r>
      <w:r>
        <w:instrText xml:space="preserve"> PAGEREF _Toc107306546 \h </w:instrText>
      </w:r>
      <w:r>
        <w:fldChar w:fldCharType="separate"/>
      </w:r>
      <w:r>
        <w:t>7</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_Toc107306547 \h </w:instrText>
      </w:r>
      <w:r>
        <w:fldChar w:fldCharType="separate"/>
      </w:r>
      <w:r>
        <w:t>8</w:t>
      </w:r>
      <w:r>
        <w:fldChar w:fldCharType="end"/>
      </w:r>
    </w:p>
    <w:p>
      <w:pPr>
        <w:pStyle w:val="TOC8"/>
        <w:rPr>
          <w:rFonts w:asciiTheme="minorHAnsi" w:eastAsiaTheme="minorEastAsia" w:hAnsiTheme="minorHAnsi" w:cstheme="minorBidi"/>
          <w:szCs w:val="22"/>
        </w:rPr>
      </w:pPr>
      <w:r>
        <w:t>8.</w:t>
      </w:r>
      <w:r>
        <w:tab/>
        <w:t>Who is an eligible individual or eligible entity</w:t>
      </w:r>
      <w:r>
        <w:tab/>
      </w:r>
      <w:r>
        <w:fldChar w:fldCharType="begin"/>
      </w:r>
      <w:r>
        <w:instrText xml:space="preserve"> PAGEREF _Toc107306548 \h </w:instrText>
      </w:r>
      <w:r>
        <w:fldChar w:fldCharType="separate"/>
      </w:r>
      <w:r>
        <w:t>8</w:t>
      </w:r>
      <w:r>
        <w:fldChar w:fldCharType="end"/>
      </w:r>
    </w:p>
    <w:p>
      <w:pPr>
        <w:pStyle w:val="TOC8"/>
        <w:rPr>
          <w:rFonts w:asciiTheme="minorHAnsi" w:eastAsiaTheme="minorEastAsia" w:hAnsiTheme="minorHAnsi" w:cstheme="minorBidi"/>
          <w:szCs w:val="22"/>
        </w:rPr>
      </w:pPr>
      <w:r>
        <w:t>9A.</w:t>
      </w:r>
      <w:r>
        <w:tab/>
        <w:t>Application to be recognised as eligible individual or eligible entity</w:t>
      </w:r>
      <w:r>
        <w:tab/>
      </w:r>
      <w:r>
        <w:fldChar w:fldCharType="begin"/>
      </w:r>
      <w:r>
        <w:instrText xml:space="preserve"> PAGEREF _Toc107306549 \h </w:instrText>
      </w:r>
      <w:r>
        <w:fldChar w:fldCharType="separate"/>
      </w:r>
      <w:r>
        <w:t>9</w:t>
      </w:r>
      <w:r>
        <w:fldChar w:fldCharType="end"/>
      </w:r>
    </w:p>
    <w:p>
      <w:pPr>
        <w:pStyle w:val="TOC8"/>
        <w:rPr>
          <w:rFonts w:asciiTheme="minorHAnsi" w:eastAsiaTheme="minorEastAsia" w:hAnsiTheme="minorHAnsi" w:cstheme="minorBidi"/>
          <w:szCs w:val="22"/>
        </w:rPr>
      </w:pPr>
      <w:r>
        <w:t>9B.</w:t>
      </w:r>
      <w:r>
        <w:tab/>
        <w:t>Recognition as eligible individual or eligible entity</w:t>
      </w:r>
      <w:r>
        <w:tab/>
      </w:r>
      <w:r>
        <w:fldChar w:fldCharType="begin"/>
      </w:r>
      <w:r>
        <w:instrText xml:space="preserve"> PAGEREF _Toc107306550 \h </w:instrText>
      </w:r>
      <w:r>
        <w:fldChar w:fldCharType="separate"/>
      </w:r>
      <w:r>
        <w:t>10</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_Toc107306551 \h </w:instrText>
      </w:r>
      <w:r>
        <w:fldChar w:fldCharType="separate"/>
      </w:r>
      <w:r>
        <w:t>11</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_Toc107306552 \h </w:instrText>
      </w:r>
      <w:r>
        <w:fldChar w:fldCharType="separate"/>
      </w:r>
      <w:r>
        <w:t>12</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_Toc107306553 \h </w:instrText>
      </w:r>
      <w:r>
        <w:fldChar w:fldCharType="separate"/>
      </w:r>
      <w:r>
        <w:t>12</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_Toc107306554 \h </w:instrText>
      </w:r>
      <w:r>
        <w:fldChar w:fldCharType="separate"/>
      </w:r>
      <w:r>
        <w:t>12</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_Toc107306555 \h </w:instrText>
      </w:r>
      <w:r>
        <w:fldChar w:fldCharType="separate"/>
      </w:r>
      <w:r>
        <w:t>13</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_Toc107306556 \h </w:instrText>
      </w:r>
      <w:r>
        <w:fldChar w:fldCharType="separate"/>
      </w:r>
      <w:r>
        <w:t>13</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_Toc107306557 \h </w:instrText>
      </w:r>
      <w:r>
        <w:fldChar w:fldCharType="separate"/>
      </w:r>
      <w:r>
        <w:t>13</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_Toc107306558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Civil jurisdiction</w:t>
      </w:r>
    </w:p>
    <w:p>
      <w:pPr>
        <w:pStyle w:val="TOC4"/>
        <w:tabs>
          <w:tab w:val="right" w:leader="dot" w:pos="7077"/>
        </w:tabs>
        <w:rPr>
          <w:rFonts w:asciiTheme="minorHAnsi" w:eastAsiaTheme="minorEastAsia" w:hAnsiTheme="minorHAnsi" w:cstheme="minorBidi"/>
          <w:b w:val="0"/>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_Toc107306564 \h </w:instrText>
      </w:r>
      <w:r>
        <w:fldChar w:fldCharType="separate"/>
      </w:r>
      <w:r>
        <w:t>31</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_Toc107306565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_Toc107306567 \h </w:instrText>
      </w:r>
      <w:r>
        <w:fldChar w:fldCharType="separate"/>
      </w:r>
      <w:r>
        <w:t>34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_Toc107306568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pPr>
      <w:r>
        <w:lastRenderedPageBreak/>
        <w:t>Magistrates Court Act 2004</w:t>
      </w:r>
    </w:p>
    <w:p>
      <w:pPr>
        <w:pStyle w:val="NameofActReg"/>
        <w:spacing w:before="600" w:after="720"/>
      </w:pPr>
      <w:r>
        <w:t>Magistrates Court (Fees) Regulations 2005</w:t>
      </w:r>
    </w:p>
    <w:p>
      <w:pPr>
        <w:pStyle w:val="Heading5"/>
      </w:pPr>
      <w:bookmarkStart w:id="3" w:name="_Toc107306539"/>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4" w:name="_Toc107306540"/>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5" w:name="_Toc107306541"/>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lastRenderedPageBreak/>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lastRenderedPageBreak/>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Gazette 23 Jun 2006 p. 2178; 14 Jun 2016 p. 1909</w:t>
      </w:r>
      <w:r>
        <w:noBreakHyphen/>
        <w:t>10; SL 2021/119 r. 4; SL 2022/114 r. 9.]</w:t>
      </w:r>
    </w:p>
    <w:p>
      <w:pPr>
        <w:pStyle w:val="Heading5"/>
        <w:rPr>
          <w:snapToGrid w:val="0"/>
        </w:rPr>
      </w:pPr>
      <w:bookmarkStart w:id="6" w:name="_Toc107306542"/>
      <w:r>
        <w:rPr>
          <w:rStyle w:val="CharSectno"/>
        </w:rPr>
        <w:t>4</w:t>
      </w:r>
      <w:r>
        <w:t>.</w:t>
      </w:r>
      <w:r>
        <w:tab/>
        <w:t>General fees</w:t>
      </w:r>
      <w:bookmarkEnd w:id="6"/>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lastRenderedPageBreak/>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Gazette 14 Jun 2016 p. 1910.]</w:t>
      </w:r>
    </w:p>
    <w:p>
      <w:pPr>
        <w:pStyle w:val="Heading5"/>
      </w:pPr>
      <w:bookmarkStart w:id="7" w:name="_Toc107306543"/>
      <w:r>
        <w:rPr>
          <w:rStyle w:val="CharSectno"/>
        </w:rPr>
        <w:t>5A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lastRenderedPageBreak/>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Gazette 14 Jun 2016 p. 1911</w:t>
      </w:r>
      <w:r>
        <w:noBreakHyphen/>
        <w:t>12.]</w:t>
      </w:r>
    </w:p>
    <w:p>
      <w:pPr>
        <w:pStyle w:val="Heading5"/>
        <w:rPr>
          <w:snapToGrid w:val="0"/>
        </w:rPr>
      </w:pPr>
      <w:bookmarkStart w:id="8" w:name="_Toc107306544"/>
      <w:r>
        <w:rPr>
          <w:rStyle w:val="CharSectno"/>
        </w:rPr>
        <w:t>5</w:t>
      </w:r>
      <w:r>
        <w:t>.</w:t>
      </w:r>
      <w:r>
        <w:tab/>
        <w:t>Exemptions</w:t>
      </w:r>
      <w:bookmarkEnd w:id="8"/>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w:t>
      </w:r>
      <w:r>
        <w:t>order; or</w:t>
      </w:r>
    </w:p>
    <w:p>
      <w:pPr>
        <w:pStyle w:val="Indenta"/>
      </w:pPr>
      <w:r>
        <w:tab/>
        <w:t>(c)</w:t>
      </w:r>
      <w:r>
        <w:tab/>
        <w:t xml:space="preserve">an application under the </w:t>
      </w:r>
      <w:r>
        <w:rPr>
          <w:i/>
        </w:rPr>
        <w:t>Mandatory Testing (Infectious Diseases) Act 2014</w:t>
      </w:r>
      <w:r>
        <w:t xml:space="preserve"> for a disease test order or to vary or revoke a disease test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lastRenderedPageBreak/>
        <w:tab/>
        <w:t>(b)</w:t>
      </w:r>
      <w:r>
        <w:tab/>
        <w:t>the person has not reached 18 years of age on the day the fee would otherwise be payable.</w:t>
      </w:r>
    </w:p>
    <w:p>
      <w:pPr>
        <w:pStyle w:val="Footnotesection"/>
        <w:keepLines w:val="0"/>
      </w:pPr>
      <w:r>
        <w:tab/>
        <w:t>[Regulation 5 inserted: Gazette 27 Mar 2012 p. 1507; amended: Gazette 14 Jun 2016 p. 1912; 27 Jun 2017 p. 3435; SL 2021/119 r. 5.]</w:t>
      </w:r>
    </w:p>
    <w:p>
      <w:pPr>
        <w:pStyle w:val="Heading5"/>
      </w:pPr>
      <w:bookmarkStart w:id="9" w:name="_Toc107306545"/>
      <w:r>
        <w:rPr>
          <w:rStyle w:val="CharSectno"/>
        </w:rPr>
        <w:t>6</w:t>
      </w:r>
      <w:r>
        <w:t>.</w:t>
      </w:r>
      <w:r>
        <w:tab/>
        <w:t>Some fees subject to conditions or must be waived</w:t>
      </w:r>
      <w:bookmarkEnd w:id="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legal practitioner; and</w:t>
      </w:r>
    </w:p>
    <w:p>
      <w:pPr>
        <w:pStyle w:val="Indenta"/>
      </w:pPr>
      <w:r>
        <w:tab/>
        <w:t>(b)</w:t>
      </w:r>
      <w:r>
        <w:tab/>
        <w:t>the Court has not made a decision in relation to the application; and</w:t>
      </w:r>
    </w:p>
    <w:p>
      <w:pPr>
        <w:pStyle w:val="Indenta"/>
        <w:keepNext/>
      </w:pPr>
      <w:r>
        <w:lastRenderedPageBreak/>
        <w:tab/>
        <w:t>(c)</w:t>
      </w:r>
      <w:r>
        <w:tab/>
        <w:t>the respondent has not previously obtained a copy of the application under this subregulation,</w:t>
      </w:r>
    </w:p>
    <w:p>
      <w:pPr>
        <w:pStyle w:val="Subsection"/>
      </w:pPr>
      <w:r>
        <w:tab/>
      </w:r>
      <w:r>
        <w:tab/>
        <w:t>waive the fee for a copy of the application.</w:t>
      </w:r>
    </w:p>
    <w:p>
      <w:pPr>
        <w:pStyle w:val="Footnotesection"/>
        <w:keepLines w:val="0"/>
      </w:pPr>
      <w:r>
        <w:tab/>
        <w:t>[Regulation 6 amended: SL 2021/119 r. 6.]</w:t>
      </w:r>
    </w:p>
    <w:p>
      <w:pPr>
        <w:pStyle w:val="Heading5"/>
      </w:pPr>
      <w:bookmarkStart w:id="10" w:name="_Toc107306546"/>
      <w:r>
        <w:rPr>
          <w:rStyle w:val="CharSectno"/>
        </w:rPr>
        <w:t>6A</w:t>
      </w:r>
      <w:r>
        <w:t>.</w:t>
      </w:r>
      <w:r>
        <w:tab/>
        <w:t>Certain transcript fees must be waived</w:t>
      </w:r>
      <w:bookmarkEnd w:id="10"/>
    </w:p>
    <w:p>
      <w:pPr>
        <w:pStyle w:val="Subsection"/>
      </w:pPr>
      <w:r>
        <w:tab/>
        <w:t>(1)</w:t>
      </w:r>
      <w:r>
        <w:tab/>
        <w:t xml:space="preserve">In this regulation — </w:t>
      </w:r>
    </w:p>
    <w:p>
      <w:pPr>
        <w:pStyle w:val="Defstart"/>
      </w:pPr>
      <w:r>
        <w:tab/>
      </w:r>
      <w:r>
        <w:rPr>
          <w:rStyle w:val="CharDefText"/>
        </w:rPr>
        <w:t>interim order</w:t>
      </w:r>
      <w:r>
        <w:t xml:space="preserve"> means a family violence restraining order or a violence restraining order made under the </w:t>
      </w:r>
      <w:r>
        <w:rPr>
          <w:i/>
        </w:rPr>
        <w:t>Restraining Orders Act 1997</w:t>
      </w:r>
      <w:r>
        <w:t xml:space="preserve"> section 29(1)(a) the duration of which is more than 72 hours.</w:t>
      </w:r>
    </w:p>
    <w:p>
      <w:pPr>
        <w:pStyle w:val="Subsection"/>
      </w:pPr>
      <w:r>
        <w:tab/>
        <w:t>(2)</w:t>
      </w:r>
      <w:r>
        <w:tab/>
        <w:t xml:space="preserve">A registrar must waive the fee under Schedule 1 Division 1 item 8(a) for the provision of a transcript, or a part of a transcript, if — </w:t>
      </w:r>
    </w:p>
    <w:p>
      <w:pPr>
        <w:pStyle w:val="Indenta"/>
      </w:pPr>
      <w:r>
        <w:tab/>
        <w:t>(a)</w:t>
      </w:r>
      <w:r>
        <w:tab/>
        <w:t>the transcript, or the part of the transcript, is of a hearing at which an interim order was made; and</w:t>
      </w:r>
    </w:p>
    <w:p>
      <w:pPr>
        <w:pStyle w:val="Indenta"/>
      </w:pPr>
      <w:r>
        <w:tab/>
        <w:t>(b)</w:t>
      </w:r>
      <w:r>
        <w:tab/>
        <w:t xml:space="preserve">the interim order — </w:t>
      </w:r>
    </w:p>
    <w:p>
      <w:pPr>
        <w:pStyle w:val="Indenti"/>
      </w:pPr>
      <w:r>
        <w:tab/>
        <w:t>(i)</w:t>
      </w:r>
      <w:r>
        <w:tab/>
        <w:t xml:space="preserve">is still in force under the </w:t>
      </w:r>
      <w:r>
        <w:rPr>
          <w:i/>
        </w:rPr>
        <w:t>Restraining Orders Act 1997</w:t>
      </w:r>
      <w:r>
        <w:t>; or</w:t>
      </w:r>
    </w:p>
    <w:p>
      <w:pPr>
        <w:pStyle w:val="Indenti"/>
      </w:pPr>
      <w:r>
        <w:tab/>
        <w:t>(ii)</w:t>
      </w:r>
      <w:r>
        <w:tab/>
        <w:t xml:space="preserve">has become a final order under the </w:t>
      </w:r>
      <w:r>
        <w:rPr>
          <w:i/>
        </w:rPr>
        <w:t xml:space="preserve">Restraining Orders Act 1997 </w:t>
      </w:r>
      <w:r>
        <w:t>section 32(2);</w:t>
      </w:r>
    </w:p>
    <w:p>
      <w:pPr>
        <w:pStyle w:val="Indenta"/>
      </w:pPr>
      <w:r>
        <w:tab/>
      </w:r>
      <w:r>
        <w:tab/>
        <w:t>and</w:t>
      </w:r>
    </w:p>
    <w:p>
      <w:pPr>
        <w:pStyle w:val="Indenta"/>
      </w:pPr>
      <w:r>
        <w:tab/>
        <w:t>(c)</w:t>
      </w:r>
      <w:r>
        <w:tab/>
        <w:t xml:space="preserve">the person bound by the interim or final order (the </w:t>
      </w:r>
      <w:r>
        <w:rPr>
          <w:rStyle w:val="CharDefText"/>
        </w:rPr>
        <w:t>interim order respondent</w:t>
      </w:r>
      <w:r>
        <w:t>) requests the provision of the transcript, or the part of the transcript, either personally or by legal practitioner; and</w:t>
      </w:r>
    </w:p>
    <w:p>
      <w:pPr>
        <w:pStyle w:val="Indenta"/>
      </w:pPr>
      <w:r>
        <w:tab/>
        <w:t>(d)</w:t>
      </w:r>
      <w:r>
        <w:tab/>
        <w:t xml:space="preserve">the interim order respondent has not previously obtained the transcript, or the part of the transcript, under this subregulation. </w:t>
      </w:r>
    </w:p>
    <w:p>
      <w:pPr>
        <w:pStyle w:val="Footnotesection"/>
        <w:keepLines w:val="0"/>
      </w:pPr>
      <w:r>
        <w:tab/>
        <w:t>[Regulation 6A inserted: SL 2021/119 r. 7.]</w:t>
      </w:r>
    </w:p>
    <w:p>
      <w:pPr>
        <w:pStyle w:val="Heading5"/>
        <w:rPr>
          <w:snapToGrid w:val="0"/>
        </w:rPr>
      </w:pPr>
      <w:bookmarkStart w:id="11" w:name="_Toc107306547"/>
      <w:r>
        <w:rPr>
          <w:rStyle w:val="CharSectno"/>
        </w:rPr>
        <w:lastRenderedPageBreak/>
        <w:t>7</w:t>
      </w:r>
      <w:r>
        <w:t>.</w:t>
      </w:r>
      <w:r>
        <w:tab/>
      </w:r>
      <w:r>
        <w:rPr>
          <w:rStyle w:val="CharSectno"/>
        </w:rPr>
        <w:t>F</w:t>
      </w:r>
      <w:r>
        <w:rPr>
          <w:snapToGrid w:val="0"/>
        </w:rPr>
        <w:t>ees to be paid before documents etc. filed</w:t>
      </w:r>
      <w:bookmarkEnd w:id="11"/>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12" w:name="_Toc107306548"/>
      <w:r>
        <w:rPr>
          <w:rStyle w:val="CharSectno"/>
        </w:rPr>
        <w:t>8</w:t>
      </w:r>
      <w:r>
        <w:t>.</w:t>
      </w:r>
      <w:r>
        <w:tab/>
        <w:t>Who is an eligible individual or eligible entity</w:t>
      </w:r>
      <w:bookmarkEnd w:id="12"/>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w:t>
      </w:r>
      <w:r>
        <w:lastRenderedPageBreak/>
        <w:t xml:space="preserve">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w:t>
      </w:r>
    </w:p>
    <w:p>
      <w:pPr>
        <w:pStyle w:val="Footnotesection"/>
        <w:keepLines w:val="0"/>
      </w:pPr>
      <w:r>
        <w:tab/>
        <w:t>[Regulation 8 inserted: Gazette 14 Jun 2016 p. 1912</w:t>
      </w:r>
      <w:r>
        <w:noBreakHyphen/>
        <w:t>14; amended: Gazette 20 Jul 2018 p. 2626.]</w:t>
      </w:r>
    </w:p>
    <w:p>
      <w:pPr>
        <w:pStyle w:val="Heading5"/>
      </w:pPr>
      <w:bookmarkStart w:id="13" w:name="_Toc107306549"/>
      <w:r>
        <w:rPr>
          <w:rStyle w:val="CharSectno"/>
        </w:rPr>
        <w:t>9A</w:t>
      </w:r>
      <w:r>
        <w:t>.</w:t>
      </w:r>
      <w:r>
        <w:tab/>
        <w:t>Application to be recognised as eligible individual or eligible entity</w:t>
      </w:r>
      <w:bookmarkEnd w:id="13"/>
    </w:p>
    <w:p>
      <w:pPr>
        <w:pStyle w:val="Subsection"/>
      </w:pPr>
      <w:r>
        <w:tab/>
        <w:t>(1)</w:t>
      </w:r>
      <w:r>
        <w:tab/>
        <w:t xml:space="preserve">A person may apply for — </w:t>
      </w:r>
    </w:p>
    <w:p>
      <w:pPr>
        <w:pStyle w:val="Indenta"/>
      </w:pPr>
      <w:r>
        <w:tab/>
        <w:t>(a)</w:t>
      </w:r>
      <w:r>
        <w:tab/>
        <w:t>a direction under regulation 9B(1) that, in respect of a matter specified in Schedule 1, the person is an eligible individual described in regulation 8(2)(f); or</w:t>
      </w:r>
    </w:p>
    <w:p>
      <w:pPr>
        <w:pStyle w:val="Indenta"/>
      </w:pPr>
      <w:r>
        <w:tab/>
        <w:t>(b)</w:t>
      </w:r>
      <w:r>
        <w:tab/>
        <w:t>a direction under regulation 9B(2) that, in respect of a matter specified in Schedule 1, the person is an eligible entity described in regulation 8(3)(b).</w:t>
      </w:r>
    </w:p>
    <w:p>
      <w:pPr>
        <w:pStyle w:val="Subsection"/>
        <w:keepNext/>
      </w:pPr>
      <w:r>
        <w:lastRenderedPageBreak/>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Gazette 14 Jun 2016 p. 1914; amended: Gazette 20 Jul 2018 p. 2626</w:t>
      </w:r>
      <w:r>
        <w:noBreakHyphen/>
        <w:t>7.]</w:t>
      </w:r>
    </w:p>
    <w:p>
      <w:pPr>
        <w:pStyle w:val="Heading5"/>
      </w:pPr>
      <w:bookmarkStart w:id="14" w:name="_Toc107306550"/>
      <w:r>
        <w:rPr>
          <w:rStyle w:val="CharSectno"/>
        </w:rPr>
        <w:t>9B</w:t>
      </w:r>
      <w:r>
        <w:t>.</w:t>
      </w:r>
      <w:r>
        <w:tab/>
        <w:t>Recognition as eligible individual or eligible entity</w:t>
      </w:r>
      <w:bookmarkEnd w:id="14"/>
    </w:p>
    <w:p>
      <w:pPr>
        <w:pStyle w:val="Subsection"/>
      </w:pPr>
      <w:r>
        <w:tab/>
        <w:t>(1)</w:t>
      </w:r>
      <w:r>
        <w:tab/>
        <w:t xml:space="preserve">On an application under regulation 9A(1)(a)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9A(1)(b) the Court or a registrar may direct that a person is an eligible entity described in regulation 8(3)(b)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keepNext/>
      </w:pPr>
      <w:r>
        <w:lastRenderedPageBreak/>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Gazette 14 Jun 2016 p. 1914</w:t>
      </w:r>
      <w:r>
        <w:noBreakHyphen/>
        <w:t>15; amended: Gazette 20 Jul 2018 p. 2627.]</w:t>
      </w:r>
    </w:p>
    <w:p>
      <w:pPr>
        <w:pStyle w:val="Heading5"/>
      </w:pPr>
      <w:bookmarkStart w:id="15" w:name="_Toc107306551"/>
      <w:r>
        <w:rPr>
          <w:rStyle w:val="CharSectno"/>
        </w:rPr>
        <w:t>9C</w:t>
      </w:r>
      <w:r>
        <w:t>.</w:t>
      </w:r>
      <w:r>
        <w:tab/>
        <w:t>False or misleading statements</w:t>
      </w:r>
      <w:bookmarkEnd w:id="15"/>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lastRenderedPageBreak/>
        <w:tab/>
        <w:t>[Regulation 9C inserted: Gazette 14 Jun 2016 p. 1916.]</w:t>
      </w:r>
    </w:p>
    <w:p>
      <w:pPr>
        <w:pStyle w:val="Heading5"/>
      </w:pPr>
      <w:bookmarkStart w:id="16" w:name="_Toc107306552"/>
      <w:r>
        <w:rPr>
          <w:rStyle w:val="CharSectno"/>
        </w:rPr>
        <w:t>9D</w:t>
      </w:r>
      <w:r>
        <w:t>.</w:t>
      </w:r>
      <w:r>
        <w:tab/>
        <w:t>Refunds</w:t>
      </w:r>
      <w:bookmarkEnd w:id="16"/>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Gazette 14 Jun 2016 p. 1912.]</w:t>
      </w:r>
    </w:p>
    <w:p>
      <w:pPr>
        <w:pStyle w:val="Heading5"/>
      </w:pPr>
      <w:bookmarkStart w:id="17" w:name="_Toc107306553"/>
      <w:r>
        <w:rPr>
          <w:rStyle w:val="CharSectno"/>
        </w:rPr>
        <w:t>10</w:t>
      </w:r>
      <w:r>
        <w:t>.</w:t>
      </w:r>
      <w:r>
        <w:tab/>
        <w:t>Fee for allocation of hearing dates etc. (Sch. 1 Div. 2 it. 5), when to be paid</w:t>
      </w:r>
      <w:bookmarkEnd w:id="17"/>
    </w:p>
    <w:p>
      <w:pPr>
        <w:pStyle w:val="Subsection"/>
      </w:pPr>
      <w:r>
        <w:tab/>
      </w:r>
      <w:r>
        <w:tab/>
        <w:t>The fee referred to in Schedule 1 Division 2 item 5 or so much of it as has not been waived under regulation 6 must be paid immediately after the Court determines the number of days to be allocated for the hearing.</w:t>
      </w:r>
    </w:p>
    <w:p>
      <w:pPr>
        <w:pStyle w:val="Footnotesection"/>
      </w:pPr>
      <w:r>
        <w:tab/>
        <w:t>[Regulation 10 amended: Gazette 20 Jul 2018 p. 2627.]</w:t>
      </w:r>
    </w:p>
    <w:p>
      <w:pPr>
        <w:pStyle w:val="Heading5"/>
      </w:pPr>
      <w:bookmarkStart w:id="18" w:name="_Toc107306554"/>
      <w:r>
        <w:rPr>
          <w:rStyle w:val="CharSectno"/>
        </w:rPr>
        <w:t>11</w:t>
      </w:r>
      <w:r>
        <w:t>.</w:t>
      </w:r>
      <w:r>
        <w:tab/>
        <w:t>Half daily hearing fee (Sch. 1 Div. 2 it. 6)</w:t>
      </w:r>
      <w:bookmarkEnd w:id="18"/>
    </w:p>
    <w:p>
      <w:pPr>
        <w:pStyle w:val="Subsection"/>
      </w:pPr>
      <w:r>
        <w:tab/>
      </w:r>
      <w:r>
        <w:tab/>
        <w:t>If a fee is to be paid under Schedule 1 Division 2 item 6, the hearing is not to be reconvened until that fee has been paid or so much of it as has not been waived under regulation 6 has been paid.</w:t>
      </w:r>
    </w:p>
    <w:p>
      <w:pPr>
        <w:pStyle w:val="Footnotesection"/>
      </w:pPr>
      <w:r>
        <w:tab/>
        <w:t>[Regulation 11 amended: Gazette 20 Jul 2018 p. 2627.]</w:t>
      </w:r>
    </w:p>
    <w:p>
      <w:pPr>
        <w:pStyle w:val="Heading5"/>
      </w:pPr>
      <w:bookmarkStart w:id="19" w:name="_Toc107306555"/>
      <w:r>
        <w:rPr>
          <w:rStyle w:val="CharSectno"/>
        </w:rPr>
        <w:lastRenderedPageBreak/>
        <w:t>12</w:t>
      </w:r>
      <w:r>
        <w:t>.</w:t>
      </w:r>
      <w:r>
        <w:tab/>
        <w:t>Court information, fees for</w:t>
      </w:r>
      <w:bookmarkEnd w:id="19"/>
    </w:p>
    <w:p>
      <w:pPr>
        <w:pStyle w:val="Subsection"/>
        <w:keepNext/>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Gazette 22 Aug 2008 p. 3670.]</w:t>
      </w:r>
    </w:p>
    <w:p>
      <w:pPr>
        <w:pStyle w:val="Heading5"/>
      </w:pPr>
      <w:bookmarkStart w:id="20" w:name="_Toc107306556"/>
      <w:r>
        <w:rPr>
          <w:rStyle w:val="CharSectno"/>
        </w:rPr>
        <w:t>13</w:t>
      </w:r>
      <w:r>
        <w:t>.</w:t>
      </w:r>
      <w:r>
        <w:tab/>
        <w:t>Disputes as to fees, determination of</w:t>
      </w:r>
      <w:bookmarkEnd w:id="20"/>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21" w:name="_Toc107306557"/>
      <w:r>
        <w:rPr>
          <w:rStyle w:val="CharSectno"/>
        </w:rPr>
        <w:t>14</w:t>
      </w:r>
      <w:r>
        <w:t>.</w:t>
      </w:r>
      <w:r>
        <w:tab/>
        <w:t>Unpaid fees, recovery of</w:t>
      </w:r>
      <w:bookmarkEnd w:id="21"/>
    </w:p>
    <w:p>
      <w:pPr>
        <w:pStyle w:val="Subsection"/>
      </w:pPr>
      <w:r>
        <w:tab/>
      </w:r>
      <w:r>
        <w:tab/>
        <w:t>Any unpaid fee is a debt due to the State and may be recovered by action in a court of competent jurisdiction.</w:t>
      </w:r>
    </w:p>
    <w:p>
      <w:pPr>
        <w:pStyle w:val="Heading5"/>
      </w:pPr>
      <w:bookmarkStart w:id="22" w:name="_Toc107306558"/>
      <w:r>
        <w:rPr>
          <w:rStyle w:val="CharSectno"/>
        </w:rPr>
        <w:lastRenderedPageBreak/>
        <w:t>15</w:t>
      </w:r>
      <w:r>
        <w:t>.</w:t>
      </w:r>
      <w:r>
        <w:tab/>
        <w:t>Transitional provisions</w:t>
      </w:r>
      <w:bookmarkEnd w:id="22"/>
    </w:p>
    <w:p>
      <w:pPr>
        <w:pStyle w:val="Subsection"/>
        <w:keepNext/>
      </w:pPr>
      <w:r>
        <w:tab/>
        <w:t>(1)</w:t>
      </w:r>
      <w:r>
        <w:tab/>
        <w:t xml:space="preserve">In this regulation — </w:t>
      </w:r>
    </w:p>
    <w:p>
      <w:pPr>
        <w:pStyle w:val="Defstart"/>
        <w:keepNex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 w:name="_Toc106098963"/>
      <w:bookmarkStart w:id="24" w:name="_Toc106109397"/>
      <w:bookmarkStart w:id="25" w:name="_Toc107206748"/>
      <w:bookmarkStart w:id="26" w:name="_Toc107228123"/>
      <w:bookmarkStart w:id="27" w:name="_Toc107228261"/>
      <w:bookmarkStart w:id="28" w:name="_Toc107306559"/>
      <w:bookmarkStart w:id="29" w:name="_Toc107227006"/>
      <w:r>
        <w:rPr>
          <w:rStyle w:val="CharSchNo"/>
        </w:rPr>
        <w:lastRenderedPageBreak/>
        <w:t>Schedule 1</w:t>
      </w:r>
      <w:r>
        <w:t> — </w:t>
      </w:r>
      <w:r>
        <w:rPr>
          <w:rStyle w:val="CharSchText"/>
        </w:rPr>
        <w:t>Fees</w:t>
      </w:r>
      <w:bookmarkEnd w:id="23"/>
      <w:bookmarkEnd w:id="24"/>
      <w:bookmarkEnd w:id="25"/>
      <w:bookmarkEnd w:id="26"/>
      <w:bookmarkEnd w:id="27"/>
      <w:bookmarkEnd w:id="28"/>
    </w:p>
    <w:p>
      <w:pPr>
        <w:pStyle w:val="yShoulderClause"/>
      </w:pPr>
      <w:r>
        <w:t>[r. 4 and 12]</w:t>
      </w:r>
    </w:p>
    <w:p>
      <w:pPr>
        <w:pStyle w:val="yFootnoteheading"/>
        <w:keepNext/>
        <w:spacing w:after="120"/>
      </w:pPr>
      <w:r>
        <w:tab/>
        <w:t>[Heading inserted: SL 2022/111 r. 20.]</w:t>
      </w:r>
    </w:p>
    <w:p>
      <w:pPr>
        <w:pStyle w:val="yHeading3"/>
      </w:pPr>
      <w:bookmarkStart w:id="30" w:name="_Toc106098964"/>
      <w:bookmarkStart w:id="31" w:name="_Toc106109398"/>
      <w:bookmarkStart w:id="32" w:name="_Toc107206749"/>
      <w:bookmarkStart w:id="33" w:name="_Toc107228124"/>
      <w:bookmarkStart w:id="34" w:name="_Toc107228262"/>
      <w:bookmarkStart w:id="35" w:name="_Toc107306560"/>
      <w:r>
        <w:rPr>
          <w:rStyle w:val="CharSDivNo"/>
        </w:rPr>
        <w:t>Division 1</w:t>
      </w:r>
      <w:r>
        <w:t> — </w:t>
      </w:r>
      <w:r>
        <w:rPr>
          <w:rStyle w:val="CharSDivText"/>
        </w:rPr>
        <w:t>General</w:t>
      </w:r>
      <w:bookmarkEnd w:id="30"/>
      <w:bookmarkEnd w:id="31"/>
      <w:bookmarkEnd w:id="32"/>
      <w:bookmarkEnd w:id="33"/>
      <w:bookmarkEnd w:id="34"/>
      <w:bookmarkEnd w:id="35"/>
    </w:p>
    <w:p>
      <w:pPr>
        <w:pStyle w:val="yFootnoteheading"/>
        <w:keepNext/>
        <w:spacing w:after="120"/>
      </w:pPr>
      <w:r>
        <w:tab/>
        <w:t>[Heading inserted: SL 2022/111 r. 20.]</w:t>
      </w:r>
    </w:p>
    <w:tbl>
      <w:tblPr>
        <w:tblW w:w="6980" w:type="dxa"/>
        <w:tblInd w:w="108" w:type="dxa"/>
        <w:tblLayout w:type="fixed"/>
        <w:tblLook w:val="0000" w:firstRow="0" w:lastRow="0" w:firstColumn="0" w:lastColumn="0" w:noHBand="0" w:noVBand="0"/>
      </w:tblPr>
      <w:tblGrid>
        <w:gridCol w:w="601"/>
        <w:gridCol w:w="2552"/>
        <w:gridCol w:w="1275"/>
        <w:gridCol w:w="1276"/>
        <w:gridCol w:w="1276"/>
      </w:tblGrid>
      <w:tr>
        <w:trPr>
          <w:cantSplit/>
          <w:tblHeader/>
        </w:trPr>
        <w:tc>
          <w:tcPr>
            <w:tcW w:w="601" w:type="dxa"/>
            <w:tcBorders>
              <w:top w:val="single" w:sz="4" w:space="0" w:color="auto"/>
              <w:bottom w:val="single" w:sz="4" w:space="0" w:color="auto"/>
            </w:tcBorders>
            <w:noWrap/>
          </w:tcPr>
          <w:p>
            <w:pPr>
              <w:pStyle w:val="yTableNAm"/>
              <w:ind w:right="-108"/>
              <w:rPr>
                <w:b/>
              </w:rPr>
            </w:pPr>
            <w:r>
              <w:rPr>
                <w:b/>
              </w:rPr>
              <w:t>Item</w:t>
            </w:r>
          </w:p>
        </w:tc>
        <w:tc>
          <w:tcPr>
            <w:tcW w:w="2552" w:type="dxa"/>
            <w:tcBorders>
              <w:top w:val="single" w:sz="4" w:space="0" w:color="auto"/>
              <w:bottom w:val="single" w:sz="4" w:space="0" w:color="auto"/>
            </w:tcBorders>
            <w:noWrap/>
          </w:tcPr>
          <w:p>
            <w:pPr>
              <w:pStyle w:val="yTableNAm"/>
              <w:jc w:val="center"/>
              <w:rPr>
                <w:b/>
              </w:rPr>
            </w:pPr>
            <w:r>
              <w:rPr>
                <w:b/>
              </w:rPr>
              <w:t>Matter</w:t>
            </w:r>
          </w:p>
        </w:tc>
        <w:tc>
          <w:tcPr>
            <w:tcW w:w="1275"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noWrap/>
          </w:tcPr>
          <w:p>
            <w:pPr>
              <w:pStyle w:val="yTableNAm"/>
              <w:jc w:val="center"/>
              <w:rPr>
                <w:b/>
              </w:rPr>
            </w:pPr>
            <w:r>
              <w:rPr>
                <w:b/>
              </w:rPr>
              <w:t>Column C</w:t>
            </w:r>
          </w:p>
          <w:p>
            <w:pPr>
              <w:pStyle w:val="yTableNAm"/>
              <w:jc w:val="center"/>
              <w:rPr>
                <w:b/>
              </w:rPr>
            </w:pPr>
            <w:r>
              <w:rPr>
                <w:b/>
              </w:rPr>
              <w:t>Fee for eligible</w:t>
            </w:r>
            <w:r>
              <w:rPr>
                <w:b/>
              </w:rPr>
              <w:br/>
              <w:t>individual</w:t>
            </w:r>
            <w:r>
              <w:rPr>
                <w:b/>
              </w:rPr>
              <w:br/>
            </w:r>
            <w:r>
              <w:rPr>
                <w:b/>
              </w:rPr>
              <w:br/>
              <w:t>$</w:t>
            </w:r>
          </w:p>
        </w:tc>
      </w:tr>
      <w:tr>
        <w:trPr>
          <w:cantSplit/>
        </w:trPr>
        <w:tc>
          <w:tcPr>
            <w:tcW w:w="601" w:type="dxa"/>
            <w:tcBorders>
              <w:top w:val="single" w:sz="4" w:space="0" w:color="auto"/>
            </w:tcBorders>
            <w:noWrap/>
          </w:tcPr>
          <w:p>
            <w:pPr>
              <w:pStyle w:val="yTableNAm"/>
            </w:pPr>
            <w:r>
              <w:t>1.</w:t>
            </w:r>
          </w:p>
        </w:tc>
        <w:tc>
          <w:tcPr>
            <w:tcW w:w="2552" w:type="dxa"/>
            <w:tcBorders>
              <w:top w:val="single" w:sz="4" w:space="0" w:color="auto"/>
            </w:tcBorders>
            <w:noWrap/>
          </w:tcPr>
          <w:p>
            <w:pPr>
              <w:pStyle w:val="yTableNAm"/>
              <w:tabs>
                <w:tab w:val="clear" w:pos="567"/>
                <w:tab w:val="left" w:pos="351"/>
              </w:tabs>
              <w:ind w:left="351" w:hanging="351"/>
            </w:pPr>
            <w:r>
              <w:t>(a)</w:t>
            </w:r>
            <w:r>
              <w:tab/>
              <w:t>For every order or conviction drawn up in the Court’s criminal jurisdiction</w:t>
            </w:r>
          </w:p>
        </w:tc>
        <w:tc>
          <w:tcPr>
            <w:tcW w:w="1275" w:type="dxa"/>
            <w:tcBorders>
              <w:top w:val="single" w:sz="4" w:space="0" w:color="auto"/>
            </w:tcBorders>
            <w:noWrap/>
            <w:vAlign w:val="bottom"/>
          </w:tcPr>
          <w:p>
            <w:pPr>
              <w:pStyle w:val="yTableNAm"/>
              <w:tabs>
                <w:tab w:val="clear" w:pos="567"/>
              </w:tabs>
              <w:ind w:right="176"/>
              <w:jc w:val="right"/>
              <w:rPr>
                <w:szCs w:val="22"/>
              </w:rPr>
            </w:pPr>
            <w:r>
              <w:rPr>
                <w:szCs w:val="22"/>
              </w:rPr>
              <w:t>22.30</w:t>
            </w:r>
          </w:p>
        </w:tc>
        <w:tc>
          <w:tcPr>
            <w:tcW w:w="1276" w:type="dxa"/>
            <w:tcBorders>
              <w:top w:val="single" w:sz="4" w:space="0" w:color="auto"/>
            </w:tcBorders>
            <w:noWrap/>
            <w:vAlign w:val="bottom"/>
          </w:tcPr>
          <w:p>
            <w:pPr>
              <w:pStyle w:val="yTableNAm"/>
              <w:tabs>
                <w:tab w:val="clear" w:pos="567"/>
              </w:tabs>
              <w:ind w:left="-109" w:right="172"/>
              <w:jc w:val="right"/>
            </w:pPr>
            <w:r>
              <w:t>22.30</w:t>
            </w:r>
          </w:p>
        </w:tc>
        <w:tc>
          <w:tcPr>
            <w:tcW w:w="1276" w:type="dxa"/>
            <w:tcBorders>
              <w:top w:val="single" w:sz="4" w:space="0" w:color="auto"/>
            </w:tcBorders>
            <w:noWrap/>
            <w:vAlign w:val="bottom"/>
          </w:tcPr>
          <w:p>
            <w:pPr>
              <w:pStyle w:val="yTableNAm"/>
              <w:tabs>
                <w:tab w:val="clear" w:pos="567"/>
              </w:tabs>
              <w:ind w:right="180"/>
              <w:jc w:val="right"/>
              <w:rPr>
                <w:szCs w:val="22"/>
              </w:rPr>
            </w:pPr>
            <w:r>
              <w:rPr>
                <w:szCs w:val="22"/>
              </w:rPr>
              <w:t>6.70</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For issue of a duplicate document or order</w:t>
            </w:r>
          </w:p>
        </w:tc>
        <w:tc>
          <w:tcPr>
            <w:tcW w:w="1275" w:type="dxa"/>
            <w:noWrap/>
            <w:vAlign w:val="bottom"/>
          </w:tcPr>
          <w:p>
            <w:pPr>
              <w:pStyle w:val="yTableNAm"/>
              <w:tabs>
                <w:tab w:val="clear" w:pos="567"/>
              </w:tabs>
              <w:ind w:right="176"/>
              <w:jc w:val="right"/>
              <w:rPr>
                <w:szCs w:val="22"/>
              </w:rPr>
            </w:pPr>
            <w:r>
              <w:rPr>
                <w:szCs w:val="22"/>
              </w:rPr>
              <w:t>22.30</w:t>
            </w:r>
          </w:p>
        </w:tc>
        <w:tc>
          <w:tcPr>
            <w:tcW w:w="1276" w:type="dxa"/>
            <w:noWrap/>
            <w:vAlign w:val="bottom"/>
          </w:tcPr>
          <w:p>
            <w:pPr>
              <w:pStyle w:val="yTableNAm"/>
              <w:tabs>
                <w:tab w:val="clear" w:pos="567"/>
              </w:tabs>
              <w:ind w:left="-109" w:right="172"/>
              <w:jc w:val="right"/>
            </w:pPr>
            <w:r>
              <w:t>22.30</w:t>
            </w:r>
          </w:p>
        </w:tc>
        <w:tc>
          <w:tcPr>
            <w:tcW w:w="1276" w:type="dxa"/>
            <w:noWrap/>
            <w:vAlign w:val="bottom"/>
          </w:tcPr>
          <w:p>
            <w:pPr>
              <w:pStyle w:val="yTableNAm"/>
              <w:tabs>
                <w:tab w:val="clear" w:pos="567"/>
              </w:tabs>
              <w:ind w:right="180"/>
              <w:jc w:val="right"/>
              <w:rPr>
                <w:szCs w:val="22"/>
              </w:rPr>
            </w:pPr>
            <w:r>
              <w:rPr>
                <w:szCs w:val="22"/>
              </w:rPr>
              <w:t>6.70</w:t>
            </w:r>
          </w:p>
        </w:tc>
      </w:tr>
      <w:tr>
        <w:trPr>
          <w:cantSplit/>
        </w:trPr>
        <w:tc>
          <w:tcPr>
            <w:tcW w:w="601" w:type="dxa"/>
            <w:noWrap/>
          </w:tcPr>
          <w:p>
            <w:pPr>
              <w:pStyle w:val="yTableNAm"/>
            </w:pPr>
            <w:r>
              <w:t>2.</w:t>
            </w:r>
          </w:p>
        </w:tc>
        <w:tc>
          <w:tcPr>
            <w:tcW w:w="2552" w:type="dxa"/>
            <w:noWrap/>
          </w:tcPr>
          <w:p>
            <w:pPr>
              <w:pStyle w:val="yTableNAm"/>
            </w:pPr>
            <w:r>
              <w:t>For the service of any application, summons, originating process, notice or order of the Court or any other process requiring service</w:t>
            </w:r>
          </w:p>
        </w:tc>
        <w:tc>
          <w:tcPr>
            <w:tcW w:w="1275" w:type="dxa"/>
            <w:noWrap/>
            <w:vAlign w:val="bottom"/>
          </w:tcPr>
          <w:p>
            <w:pPr>
              <w:pStyle w:val="yTableNAm"/>
              <w:tabs>
                <w:tab w:val="clear" w:pos="567"/>
              </w:tabs>
              <w:ind w:right="176"/>
              <w:jc w:val="right"/>
              <w:rPr>
                <w:szCs w:val="22"/>
              </w:rPr>
            </w:pPr>
            <w:r>
              <w:rPr>
                <w:szCs w:val="22"/>
              </w:rPr>
              <w:t>98.00</w:t>
            </w:r>
          </w:p>
        </w:tc>
        <w:tc>
          <w:tcPr>
            <w:tcW w:w="1276" w:type="dxa"/>
            <w:noWrap/>
            <w:vAlign w:val="bottom"/>
          </w:tcPr>
          <w:p>
            <w:pPr>
              <w:pStyle w:val="yTableNAm"/>
              <w:tabs>
                <w:tab w:val="clear" w:pos="567"/>
              </w:tabs>
              <w:ind w:left="-109" w:right="172"/>
              <w:jc w:val="right"/>
            </w:pPr>
            <w:r>
              <w:t>98.00</w:t>
            </w:r>
          </w:p>
        </w:tc>
        <w:tc>
          <w:tcPr>
            <w:tcW w:w="1276" w:type="dxa"/>
            <w:noWrap/>
            <w:vAlign w:val="bottom"/>
          </w:tcPr>
          <w:p>
            <w:pPr>
              <w:pStyle w:val="yTableNAm"/>
              <w:tabs>
                <w:tab w:val="clear" w:pos="567"/>
              </w:tabs>
              <w:ind w:right="180"/>
              <w:jc w:val="right"/>
              <w:rPr>
                <w:szCs w:val="22"/>
              </w:rPr>
            </w:pPr>
            <w:r>
              <w:rPr>
                <w:szCs w:val="22"/>
              </w:rPr>
              <w:t>98.00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The fee is payable whether or not the service is successful and covers up to 3 attempts at service at the same address.</w:t>
            </w:r>
          </w:p>
        </w:tc>
      </w:tr>
      <w:tr>
        <w:trPr>
          <w:cantSplit/>
        </w:trPr>
        <w:tc>
          <w:tcPr>
            <w:tcW w:w="601" w:type="dxa"/>
            <w:noWrap/>
          </w:tcPr>
          <w:p>
            <w:pPr>
              <w:pStyle w:val="yTableNAm"/>
            </w:pPr>
            <w:r>
              <w:lastRenderedPageBreak/>
              <w:t>3.</w:t>
            </w:r>
          </w:p>
        </w:tc>
        <w:tc>
          <w:tcPr>
            <w:tcW w:w="2552" w:type="dxa"/>
            <w:noWrap/>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noWrap/>
          </w:tcPr>
          <w:p>
            <w:pPr>
              <w:pStyle w:val="yTableNAm"/>
              <w:tabs>
                <w:tab w:val="clear" w:pos="567"/>
              </w:tabs>
              <w:ind w:right="176"/>
              <w:jc w:val="right"/>
              <w:rPr>
                <w:szCs w:val="22"/>
              </w:rPr>
            </w:pPr>
          </w:p>
        </w:tc>
        <w:tc>
          <w:tcPr>
            <w:tcW w:w="1276" w:type="dxa"/>
            <w:noWrap/>
          </w:tcPr>
          <w:p>
            <w:pPr>
              <w:pStyle w:val="yTableNAm"/>
              <w:tabs>
                <w:tab w:val="clear" w:pos="567"/>
              </w:tabs>
              <w:ind w:left="-109" w:right="172"/>
              <w:jc w:val="right"/>
            </w:pPr>
          </w:p>
        </w:tc>
        <w:tc>
          <w:tcPr>
            <w:tcW w:w="1276" w:type="dxa"/>
            <w:noWrap/>
          </w:tcPr>
          <w:p>
            <w:pPr>
              <w:pStyle w:val="yTableNAm"/>
              <w:tabs>
                <w:tab w:val="clear" w:pos="567"/>
              </w:tabs>
              <w:ind w:right="180"/>
              <w:jc w:val="right"/>
              <w:rPr>
                <w:szCs w:val="22"/>
              </w:rPr>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for each kilometre travelled (1 way) in the metropolitan area</w:t>
            </w:r>
          </w:p>
        </w:tc>
        <w:tc>
          <w:tcPr>
            <w:tcW w:w="1275" w:type="dxa"/>
            <w:noWrap/>
            <w:vAlign w:val="bottom"/>
          </w:tcPr>
          <w:p>
            <w:pPr>
              <w:pStyle w:val="yTableNAm"/>
              <w:tabs>
                <w:tab w:val="clear" w:pos="567"/>
              </w:tabs>
              <w:ind w:right="176"/>
              <w:jc w:val="right"/>
              <w:rPr>
                <w:szCs w:val="22"/>
              </w:rPr>
            </w:pPr>
            <w:r>
              <w:rPr>
                <w:szCs w:val="22"/>
              </w:rPr>
              <w:t>2.50</w:t>
            </w:r>
          </w:p>
        </w:tc>
        <w:tc>
          <w:tcPr>
            <w:tcW w:w="1276" w:type="dxa"/>
            <w:noWrap/>
            <w:vAlign w:val="bottom"/>
          </w:tcPr>
          <w:p>
            <w:pPr>
              <w:pStyle w:val="yTableNAm"/>
              <w:tabs>
                <w:tab w:val="clear" w:pos="567"/>
              </w:tabs>
              <w:ind w:left="-109" w:right="172"/>
              <w:jc w:val="right"/>
            </w:pPr>
            <w:r>
              <w:t>2.50</w:t>
            </w:r>
          </w:p>
        </w:tc>
        <w:tc>
          <w:tcPr>
            <w:tcW w:w="1276" w:type="dxa"/>
            <w:noWrap/>
            <w:vAlign w:val="bottom"/>
          </w:tcPr>
          <w:p>
            <w:pPr>
              <w:pStyle w:val="yTableNAm"/>
              <w:tabs>
                <w:tab w:val="clear" w:pos="567"/>
              </w:tabs>
              <w:ind w:right="180"/>
              <w:jc w:val="right"/>
              <w:rPr>
                <w:szCs w:val="22"/>
              </w:rPr>
            </w:pPr>
            <w:r>
              <w:rPr>
                <w:szCs w:val="22"/>
              </w:rPr>
              <w:t>2.50</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for each kilometre travelled (1 way) outside the metropolitan area</w:t>
            </w:r>
          </w:p>
        </w:tc>
        <w:tc>
          <w:tcPr>
            <w:tcW w:w="1275" w:type="dxa"/>
            <w:noWrap/>
            <w:vAlign w:val="bottom"/>
          </w:tcPr>
          <w:p>
            <w:pPr>
              <w:pStyle w:val="yTableNAm"/>
              <w:tabs>
                <w:tab w:val="clear" w:pos="567"/>
              </w:tabs>
              <w:ind w:right="176"/>
              <w:jc w:val="right"/>
              <w:rPr>
                <w:szCs w:val="22"/>
              </w:rPr>
            </w:pPr>
            <w:r>
              <w:rPr>
                <w:szCs w:val="22"/>
              </w:rPr>
              <w:t>2.80</w:t>
            </w:r>
          </w:p>
        </w:tc>
        <w:tc>
          <w:tcPr>
            <w:tcW w:w="1276" w:type="dxa"/>
            <w:noWrap/>
            <w:vAlign w:val="bottom"/>
          </w:tcPr>
          <w:p>
            <w:pPr>
              <w:pStyle w:val="yTableNAm"/>
              <w:tabs>
                <w:tab w:val="clear" w:pos="567"/>
              </w:tabs>
              <w:ind w:left="-109" w:right="172"/>
              <w:jc w:val="right"/>
            </w:pPr>
            <w:r>
              <w:t>2.80</w:t>
            </w:r>
          </w:p>
        </w:tc>
        <w:tc>
          <w:tcPr>
            <w:tcW w:w="1276" w:type="dxa"/>
            <w:noWrap/>
            <w:vAlign w:val="bottom"/>
          </w:tcPr>
          <w:p>
            <w:pPr>
              <w:pStyle w:val="yTableNAm"/>
              <w:tabs>
                <w:tab w:val="clear" w:pos="567"/>
              </w:tabs>
              <w:ind w:right="180"/>
              <w:jc w:val="right"/>
              <w:rPr>
                <w:szCs w:val="22"/>
              </w:rPr>
            </w:pPr>
            <w:r>
              <w:rPr>
                <w:szCs w:val="22"/>
              </w:rPr>
              <w:t>2.80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If more than 1 process or document is executed or served by an enforcement officer at the same time on the same person, or on different persons at the same address, only 1 fee for kilometres travelled is chargeable.</w:t>
            </w:r>
          </w:p>
        </w:tc>
      </w:tr>
      <w:tr>
        <w:trPr>
          <w:cantSplit/>
        </w:trPr>
        <w:tc>
          <w:tcPr>
            <w:tcW w:w="601" w:type="dxa"/>
            <w:noWrap/>
          </w:tcPr>
          <w:p>
            <w:pPr>
              <w:pStyle w:val="yTableNAm"/>
            </w:pPr>
            <w:r>
              <w:t>4.</w:t>
            </w:r>
          </w:p>
        </w:tc>
        <w:tc>
          <w:tcPr>
            <w:tcW w:w="2552" w:type="dxa"/>
            <w:noWrap/>
          </w:tcPr>
          <w:p>
            <w:pPr>
              <w:pStyle w:val="yTableNAm"/>
              <w:tabs>
                <w:tab w:val="clear" w:pos="567"/>
                <w:tab w:val="left" w:pos="351"/>
              </w:tabs>
              <w:ind w:left="351" w:hanging="351"/>
            </w:pPr>
            <w:r>
              <w:t>(a)</w:t>
            </w:r>
            <w:r>
              <w:tab/>
              <w:t>For searching any record or proceeding other than a search by or on behalf of a party to the proceedings in the Court’s civil jurisdiction</w:t>
            </w:r>
          </w:p>
        </w:tc>
        <w:tc>
          <w:tcPr>
            <w:tcW w:w="1275" w:type="dxa"/>
            <w:noWrap/>
            <w:vAlign w:val="bottom"/>
          </w:tcPr>
          <w:p>
            <w:pPr>
              <w:pStyle w:val="yTableNAm"/>
              <w:tabs>
                <w:tab w:val="clear" w:pos="567"/>
              </w:tabs>
              <w:ind w:right="176"/>
              <w:jc w:val="right"/>
              <w:rPr>
                <w:szCs w:val="22"/>
              </w:rPr>
            </w:pPr>
            <w:r>
              <w:rPr>
                <w:szCs w:val="22"/>
              </w:rPr>
              <w:t>56.50</w:t>
            </w:r>
          </w:p>
        </w:tc>
        <w:tc>
          <w:tcPr>
            <w:tcW w:w="1276" w:type="dxa"/>
            <w:noWrap/>
            <w:vAlign w:val="bottom"/>
          </w:tcPr>
          <w:p>
            <w:pPr>
              <w:pStyle w:val="yTableNAm"/>
              <w:tabs>
                <w:tab w:val="clear" w:pos="567"/>
              </w:tabs>
              <w:ind w:left="-109" w:right="172"/>
              <w:jc w:val="right"/>
            </w:pPr>
            <w:r>
              <w:t>56.50</w:t>
            </w:r>
          </w:p>
        </w:tc>
        <w:tc>
          <w:tcPr>
            <w:tcW w:w="1276" w:type="dxa"/>
            <w:noWrap/>
            <w:vAlign w:val="bottom"/>
          </w:tcPr>
          <w:p>
            <w:pPr>
              <w:pStyle w:val="yTableNAm"/>
              <w:tabs>
                <w:tab w:val="clear" w:pos="567"/>
              </w:tabs>
              <w:ind w:right="180"/>
              <w:jc w:val="right"/>
              <w:rPr>
                <w:szCs w:val="22"/>
              </w:rPr>
            </w:pPr>
            <w:r>
              <w:rPr>
                <w:szCs w:val="22"/>
              </w:rPr>
              <w:t>16.95</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 xml:space="preserve">For listening to or viewing any electronic recording that requires supervision by an officer of the Court — </w:t>
            </w:r>
          </w:p>
          <w:p>
            <w:pPr>
              <w:pStyle w:val="yTableNAm"/>
              <w:tabs>
                <w:tab w:val="clear" w:pos="567"/>
                <w:tab w:val="left" w:pos="769"/>
              </w:tabs>
              <w:ind w:left="769" w:hanging="425"/>
            </w:pPr>
            <w:r>
              <w:t>(i)</w:t>
            </w:r>
            <w:r>
              <w:tab/>
              <w:t>a search fee of</w:t>
            </w:r>
          </w:p>
        </w:tc>
        <w:tc>
          <w:tcPr>
            <w:tcW w:w="1275" w:type="dxa"/>
            <w:noWrap/>
            <w:vAlign w:val="bottom"/>
          </w:tcPr>
          <w:p>
            <w:pPr>
              <w:pStyle w:val="yTableNAm"/>
              <w:tabs>
                <w:tab w:val="clear" w:pos="567"/>
              </w:tabs>
              <w:ind w:right="176"/>
              <w:jc w:val="right"/>
              <w:rPr>
                <w:szCs w:val="22"/>
              </w:rPr>
            </w:pPr>
            <w:r>
              <w:rPr>
                <w:szCs w:val="22"/>
              </w:rPr>
              <w:t>56.50</w:t>
            </w:r>
          </w:p>
        </w:tc>
        <w:tc>
          <w:tcPr>
            <w:tcW w:w="1276" w:type="dxa"/>
            <w:noWrap/>
            <w:vAlign w:val="bottom"/>
          </w:tcPr>
          <w:p>
            <w:pPr>
              <w:pStyle w:val="yTableNAm"/>
              <w:tabs>
                <w:tab w:val="clear" w:pos="567"/>
              </w:tabs>
              <w:ind w:left="-109" w:right="172"/>
              <w:jc w:val="right"/>
            </w:pPr>
            <w:r>
              <w:t>56.50</w:t>
            </w:r>
          </w:p>
        </w:tc>
        <w:tc>
          <w:tcPr>
            <w:tcW w:w="1276" w:type="dxa"/>
            <w:noWrap/>
            <w:vAlign w:val="bottom"/>
          </w:tcPr>
          <w:p>
            <w:pPr>
              <w:pStyle w:val="yTableNAm"/>
              <w:tabs>
                <w:tab w:val="clear" w:pos="567"/>
              </w:tabs>
              <w:ind w:right="180"/>
              <w:jc w:val="right"/>
              <w:rPr>
                <w:szCs w:val="22"/>
              </w:rPr>
            </w:pPr>
            <w:r>
              <w:rPr>
                <w:szCs w:val="22"/>
              </w:rPr>
              <w:t>16.95</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w:t>
            </w:r>
            <w:r>
              <w:tab/>
              <w:t>in addition to the search fee, for each hour of the officer’s time</w:t>
            </w:r>
          </w:p>
        </w:tc>
        <w:tc>
          <w:tcPr>
            <w:tcW w:w="1275" w:type="dxa"/>
            <w:noWrap/>
            <w:vAlign w:val="bottom"/>
          </w:tcPr>
          <w:p>
            <w:pPr>
              <w:pStyle w:val="yTableNAm"/>
              <w:tabs>
                <w:tab w:val="clear" w:pos="567"/>
              </w:tabs>
              <w:ind w:right="176"/>
              <w:jc w:val="right"/>
              <w:rPr>
                <w:szCs w:val="22"/>
              </w:rPr>
            </w:pPr>
            <w:r>
              <w:rPr>
                <w:szCs w:val="22"/>
              </w:rPr>
              <w:t>138.00</w:t>
            </w:r>
          </w:p>
        </w:tc>
        <w:tc>
          <w:tcPr>
            <w:tcW w:w="1276" w:type="dxa"/>
            <w:noWrap/>
            <w:vAlign w:val="bottom"/>
          </w:tcPr>
          <w:p>
            <w:pPr>
              <w:pStyle w:val="yTableNAm"/>
              <w:tabs>
                <w:tab w:val="clear" w:pos="567"/>
              </w:tabs>
              <w:ind w:left="-109" w:right="172"/>
              <w:jc w:val="right"/>
            </w:pPr>
            <w:r>
              <w:t>138.00</w:t>
            </w:r>
          </w:p>
        </w:tc>
        <w:tc>
          <w:tcPr>
            <w:tcW w:w="1276" w:type="dxa"/>
            <w:noWrap/>
            <w:vAlign w:val="bottom"/>
          </w:tcPr>
          <w:p>
            <w:pPr>
              <w:pStyle w:val="yTableNAm"/>
              <w:tabs>
                <w:tab w:val="clear" w:pos="567"/>
              </w:tabs>
              <w:ind w:right="180"/>
              <w:jc w:val="right"/>
              <w:rPr>
                <w:szCs w:val="22"/>
              </w:rPr>
            </w:pPr>
            <w:r>
              <w:rPr>
                <w:szCs w:val="22"/>
              </w:rPr>
              <w:t>41.40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rPr>
                <w:rFonts w:ascii="Arial" w:hAnsi="Arial"/>
                <w:sz w:val="18"/>
              </w:rPr>
            </w:pPr>
            <w:r>
              <w:rPr>
                <w:rFonts w:ascii="Arial" w:hAnsi="Arial"/>
                <w:sz w:val="18"/>
              </w:rPr>
              <w:t xml:space="preserve">Paragraph (a) does not apply in relation to information provided under the </w:t>
            </w:r>
            <w:r>
              <w:rPr>
                <w:rFonts w:ascii="Arial" w:hAnsi="Arial"/>
                <w:i/>
                <w:sz w:val="18"/>
              </w:rPr>
              <w:t>Magistrates Court (General) Rules 2005</w:t>
            </w:r>
            <w:r>
              <w:rPr>
                <w:rFonts w:ascii="Arial" w:hAnsi="Arial"/>
                <w:sz w:val="18"/>
              </w:rPr>
              <w:t xml:space="preserve"> rule 41A.</w:t>
            </w:r>
          </w:p>
        </w:tc>
      </w:tr>
      <w:tr>
        <w:trPr>
          <w:cantSplit/>
        </w:trPr>
        <w:tc>
          <w:tcPr>
            <w:tcW w:w="601" w:type="dxa"/>
            <w:noWrap/>
          </w:tcPr>
          <w:p>
            <w:pPr>
              <w:pStyle w:val="yTableNAm"/>
            </w:pPr>
            <w:r>
              <w:t>5.</w:t>
            </w:r>
          </w:p>
        </w:tc>
        <w:tc>
          <w:tcPr>
            <w:tcW w:w="2552" w:type="dxa"/>
            <w:noWrap/>
          </w:tcPr>
          <w:p>
            <w:pPr>
              <w:pStyle w:val="yTableNAm"/>
            </w:pPr>
            <w:r>
              <w:t xml:space="preserve">For provision of information under the </w:t>
            </w:r>
            <w:r>
              <w:rPr>
                <w:i/>
                <w:iCs/>
              </w:rPr>
              <w:t>Magistrates Court (General) Rules 2005</w:t>
            </w:r>
            <w:r>
              <w:t xml:space="preserve"> rule 41A — </w:t>
            </w:r>
          </w:p>
        </w:tc>
        <w:tc>
          <w:tcPr>
            <w:tcW w:w="1275" w:type="dxa"/>
            <w:noWrap/>
          </w:tcPr>
          <w:p>
            <w:pPr>
              <w:pStyle w:val="yTableNAm"/>
            </w:pPr>
          </w:p>
        </w:tc>
        <w:tc>
          <w:tcPr>
            <w:tcW w:w="1276" w:type="dxa"/>
            <w:noWrap/>
          </w:tcPr>
          <w:p>
            <w:pPr>
              <w:pStyle w:val="yTableNAm"/>
            </w:pPr>
          </w:p>
        </w:tc>
        <w:tc>
          <w:tcPr>
            <w:tcW w:w="1276" w:type="dxa"/>
            <w:noWrap/>
          </w:tcPr>
          <w:p>
            <w:pPr>
              <w:pStyle w:val="yTableNAm"/>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fee per case specified in the information</w:t>
            </w:r>
          </w:p>
        </w:tc>
        <w:tc>
          <w:tcPr>
            <w:tcW w:w="1275" w:type="dxa"/>
            <w:noWrap/>
            <w:vAlign w:val="bottom"/>
          </w:tcPr>
          <w:p>
            <w:pPr>
              <w:pStyle w:val="yTableNAm"/>
              <w:tabs>
                <w:tab w:val="clear" w:pos="567"/>
              </w:tabs>
              <w:ind w:right="176"/>
              <w:jc w:val="right"/>
            </w:pPr>
            <w:r>
              <w:rPr>
                <w:szCs w:val="22"/>
              </w:rPr>
              <w:t>2.50</w:t>
            </w:r>
          </w:p>
        </w:tc>
        <w:tc>
          <w:tcPr>
            <w:tcW w:w="1276" w:type="dxa"/>
            <w:noWrap/>
            <w:vAlign w:val="bottom"/>
          </w:tcPr>
          <w:p>
            <w:pPr>
              <w:pStyle w:val="yTableNAm"/>
              <w:tabs>
                <w:tab w:val="clear" w:pos="567"/>
              </w:tabs>
              <w:ind w:left="-109" w:right="172"/>
              <w:jc w:val="right"/>
            </w:pPr>
            <w:r>
              <w:t>2.</w:t>
            </w:r>
            <w:r>
              <w:rPr>
                <w:szCs w:val="22"/>
              </w:rPr>
              <w:t>50</w:t>
            </w:r>
          </w:p>
        </w:tc>
        <w:tc>
          <w:tcPr>
            <w:tcW w:w="1276" w:type="dxa"/>
            <w:noWrap/>
            <w:vAlign w:val="bottom"/>
          </w:tcPr>
          <w:p>
            <w:pPr>
              <w:pStyle w:val="yTableNAm"/>
              <w:tabs>
                <w:tab w:val="clear" w:pos="567"/>
              </w:tabs>
              <w:ind w:right="180"/>
              <w:jc w:val="right"/>
            </w:pPr>
            <w:r>
              <w:rPr>
                <w:szCs w:val="22"/>
              </w:rPr>
              <w:t>0.75</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annual fee for information provided by email to approved recipient</w:t>
            </w:r>
          </w:p>
        </w:tc>
        <w:tc>
          <w:tcPr>
            <w:tcW w:w="1275" w:type="dxa"/>
            <w:noWrap/>
            <w:vAlign w:val="bottom"/>
          </w:tcPr>
          <w:p>
            <w:pPr>
              <w:pStyle w:val="yTableNAm"/>
              <w:rPr>
                <w:szCs w:val="22"/>
              </w:rPr>
            </w:pPr>
            <w:r>
              <w:t>81 418.00</w:t>
            </w:r>
          </w:p>
        </w:tc>
        <w:tc>
          <w:tcPr>
            <w:tcW w:w="1276" w:type="dxa"/>
            <w:noWrap/>
            <w:vAlign w:val="bottom"/>
          </w:tcPr>
          <w:p>
            <w:pPr>
              <w:pStyle w:val="yTableNAm"/>
              <w:tabs>
                <w:tab w:val="clear" w:pos="567"/>
              </w:tabs>
              <w:rPr>
                <w:szCs w:val="22"/>
              </w:rPr>
            </w:pPr>
            <w:r>
              <w:t>81 418.00</w:t>
            </w:r>
          </w:p>
        </w:tc>
        <w:tc>
          <w:tcPr>
            <w:tcW w:w="1276" w:type="dxa"/>
            <w:noWrap/>
            <w:vAlign w:val="bottom"/>
          </w:tcPr>
          <w:p>
            <w:pPr>
              <w:pStyle w:val="yTableNAm"/>
              <w:rPr>
                <w:szCs w:val="22"/>
              </w:rPr>
            </w:pPr>
            <w:r>
              <w:t>81 418.00</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The fee under paragraph (b) is payable on the date on which the recipient is approved by the Attorney General and on each anniversary of that date.</w:t>
            </w:r>
          </w:p>
        </w:tc>
      </w:tr>
      <w:tr>
        <w:trPr>
          <w:cantSplit/>
        </w:trPr>
        <w:tc>
          <w:tcPr>
            <w:tcW w:w="601" w:type="dxa"/>
            <w:noWrap/>
          </w:tcPr>
          <w:p>
            <w:pPr>
              <w:pStyle w:val="yTableNAm"/>
            </w:pPr>
            <w:r>
              <w:lastRenderedPageBreak/>
              <w:t>6.</w:t>
            </w:r>
          </w:p>
        </w:tc>
        <w:tc>
          <w:tcPr>
            <w:tcW w:w="2552" w:type="dxa"/>
            <w:noWrap/>
          </w:tcPr>
          <w:p>
            <w:pPr>
              <w:pStyle w:val="yTableNAm"/>
              <w:tabs>
                <w:tab w:val="clear" w:pos="567"/>
                <w:tab w:val="left" w:pos="351"/>
              </w:tabs>
              <w:ind w:left="351" w:hanging="351"/>
            </w:pPr>
            <w:r>
              <w:t>(a)</w:t>
            </w:r>
            <w:r>
              <w:tab/>
              <w:t>On an application or summons for the production of records or documents that are required to be produced to any court, tribunal, arbitrator or umpire</w:t>
            </w:r>
          </w:p>
        </w:tc>
        <w:tc>
          <w:tcPr>
            <w:tcW w:w="1275" w:type="dxa"/>
            <w:noWrap/>
            <w:vAlign w:val="bottom"/>
          </w:tcPr>
          <w:p>
            <w:pPr>
              <w:pStyle w:val="yTableNAm"/>
              <w:tabs>
                <w:tab w:val="clear" w:pos="567"/>
              </w:tabs>
              <w:ind w:right="176"/>
              <w:jc w:val="right"/>
            </w:pPr>
            <w:r>
              <w:t>83.00</w:t>
            </w:r>
          </w:p>
        </w:tc>
        <w:tc>
          <w:tcPr>
            <w:tcW w:w="1276" w:type="dxa"/>
            <w:noWrap/>
            <w:vAlign w:val="bottom"/>
          </w:tcPr>
          <w:p>
            <w:pPr>
              <w:pStyle w:val="yTableNAm"/>
              <w:tabs>
                <w:tab w:val="clear" w:pos="567"/>
              </w:tabs>
              <w:ind w:right="172"/>
              <w:jc w:val="right"/>
            </w:pPr>
            <w:r>
              <w:t>83.00</w:t>
            </w:r>
          </w:p>
        </w:tc>
        <w:tc>
          <w:tcPr>
            <w:tcW w:w="1276" w:type="dxa"/>
            <w:noWrap/>
            <w:vAlign w:val="bottom"/>
          </w:tcPr>
          <w:p>
            <w:pPr>
              <w:pStyle w:val="yTableNAm"/>
              <w:tabs>
                <w:tab w:val="clear" w:pos="567"/>
              </w:tabs>
              <w:ind w:right="180"/>
              <w:jc w:val="right"/>
            </w:pPr>
            <w:r>
              <w:t>24.90</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5" w:type="dxa"/>
            <w:noWrap/>
            <w:vAlign w:val="bottom"/>
          </w:tcPr>
          <w:p>
            <w:pPr>
              <w:pStyle w:val="yTableNAm"/>
              <w:tabs>
                <w:tab w:val="clear" w:pos="567"/>
              </w:tabs>
              <w:ind w:right="176"/>
              <w:jc w:val="right"/>
            </w:pPr>
            <w:r>
              <w:t>119.00</w:t>
            </w:r>
          </w:p>
        </w:tc>
        <w:tc>
          <w:tcPr>
            <w:tcW w:w="1276" w:type="dxa"/>
            <w:noWrap/>
            <w:vAlign w:val="bottom"/>
          </w:tcPr>
          <w:p>
            <w:pPr>
              <w:pStyle w:val="yTableNAm"/>
              <w:tabs>
                <w:tab w:val="clear" w:pos="567"/>
              </w:tabs>
              <w:ind w:right="172"/>
              <w:jc w:val="right"/>
            </w:pPr>
            <w:r>
              <w:t>119.00</w:t>
            </w:r>
          </w:p>
        </w:tc>
        <w:tc>
          <w:tcPr>
            <w:tcW w:w="1276" w:type="dxa"/>
            <w:noWrap/>
            <w:vAlign w:val="bottom"/>
          </w:tcPr>
          <w:p>
            <w:pPr>
              <w:pStyle w:val="yTableNAm"/>
              <w:tabs>
                <w:tab w:val="clear" w:pos="567"/>
              </w:tabs>
              <w:ind w:right="180"/>
              <w:jc w:val="right"/>
            </w:pPr>
            <w:r>
              <w:t>35.70</w:t>
            </w:r>
          </w:p>
        </w:tc>
      </w:tr>
      <w:tr>
        <w:trPr>
          <w:cantSplit/>
        </w:trPr>
        <w:tc>
          <w:tcPr>
            <w:tcW w:w="601" w:type="dxa"/>
            <w:noWrap/>
          </w:tcPr>
          <w:p>
            <w:pPr>
              <w:pStyle w:val="yTableNAm"/>
            </w:pPr>
            <w:r>
              <w:t>7.</w:t>
            </w:r>
          </w:p>
        </w:tc>
        <w:tc>
          <w:tcPr>
            <w:tcW w:w="2552" w:type="dxa"/>
            <w:noWrap/>
          </w:tcPr>
          <w:p>
            <w:pPr>
              <w:pStyle w:val="yTableNAm"/>
              <w:tabs>
                <w:tab w:val="clear" w:pos="567"/>
                <w:tab w:val="left" w:pos="351"/>
              </w:tabs>
              <w:ind w:left="351" w:hanging="351"/>
            </w:pPr>
            <w:r>
              <w:t>(a)</w:t>
            </w:r>
            <w:r>
              <w:tab/>
              <w:t>For copies of documents or exhibits for each page or part of a page</w:t>
            </w:r>
          </w:p>
        </w:tc>
        <w:tc>
          <w:tcPr>
            <w:tcW w:w="1275" w:type="dxa"/>
            <w:noWrap/>
            <w:vAlign w:val="bottom"/>
          </w:tcPr>
          <w:p>
            <w:pPr>
              <w:pStyle w:val="yTableNAm"/>
              <w:tabs>
                <w:tab w:val="clear" w:pos="567"/>
              </w:tabs>
              <w:ind w:right="176"/>
              <w:jc w:val="right"/>
            </w:pPr>
            <w:r>
              <w:t>2.35</w:t>
            </w:r>
          </w:p>
        </w:tc>
        <w:tc>
          <w:tcPr>
            <w:tcW w:w="1276" w:type="dxa"/>
            <w:noWrap/>
            <w:vAlign w:val="bottom"/>
          </w:tcPr>
          <w:p>
            <w:pPr>
              <w:pStyle w:val="yTableNAm"/>
              <w:tabs>
                <w:tab w:val="clear" w:pos="567"/>
              </w:tabs>
              <w:ind w:right="172"/>
              <w:jc w:val="right"/>
            </w:pPr>
            <w:r>
              <w:t>2.35</w:t>
            </w:r>
          </w:p>
        </w:tc>
        <w:tc>
          <w:tcPr>
            <w:tcW w:w="1276" w:type="dxa"/>
            <w:noWrap/>
            <w:vAlign w:val="bottom"/>
          </w:tcPr>
          <w:p>
            <w:pPr>
              <w:pStyle w:val="yTableNAm"/>
              <w:tabs>
                <w:tab w:val="clear" w:pos="567"/>
              </w:tabs>
              <w:ind w:right="180"/>
              <w:jc w:val="right"/>
            </w:pPr>
            <w:r>
              <w:t>0.70</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For a copy of reasons for judgment —</w:t>
            </w:r>
          </w:p>
        </w:tc>
        <w:tc>
          <w:tcPr>
            <w:tcW w:w="1275" w:type="dxa"/>
            <w:noWrap/>
            <w:vAlign w:val="bottom"/>
          </w:tcPr>
          <w:p>
            <w:pPr>
              <w:pStyle w:val="yTableNAm"/>
              <w:tabs>
                <w:tab w:val="clear" w:pos="567"/>
              </w:tabs>
              <w:ind w:right="176"/>
              <w:jc w:val="right"/>
            </w:pPr>
          </w:p>
        </w:tc>
        <w:tc>
          <w:tcPr>
            <w:tcW w:w="1276" w:type="dxa"/>
            <w:noWrap/>
            <w:vAlign w:val="bottom"/>
          </w:tcPr>
          <w:p>
            <w:pPr>
              <w:pStyle w:val="yTableNAm"/>
              <w:tabs>
                <w:tab w:val="clear" w:pos="567"/>
              </w:tabs>
              <w:ind w:right="172"/>
              <w:jc w:val="right"/>
            </w:pPr>
          </w:p>
        </w:tc>
        <w:tc>
          <w:tcPr>
            <w:tcW w:w="1276" w:type="dxa"/>
            <w:noWrap/>
            <w:vAlign w:val="bottom"/>
          </w:tcPr>
          <w:p>
            <w:pPr>
              <w:pStyle w:val="yTableNAm"/>
              <w:tabs>
                <w:tab w:val="clear" w:pos="567"/>
              </w:tabs>
              <w:ind w:right="180"/>
              <w:jc w:val="right"/>
            </w:pP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w:t>
            </w:r>
            <w:r>
              <w:tab/>
              <w:t>for each copy issued to a person not a party to the proceedings and for each copy in excess of 1 copy issued to a party to the proceedings</w:t>
            </w:r>
          </w:p>
        </w:tc>
        <w:tc>
          <w:tcPr>
            <w:tcW w:w="1275" w:type="dxa"/>
            <w:noWrap/>
            <w:vAlign w:val="bottom"/>
          </w:tcPr>
          <w:p>
            <w:pPr>
              <w:pStyle w:val="yTableNAm"/>
              <w:tabs>
                <w:tab w:val="clear" w:pos="567"/>
              </w:tabs>
              <w:ind w:right="176"/>
              <w:jc w:val="right"/>
            </w:pPr>
            <w:r>
              <w:t>19.70</w:t>
            </w:r>
          </w:p>
        </w:tc>
        <w:tc>
          <w:tcPr>
            <w:tcW w:w="1276" w:type="dxa"/>
            <w:noWrap/>
            <w:vAlign w:val="bottom"/>
          </w:tcPr>
          <w:p>
            <w:pPr>
              <w:pStyle w:val="yTableNAm"/>
              <w:tabs>
                <w:tab w:val="clear" w:pos="567"/>
              </w:tabs>
              <w:ind w:right="172"/>
              <w:jc w:val="right"/>
            </w:pPr>
            <w:r>
              <w:t>19.70</w:t>
            </w:r>
          </w:p>
        </w:tc>
        <w:tc>
          <w:tcPr>
            <w:tcW w:w="1276" w:type="dxa"/>
            <w:noWrap/>
            <w:vAlign w:val="bottom"/>
          </w:tcPr>
          <w:p>
            <w:pPr>
              <w:pStyle w:val="yTableNAm"/>
              <w:tabs>
                <w:tab w:val="clear" w:pos="567"/>
              </w:tabs>
              <w:ind w:right="180"/>
              <w:jc w:val="right"/>
            </w:pPr>
            <w:r>
              <w:t>5.90</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w:t>
            </w:r>
            <w:r>
              <w:tab/>
              <w:t>for each copy consisting of 10 or more pages an additional fee per page of</w:t>
            </w:r>
          </w:p>
        </w:tc>
        <w:tc>
          <w:tcPr>
            <w:tcW w:w="1275" w:type="dxa"/>
            <w:noWrap/>
            <w:vAlign w:val="bottom"/>
          </w:tcPr>
          <w:p>
            <w:pPr>
              <w:pStyle w:val="yTableNAm"/>
              <w:tabs>
                <w:tab w:val="clear" w:pos="567"/>
              </w:tabs>
              <w:ind w:right="176"/>
              <w:jc w:val="right"/>
            </w:pPr>
            <w:r>
              <w:t>2.50</w:t>
            </w:r>
          </w:p>
        </w:tc>
        <w:tc>
          <w:tcPr>
            <w:tcW w:w="1276" w:type="dxa"/>
            <w:noWrap/>
            <w:vAlign w:val="bottom"/>
          </w:tcPr>
          <w:p>
            <w:pPr>
              <w:pStyle w:val="yTableNAm"/>
              <w:tabs>
                <w:tab w:val="clear" w:pos="567"/>
              </w:tabs>
              <w:ind w:right="172"/>
              <w:jc w:val="right"/>
            </w:pPr>
            <w:r>
              <w:t>2.50</w:t>
            </w:r>
          </w:p>
        </w:tc>
        <w:tc>
          <w:tcPr>
            <w:tcW w:w="1276" w:type="dxa"/>
            <w:noWrap/>
            <w:vAlign w:val="bottom"/>
          </w:tcPr>
          <w:p>
            <w:pPr>
              <w:pStyle w:val="yTableNAm"/>
              <w:tabs>
                <w:tab w:val="clear" w:pos="567"/>
              </w:tabs>
              <w:ind w:right="180"/>
              <w:jc w:val="right"/>
            </w:pPr>
            <w:r>
              <w:t>0.75</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(c)</w:t>
            </w:r>
            <w:r>
              <w:tab/>
              <w:t>For certifying that a document is a true copy — an additional fee of</w:t>
            </w:r>
          </w:p>
        </w:tc>
        <w:tc>
          <w:tcPr>
            <w:tcW w:w="1275" w:type="dxa"/>
            <w:noWrap/>
            <w:vAlign w:val="bottom"/>
          </w:tcPr>
          <w:p>
            <w:pPr>
              <w:pStyle w:val="yTableNAm"/>
              <w:tabs>
                <w:tab w:val="clear" w:pos="567"/>
              </w:tabs>
              <w:ind w:right="176"/>
              <w:jc w:val="right"/>
            </w:pPr>
            <w:r>
              <w:t>25.90</w:t>
            </w:r>
          </w:p>
        </w:tc>
        <w:tc>
          <w:tcPr>
            <w:tcW w:w="1276" w:type="dxa"/>
            <w:noWrap/>
            <w:vAlign w:val="bottom"/>
          </w:tcPr>
          <w:p>
            <w:pPr>
              <w:pStyle w:val="yTableNAm"/>
              <w:tabs>
                <w:tab w:val="clear" w:pos="567"/>
              </w:tabs>
              <w:ind w:right="172"/>
              <w:jc w:val="right"/>
            </w:pPr>
            <w:r>
              <w:t>25.90</w:t>
            </w:r>
          </w:p>
        </w:tc>
        <w:tc>
          <w:tcPr>
            <w:tcW w:w="1276" w:type="dxa"/>
            <w:noWrap/>
            <w:vAlign w:val="bottom"/>
          </w:tcPr>
          <w:p>
            <w:pPr>
              <w:pStyle w:val="yTableNAm"/>
              <w:tabs>
                <w:tab w:val="clear" w:pos="567"/>
              </w:tabs>
              <w:ind w:right="180"/>
              <w:jc w:val="right"/>
            </w:pPr>
            <w:r>
              <w:t>7.75</w:t>
            </w:r>
          </w:p>
        </w:tc>
      </w:tr>
      <w:tr>
        <w:trPr>
          <w:cantSplit/>
        </w:trPr>
        <w:tc>
          <w:tcPr>
            <w:tcW w:w="601"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The fee under paragraph (a) for a copy of an application is not payable if circumstances under regulation 6(4) exist.</w:t>
            </w:r>
          </w:p>
        </w:tc>
      </w:tr>
      <w:tr>
        <w:trPr>
          <w:cantSplit/>
        </w:trPr>
        <w:tc>
          <w:tcPr>
            <w:tcW w:w="601" w:type="dxa"/>
            <w:noWrap/>
          </w:tcPr>
          <w:p>
            <w:pPr>
              <w:pStyle w:val="yTableNAm"/>
            </w:pPr>
            <w:r>
              <w:t>8.</w:t>
            </w:r>
          </w:p>
        </w:tc>
        <w:tc>
          <w:tcPr>
            <w:tcW w:w="2552" w:type="dxa"/>
            <w:noWrap/>
          </w:tcPr>
          <w:p>
            <w:pPr>
              <w:pStyle w:val="yTableNAm"/>
              <w:tabs>
                <w:tab w:val="clear" w:pos="567"/>
                <w:tab w:val="left" w:pos="351"/>
              </w:tabs>
              <w:ind w:left="351" w:hanging="351"/>
            </w:pPr>
            <w:r>
              <w:t>(a)</w:t>
            </w:r>
            <w:r>
              <w:tab/>
              <w:t xml:space="preserve">For the provision of a transcript, or part of a transcript — </w:t>
            </w:r>
          </w:p>
        </w:tc>
        <w:tc>
          <w:tcPr>
            <w:tcW w:w="1275" w:type="dxa"/>
            <w:noWrap/>
            <w:vAlign w:val="bottom"/>
          </w:tcPr>
          <w:p>
            <w:pPr>
              <w:pStyle w:val="yTableNAm"/>
            </w:pPr>
          </w:p>
        </w:tc>
        <w:tc>
          <w:tcPr>
            <w:tcW w:w="1276" w:type="dxa"/>
            <w:noWrap/>
            <w:vAlign w:val="bottom"/>
          </w:tcPr>
          <w:p>
            <w:pPr>
              <w:pStyle w:val="yTableNAm"/>
            </w:pPr>
          </w:p>
        </w:tc>
        <w:tc>
          <w:tcPr>
            <w:tcW w:w="1276" w:type="dxa"/>
            <w:noWrap/>
            <w:vAlign w:val="bottom"/>
          </w:tcPr>
          <w:p>
            <w:pPr>
              <w:pStyle w:val="yTableNAm"/>
            </w:pP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w:t>
            </w:r>
            <w:r>
              <w:tab/>
              <w:t xml:space="preserve">provided within 1 day after the day on which the fee is paid </w:t>
            </w:r>
          </w:p>
        </w:tc>
        <w:tc>
          <w:tcPr>
            <w:tcW w:w="1275" w:type="dxa"/>
            <w:noWrap/>
          </w:tcPr>
          <w:p>
            <w:pPr>
              <w:pStyle w:val="yTableNAm"/>
              <w:ind w:left="29"/>
            </w:pPr>
            <w:r>
              <w:t>26.10 plus</w:t>
            </w:r>
            <w:r>
              <w:br/>
              <w:t>10.75 per page</w:t>
            </w:r>
          </w:p>
        </w:tc>
        <w:tc>
          <w:tcPr>
            <w:tcW w:w="1276" w:type="dxa"/>
            <w:noWrap/>
          </w:tcPr>
          <w:p>
            <w:pPr>
              <w:pStyle w:val="yTableNAm"/>
              <w:ind w:left="33"/>
            </w:pPr>
            <w:r>
              <w:t>26.10 plus</w:t>
            </w:r>
            <w:r>
              <w:br/>
              <w:t>21.50 per page</w:t>
            </w:r>
          </w:p>
        </w:tc>
        <w:tc>
          <w:tcPr>
            <w:tcW w:w="1276" w:type="dxa"/>
            <w:noWrap/>
          </w:tcPr>
          <w:p>
            <w:pPr>
              <w:pStyle w:val="yTableNAm"/>
              <w:ind w:left="179"/>
            </w:pPr>
            <w:r>
              <w:t xml:space="preserve">7.85 plus </w:t>
            </w:r>
            <w:r>
              <w:br/>
              <w:t>3.25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w:t>
            </w:r>
            <w:r>
              <w:tab/>
              <w:t xml:space="preserve">provided within 2 days after the day on which the fee is paid </w:t>
            </w:r>
          </w:p>
        </w:tc>
        <w:tc>
          <w:tcPr>
            <w:tcW w:w="1275" w:type="dxa"/>
            <w:noWrap/>
          </w:tcPr>
          <w:p>
            <w:pPr>
              <w:pStyle w:val="yTableNAm"/>
              <w:ind w:left="29"/>
            </w:pPr>
            <w:r>
              <w:t>26.10 plus</w:t>
            </w:r>
            <w:r>
              <w:br/>
              <w:t>9.90 per page</w:t>
            </w:r>
          </w:p>
        </w:tc>
        <w:tc>
          <w:tcPr>
            <w:tcW w:w="1276" w:type="dxa"/>
            <w:noWrap/>
          </w:tcPr>
          <w:p>
            <w:pPr>
              <w:pStyle w:val="yTableNAm"/>
              <w:ind w:left="33"/>
            </w:pPr>
            <w:r>
              <w:t>26.10 plus</w:t>
            </w:r>
            <w:r>
              <w:br/>
              <w:t>19.70 per page</w:t>
            </w:r>
          </w:p>
        </w:tc>
        <w:tc>
          <w:tcPr>
            <w:tcW w:w="1276" w:type="dxa"/>
            <w:noWrap/>
          </w:tcPr>
          <w:p>
            <w:pPr>
              <w:pStyle w:val="yTableNAm"/>
              <w:ind w:left="179"/>
            </w:pPr>
            <w:r>
              <w:t xml:space="preserve">7.85 plus </w:t>
            </w:r>
            <w:r>
              <w:br/>
              <w:t>2.95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(iii)</w:t>
            </w:r>
            <w:r>
              <w:tab/>
              <w:t xml:space="preserve">provided within 4 days after the day on which the fee is paid </w:t>
            </w:r>
          </w:p>
        </w:tc>
        <w:tc>
          <w:tcPr>
            <w:tcW w:w="1275" w:type="dxa"/>
            <w:noWrap/>
          </w:tcPr>
          <w:p>
            <w:pPr>
              <w:pStyle w:val="yTableNAm"/>
              <w:ind w:left="29"/>
            </w:pPr>
            <w:r>
              <w:t>26.10 plus</w:t>
            </w:r>
            <w:r>
              <w:br/>
              <w:t>9.30 per page</w:t>
            </w:r>
          </w:p>
        </w:tc>
        <w:tc>
          <w:tcPr>
            <w:tcW w:w="1276" w:type="dxa"/>
            <w:noWrap/>
          </w:tcPr>
          <w:p>
            <w:pPr>
              <w:pStyle w:val="yTableNAm"/>
              <w:ind w:left="33"/>
              <w:rPr>
                <w:rStyle w:val="DraftersNotes"/>
                <w:b w:val="0"/>
                <w:i w:val="0"/>
              </w:rPr>
            </w:pPr>
            <w:r>
              <w:t>26.10 plus</w:t>
            </w:r>
            <w:r>
              <w:br/>
              <w:t>18.80 per page</w:t>
            </w:r>
          </w:p>
        </w:tc>
        <w:tc>
          <w:tcPr>
            <w:tcW w:w="1276" w:type="dxa"/>
            <w:noWrap/>
          </w:tcPr>
          <w:p>
            <w:pPr>
              <w:pStyle w:val="yTableNAm"/>
              <w:ind w:left="179"/>
            </w:pPr>
            <w:r>
              <w:t xml:space="preserve">7.85 plus </w:t>
            </w:r>
            <w:r>
              <w:br/>
              <w:t>2.80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(iv)</w:t>
            </w:r>
            <w:r>
              <w:tab/>
              <w:t xml:space="preserve">provided within 7 days after the day on which the fee is paid </w:t>
            </w:r>
          </w:p>
        </w:tc>
        <w:tc>
          <w:tcPr>
            <w:tcW w:w="1275" w:type="dxa"/>
            <w:noWrap/>
          </w:tcPr>
          <w:p>
            <w:pPr>
              <w:pStyle w:val="yTableNAm"/>
              <w:ind w:left="29"/>
            </w:pPr>
            <w:r>
              <w:t xml:space="preserve">26.10 plus </w:t>
            </w:r>
            <w:r>
              <w:br/>
              <w:t>9.00 per page</w:t>
            </w:r>
          </w:p>
        </w:tc>
        <w:tc>
          <w:tcPr>
            <w:tcW w:w="1276" w:type="dxa"/>
            <w:noWrap/>
          </w:tcPr>
          <w:p>
            <w:pPr>
              <w:pStyle w:val="yTableNAm"/>
              <w:ind w:left="33"/>
            </w:pPr>
            <w:r>
              <w:t>26.10 plus</w:t>
            </w:r>
            <w:r>
              <w:br/>
              <w:t>17.85 per page</w:t>
            </w:r>
          </w:p>
        </w:tc>
        <w:tc>
          <w:tcPr>
            <w:tcW w:w="1276" w:type="dxa"/>
            <w:noWrap/>
          </w:tcPr>
          <w:p>
            <w:pPr>
              <w:pStyle w:val="yTableNAm"/>
              <w:ind w:left="179"/>
            </w:pPr>
            <w:r>
              <w:t xml:space="preserve">7.85 plus </w:t>
            </w:r>
            <w:r>
              <w:br/>
              <w:t>2.70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(v)</w:t>
            </w:r>
            <w:r>
              <w:tab/>
              <w:t xml:space="preserve">provided within 14 days after the day on which the fee is paid </w:t>
            </w:r>
          </w:p>
        </w:tc>
        <w:tc>
          <w:tcPr>
            <w:tcW w:w="1275" w:type="dxa"/>
            <w:noWrap/>
          </w:tcPr>
          <w:p>
            <w:pPr>
              <w:pStyle w:val="yTableNAm"/>
              <w:ind w:left="29"/>
            </w:pPr>
            <w:r>
              <w:t xml:space="preserve">26.10 plus </w:t>
            </w:r>
            <w:r>
              <w:br/>
              <w:t>7.60 per page</w:t>
            </w:r>
          </w:p>
        </w:tc>
        <w:tc>
          <w:tcPr>
            <w:tcW w:w="1276" w:type="dxa"/>
            <w:noWrap/>
          </w:tcPr>
          <w:p>
            <w:pPr>
              <w:pStyle w:val="yTableNAm"/>
              <w:ind w:left="33"/>
            </w:pPr>
            <w:r>
              <w:t>26.10 plus</w:t>
            </w:r>
            <w:r>
              <w:br/>
              <w:t>15.25 per page</w:t>
            </w:r>
          </w:p>
        </w:tc>
        <w:tc>
          <w:tcPr>
            <w:tcW w:w="1276" w:type="dxa"/>
            <w:noWrap/>
          </w:tcPr>
          <w:p>
            <w:pPr>
              <w:pStyle w:val="yTableNAm"/>
              <w:ind w:left="179"/>
            </w:pPr>
            <w:r>
              <w:t xml:space="preserve">7.85 plus </w:t>
            </w:r>
            <w:r>
              <w:br/>
              <w:t>2.30 per page</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(vi)</w:t>
            </w:r>
            <w:r>
              <w:tab/>
              <w:t>provided on a running basis (i.e. periodically throughout or following the day of the proceedings)</w:t>
            </w:r>
          </w:p>
        </w:tc>
        <w:tc>
          <w:tcPr>
            <w:tcW w:w="1275" w:type="dxa"/>
            <w:noWrap/>
          </w:tcPr>
          <w:p>
            <w:pPr>
              <w:pStyle w:val="yTableNAm"/>
              <w:ind w:left="29"/>
            </w:pPr>
            <w:r>
              <w:t>26.10 plus</w:t>
            </w:r>
            <w:r>
              <w:br/>
              <w:t>11.45 per page</w:t>
            </w:r>
          </w:p>
        </w:tc>
        <w:tc>
          <w:tcPr>
            <w:tcW w:w="1276" w:type="dxa"/>
            <w:noWrap/>
          </w:tcPr>
          <w:p>
            <w:pPr>
              <w:pStyle w:val="yTableNAm"/>
              <w:ind w:left="33"/>
            </w:pPr>
            <w:r>
              <w:t>26.10 plus</w:t>
            </w:r>
            <w:r>
              <w:br/>
              <w:t>22.90 per page</w:t>
            </w:r>
          </w:p>
        </w:tc>
        <w:tc>
          <w:tcPr>
            <w:tcW w:w="1276" w:type="dxa"/>
            <w:noWrap/>
          </w:tcPr>
          <w:p>
            <w:pPr>
              <w:pStyle w:val="yTableNAm"/>
              <w:ind w:left="179"/>
            </w:pPr>
            <w:r>
              <w:t xml:space="preserve">7.85 plus </w:t>
            </w:r>
            <w:r>
              <w:br/>
              <w:t>3.45 per page</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For the provision of a copy of a transcript, or part of a transcript, if the transcript or part has already been provided to the person requesting the copy —</w:t>
            </w:r>
          </w:p>
        </w:tc>
        <w:tc>
          <w:tcPr>
            <w:tcW w:w="1275" w:type="dxa"/>
            <w:noWrap/>
          </w:tcPr>
          <w:p>
            <w:pPr>
              <w:pStyle w:val="yTableNAm"/>
              <w:ind w:left="29"/>
            </w:pPr>
          </w:p>
        </w:tc>
        <w:tc>
          <w:tcPr>
            <w:tcW w:w="1276" w:type="dxa"/>
            <w:noWrap/>
          </w:tcPr>
          <w:p>
            <w:pPr>
              <w:pStyle w:val="yTableNAm"/>
              <w:ind w:left="33"/>
            </w:pPr>
          </w:p>
        </w:tc>
        <w:tc>
          <w:tcPr>
            <w:tcW w:w="1276" w:type="dxa"/>
            <w:noWrap/>
          </w:tcPr>
          <w:p>
            <w:pPr>
              <w:pStyle w:val="yTableNAm"/>
              <w:ind w:left="179"/>
            </w:pP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w:t>
            </w:r>
            <w:r>
              <w:tab/>
              <w:t xml:space="preserve">electronic format </w:t>
            </w:r>
          </w:p>
        </w:tc>
        <w:tc>
          <w:tcPr>
            <w:tcW w:w="1275" w:type="dxa"/>
            <w:noWrap/>
          </w:tcPr>
          <w:p>
            <w:pPr>
              <w:pStyle w:val="yTableNAm"/>
              <w:ind w:left="29"/>
            </w:pPr>
            <w:r>
              <w:t>27.20 per copy</w:t>
            </w:r>
          </w:p>
        </w:tc>
        <w:tc>
          <w:tcPr>
            <w:tcW w:w="1276" w:type="dxa"/>
            <w:noWrap/>
          </w:tcPr>
          <w:p>
            <w:pPr>
              <w:pStyle w:val="yTableNAm"/>
              <w:ind w:left="33"/>
            </w:pPr>
            <w:r>
              <w:t>27.20 per copy</w:t>
            </w:r>
          </w:p>
        </w:tc>
        <w:tc>
          <w:tcPr>
            <w:tcW w:w="1276" w:type="dxa"/>
            <w:noWrap/>
          </w:tcPr>
          <w:p>
            <w:pPr>
              <w:pStyle w:val="yTableNAm"/>
              <w:ind w:left="179"/>
            </w:pPr>
            <w:r>
              <w:t>8.15 per copy</w:t>
            </w:r>
          </w:p>
        </w:tc>
      </w:tr>
      <w:tr>
        <w:trPr>
          <w:cantSplit/>
        </w:trPr>
        <w:tc>
          <w:tcPr>
            <w:tcW w:w="601" w:type="dxa"/>
            <w:noWrap/>
          </w:tcPr>
          <w:p>
            <w:pPr>
              <w:pStyle w:val="yTableNAm"/>
            </w:pPr>
          </w:p>
        </w:tc>
        <w:tc>
          <w:tcPr>
            <w:tcW w:w="2552" w:type="dxa"/>
            <w:noWrap/>
          </w:tcPr>
          <w:p>
            <w:pPr>
              <w:pStyle w:val="yTableNAm"/>
              <w:tabs>
                <w:tab w:val="clear" w:pos="567"/>
                <w:tab w:val="left" w:pos="769"/>
              </w:tabs>
              <w:ind w:left="769" w:hanging="425"/>
            </w:pPr>
            <w:r>
              <w:t>(ii)</w:t>
            </w:r>
            <w:r>
              <w:tab/>
              <w:t xml:space="preserve">paper copy </w:t>
            </w:r>
          </w:p>
        </w:tc>
        <w:tc>
          <w:tcPr>
            <w:tcW w:w="1275" w:type="dxa"/>
            <w:noWrap/>
          </w:tcPr>
          <w:p>
            <w:pPr>
              <w:pStyle w:val="yTableNAm"/>
              <w:ind w:left="29"/>
            </w:pPr>
            <w:r>
              <w:t>2.70 per page</w:t>
            </w:r>
          </w:p>
        </w:tc>
        <w:tc>
          <w:tcPr>
            <w:tcW w:w="1276" w:type="dxa"/>
            <w:noWrap/>
          </w:tcPr>
          <w:p>
            <w:pPr>
              <w:pStyle w:val="yTableNAm"/>
              <w:ind w:left="33"/>
            </w:pPr>
            <w:r>
              <w:t>2.70 per page</w:t>
            </w:r>
          </w:p>
        </w:tc>
        <w:tc>
          <w:tcPr>
            <w:tcW w:w="1276" w:type="dxa"/>
            <w:noWrap/>
          </w:tcPr>
          <w:p>
            <w:pPr>
              <w:pStyle w:val="yTableNAm"/>
              <w:ind w:left="179"/>
            </w:pPr>
            <w:r>
              <w:t>0.80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Height w:val="510"/>
        </w:trPr>
        <w:tc>
          <w:tcPr>
            <w:tcW w:w="601" w:type="dxa"/>
            <w:tcBorders>
              <w:top w:val="nil"/>
              <w:left w:val="nil"/>
              <w:bottom w:val="single" w:sz="4" w:space="0" w:color="auto"/>
              <w:right w:val="nil"/>
            </w:tcBorders>
            <w:noWrap/>
          </w:tcPr>
          <w:p>
            <w:pPr>
              <w:pStyle w:val="yTableNAm"/>
            </w:pPr>
          </w:p>
        </w:tc>
        <w:tc>
          <w:tcPr>
            <w:tcW w:w="6379" w:type="dxa"/>
            <w:gridSpan w:val="4"/>
            <w:tcBorders>
              <w:top w:val="nil"/>
              <w:left w:val="nil"/>
              <w:bottom w:val="single" w:sz="4" w:space="0" w:color="auto"/>
              <w:right w:val="nil"/>
            </w:tcBorders>
            <w:noWrap/>
          </w:tcPr>
          <w:p>
            <w:pPr>
              <w:pStyle w:val="yTableNAm"/>
              <w:rPr>
                <w:rFonts w:ascii="Arial" w:hAnsi="Arial"/>
                <w:sz w:val="18"/>
              </w:rPr>
            </w:pPr>
            <w:r>
              <w:rPr>
                <w:rFonts w:ascii="Arial" w:hAnsi="Arial"/>
                <w:sz w:val="18"/>
              </w:rPr>
              <w:t>Note for this item:</w:t>
            </w:r>
          </w:p>
          <w:p>
            <w:pPr>
              <w:pStyle w:val="yTableNAm"/>
              <w:ind w:left="316"/>
            </w:pPr>
            <w:r>
              <w:rPr>
                <w:rFonts w:ascii="Arial" w:hAnsi="Arial"/>
                <w:sz w:val="18"/>
              </w:rPr>
              <w:t>Fees under this item are payable in the case of an indictable offence dealt with summarily.</w:t>
            </w:r>
          </w:p>
        </w:tc>
      </w:tr>
    </w:tbl>
    <w:p>
      <w:pPr>
        <w:pStyle w:val="yFootnotesection"/>
      </w:pPr>
      <w:bookmarkStart w:id="36" w:name="_Toc106098965"/>
      <w:bookmarkStart w:id="37" w:name="_Toc106109399"/>
      <w:bookmarkStart w:id="38" w:name="_Toc107206750"/>
      <w:r>
        <w:tab/>
        <w:t>[Division 1 inserted: SL 2022/111 r. 20.]</w:t>
      </w:r>
    </w:p>
    <w:p>
      <w:pPr>
        <w:pStyle w:val="yHeading3"/>
      </w:pPr>
      <w:bookmarkStart w:id="39" w:name="_Toc107228125"/>
      <w:bookmarkStart w:id="40" w:name="_Toc107228263"/>
      <w:bookmarkStart w:id="41" w:name="_Toc107306561"/>
      <w:r>
        <w:rPr>
          <w:rStyle w:val="CharSDivNo"/>
        </w:rPr>
        <w:lastRenderedPageBreak/>
        <w:t>Division 2</w:t>
      </w:r>
      <w:r>
        <w:t> — </w:t>
      </w:r>
      <w:r>
        <w:rPr>
          <w:rStyle w:val="CharSDivText"/>
        </w:rPr>
        <w:t>Civil jurisdiction</w:t>
      </w:r>
      <w:bookmarkEnd w:id="36"/>
      <w:bookmarkEnd w:id="37"/>
      <w:bookmarkEnd w:id="38"/>
      <w:bookmarkEnd w:id="39"/>
      <w:bookmarkEnd w:id="40"/>
      <w:bookmarkEnd w:id="41"/>
    </w:p>
    <w:p>
      <w:pPr>
        <w:pStyle w:val="yFootnoteheading"/>
        <w:keepNext/>
        <w:spacing w:after="120"/>
      </w:pPr>
      <w:r>
        <w:tab/>
        <w:t>[Heading inserted: SL 2022/111 r. 20.]</w:t>
      </w:r>
    </w:p>
    <w:tbl>
      <w:tblPr>
        <w:tblW w:w="7003" w:type="dxa"/>
        <w:tblInd w:w="85" w:type="dxa"/>
        <w:tblLayout w:type="fixed"/>
        <w:tblCellMar>
          <w:left w:w="85" w:type="dxa"/>
          <w:right w:w="85" w:type="dxa"/>
        </w:tblCellMar>
        <w:tblLook w:val="0000" w:firstRow="0" w:lastRow="0" w:firstColumn="0" w:lastColumn="0" w:noHBand="0" w:noVBand="0"/>
      </w:tblPr>
      <w:tblGrid>
        <w:gridCol w:w="624"/>
        <w:gridCol w:w="2552"/>
        <w:gridCol w:w="1275"/>
        <w:gridCol w:w="1276"/>
        <w:gridCol w:w="1276"/>
      </w:tblGrid>
      <w:tr>
        <w:trPr>
          <w:cantSplit/>
          <w:tblHeader/>
        </w:trPr>
        <w:tc>
          <w:tcPr>
            <w:tcW w:w="624" w:type="dxa"/>
            <w:tcBorders>
              <w:top w:val="single" w:sz="4" w:space="0" w:color="auto"/>
              <w:bottom w:val="single" w:sz="4" w:space="0" w:color="auto"/>
            </w:tcBorders>
            <w:noWrap/>
          </w:tcPr>
          <w:p>
            <w:pPr>
              <w:pStyle w:val="yTableNAm"/>
              <w:rPr>
                <w:b/>
              </w:rPr>
            </w:pPr>
            <w:r>
              <w:rPr>
                <w:b/>
              </w:rPr>
              <w:t>Item</w:t>
            </w:r>
          </w:p>
        </w:tc>
        <w:tc>
          <w:tcPr>
            <w:tcW w:w="2552" w:type="dxa"/>
            <w:tcBorders>
              <w:top w:val="single" w:sz="4" w:space="0" w:color="auto"/>
              <w:bottom w:val="single" w:sz="4" w:space="0" w:color="auto"/>
            </w:tcBorders>
            <w:noWrap/>
          </w:tcPr>
          <w:p>
            <w:pPr>
              <w:pStyle w:val="yTableNAm"/>
              <w:jc w:val="center"/>
              <w:rPr>
                <w:b/>
              </w:rPr>
            </w:pPr>
            <w:r>
              <w:rPr>
                <w:b/>
              </w:rPr>
              <w:t>Matter</w:t>
            </w:r>
          </w:p>
        </w:tc>
        <w:tc>
          <w:tcPr>
            <w:tcW w:w="1275"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624" w:type="dxa"/>
            <w:tcBorders>
              <w:top w:val="single" w:sz="4" w:space="0" w:color="auto"/>
            </w:tcBorders>
            <w:noWrap/>
          </w:tcPr>
          <w:p>
            <w:pPr>
              <w:pStyle w:val="yTableNAm"/>
            </w:pPr>
            <w:r>
              <w:t>1.</w:t>
            </w:r>
          </w:p>
        </w:tc>
        <w:tc>
          <w:tcPr>
            <w:tcW w:w="2552" w:type="dxa"/>
            <w:tcBorders>
              <w:top w:val="single" w:sz="4" w:space="0" w:color="auto"/>
            </w:tcBorders>
            <w:noWrap/>
          </w:tcPr>
          <w:p>
            <w:pPr>
              <w:pStyle w:val="yTableNAm"/>
            </w:pPr>
            <w:r>
              <w:t xml:space="preserve">On filing any claim or any originating process to commence proceedings in the Court — </w:t>
            </w:r>
          </w:p>
        </w:tc>
        <w:tc>
          <w:tcPr>
            <w:tcW w:w="1275" w:type="dxa"/>
            <w:tcBorders>
              <w:top w:val="single" w:sz="4" w:space="0" w:color="auto"/>
            </w:tcBorders>
            <w:noWrap/>
            <w:vAlign w:val="bottom"/>
          </w:tcPr>
          <w:p>
            <w:pPr>
              <w:pStyle w:val="yTableNAm"/>
              <w:tabs>
                <w:tab w:val="clear" w:pos="567"/>
              </w:tabs>
              <w:ind w:right="284"/>
              <w:jc w:val="right"/>
            </w:pPr>
          </w:p>
        </w:tc>
        <w:tc>
          <w:tcPr>
            <w:tcW w:w="1276" w:type="dxa"/>
            <w:tcBorders>
              <w:top w:val="single" w:sz="4" w:space="0" w:color="auto"/>
            </w:tcBorders>
            <w:noWrap/>
            <w:vAlign w:val="bottom"/>
          </w:tcPr>
          <w:p>
            <w:pPr>
              <w:pStyle w:val="yTableNAm"/>
              <w:tabs>
                <w:tab w:val="clear" w:pos="567"/>
              </w:tabs>
              <w:ind w:right="284"/>
              <w:jc w:val="right"/>
            </w:pPr>
          </w:p>
        </w:tc>
        <w:tc>
          <w:tcPr>
            <w:tcW w:w="1276" w:type="dxa"/>
            <w:tcBorders>
              <w:top w:val="single" w:sz="4" w:space="0" w:color="auto"/>
            </w:tcBorders>
            <w:noWrap/>
            <w:vAlign w:val="bottom"/>
          </w:tcPr>
          <w:p>
            <w:pPr>
              <w:pStyle w:val="yTableNAm"/>
              <w:tabs>
                <w:tab w:val="clear" w:pos="567"/>
              </w:tabs>
              <w:ind w:right="285"/>
              <w:jc w:val="right"/>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22"/>
              </w:rPr>
            </w:pPr>
            <w:r>
              <w:rPr>
                <w:szCs w:val="22"/>
              </w:rPr>
              <w:t>163.50</w:t>
            </w:r>
          </w:p>
        </w:tc>
        <w:tc>
          <w:tcPr>
            <w:tcW w:w="1276" w:type="dxa"/>
            <w:noWrap/>
            <w:vAlign w:val="bottom"/>
          </w:tcPr>
          <w:p>
            <w:pPr>
              <w:pStyle w:val="yTableNAm"/>
              <w:tabs>
                <w:tab w:val="clear" w:pos="567"/>
              </w:tabs>
              <w:ind w:right="284"/>
              <w:jc w:val="right"/>
              <w:rPr>
                <w:szCs w:val="22"/>
              </w:rPr>
            </w:pPr>
            <w:r>
              <w:rPr>
                <w:szCs w:val="22"/>
              </w:rPr>
              <w:t>318.00</w:t>
            </w:r>
          </w:p>
        </w:tc>
        <w:tc>
          <w:tcPr>
            <w:tcW w:w="1276" w:type="dxa"/>
            <w:noWrap/>
            <w:vAlign w:val="bottom"/>
          </w:tcPr>
          <w:p>
            <w:pPr>
              <w:pStyle w:val="yTableNAm"/>
              <w:tabs>
                <w:tab w:val="clear" w:pos="567"/>
              </w:tabs>
              <w:ind w:right="285"/>
              <w:jc w:val="right"/>
              <w:rPr>
                <w:szCs w:val="22"/>
              </w:rPr>
            </w:pPr>
            <w:r>
              <w:rPr>
                <w:szCs w:val="22"/>
              </w:rPr>
              <w:t>49.00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pPr>
            <w:r>
              <w:rPr>
                <w:szCs w:val="18"/>
              </w:rPr>
              <w:t>416.00</w:t>
            </w:r>
          </w:p>
        </w:tc>
        <w:tc>
          <w:tcPr>
            <w:tcW w:w="1276" w:type="dxa"/>
            <w:noWrap/>
            <w:vAlign w:val="bottom"/>
          </w:tcPr>
          <w:p>
            <w:pPr>
              <w:pStyle w:val="yTableNAm"/>
              <w:tabs>
                <w:tab w:val="clear" w:pos="567"/>
              </w:tabs>
              <w:ind w:right="284"/>
              <w:jc w:val="right"/>
            </w:pPr>
            <w:r>
              <w:rPr>
                <w:szCs w:val="18"/>
              </w:rPr>
              <w:t>812.00</w:t>
            </w:r>
          </w:p>
        </w:tc>
        <w:tc>
          <w:tcPr>
            <w:tcW w:w="1276" w:type="dxa"/>
            <w:noWrap/>
            <w:vAlign w:val="bottom"/>
          </w:tcPr>
          <w:p>
            <w:pPr>
              <w:pStyle w:val="yTableNAm"/>
              <w:tabs>
                <w:tab w:val="clear" w:pos="567"/>
              </w:tabs>
              <w:ind w:right="285"/>
              <w:jc w:val="right"/>
              <w:rPr>
                <w:rStyle w:val="DraftersNotes"/>
                <w:b w:val="0"/>
                <w:i w:val="0"/>
                <w:szCs w:val="18"/>
              </w:rPr>
            </w:pPr>
            <w:r>
              <w:rPr>
                <w:szCs w:val="18"/>
              </w:rPr>
              <w:t>100.00</w:t>
            </w:r>
          </w:p>
        </w:tc>
      </w:tr>
      <w:tr>
        <w:trPr>
          <w:cantSplit/>
        </w:trPr>
        <w:tc>
          <w:tcPr>
            <w:tcW w:w="624" w:type="dxa"/>
            <w:noWrap/>
          </w:tcPr>
          <w:p>
            <w:pPr>
              <w:pStyle w:val="yTableNAm"/>
              <w:keepNext/>
            </w:pPr>
          </w:p>
        </w:tc>
        <w:tc>
          <w:tcPr>
            <w:tcW w:w="2552" w:type="dxa"/>
            <w:noWrap/>
          </w:tcPr>
          <w:p>
            <w:pPr>
              <w:pStyle w:val="yTableNAm"/>
              <w:keepNext/>
              <w:tabs>
                <w:tab w:val="clear" w:pos="567"/>
                <w:tab w:val="left" w:pos="351"/>
              </w:tabs>
              <w:ind w:left="351" w:hanging="351"/>
            </w:pPr>
            <w:r>
              <w:t>(c)</w:t>
            </w:r>
            <w:r>
              <w:tab/>
              <w:t>for a claim exceeding $50 000</w:t>
            </w:r>
          </w:p>
        </w:tc>
        <w:tc>
          <w:tcPr>
            <w:tcW w:w="1275" w:type="dxa"/>
            <w:noWrap/>
            <w:vAlign w:val="bottom"/>
          </w:tcPr>
          <w:p>
            <w:pPr>
              <w:pStyle w:val="yTableNAm"/>
              <w:keepNext/>
              <w:tabs>
                <w:tab w:val="clear" w:pos="567"/>
              </w:tabs>
              <w:ind w:right="284"/>
              <w:jc w:val="right"/>
              <w:rPr>
                <w:szCs w:val="18"/>
              </w:rPr>
            </w:pPr>
            <w:r>
              <w:rPr>
                <w:szCs w:val="18"/>
              </w:rPr>
              <w:t>662.00</w:t>
            </w:r>
          </w:p>
        </w:tc>
        <w:tc>
          <w:tcPr>
            <w:tcW w:w="1276" w:type="dxa"/>
            <w:noWrap/>
            <w:vAlign w:val="bottom"/>
          </w:tcPr>
          <w:p>
            <w:pPr>
              <w:pStyle w:val="yTableNAm"/>
              <w:keepNext/>
              <w:tabs>
                <w:tab w:val="clear" w:pos="567"/>
              </w:tabs>
              <w:ind w:right="284"/>
              <w:jc w:val="right"/>
              <w:rPr>
                <w:szCs w:val="18"/>
              </w:rPr>
            </w:pPr>
            <w:r>
              <w:t>1 289.00</w:t>
            </w:r>
          </w:p>
        </w:tc>
        <w:tc>
          <w:tcPr>
            <w:tcW w:w="1276" w:type="dxa"/>
            <w:noWrap/>
            <w:vAlign w:val="bottom"/>
          </w:tcPr>
          <w:p>
            <w:pPr>
              <w:pStyle w:val="yTableNAm"/>
              <w:keepNext/>
              <w:tabs>
                <w:tab w:val="clear" w:pos="567"/>
              </w:tabs>
              <w:ind w:right="285"/>
              <w:jc w:val="right"/>
            </w:pPr>
            <w:r>
              <w:t>100.00</w:t>
            </w:r>
          </w:p>
        </w:tc>
      </w:tr>
      <w:tr>
        <w:trPr>
          <w:cantSplit/>
        </w:trPr>
        <w:tc>
          <w:tcPr>
            <w:tcW w:w="624" w:type="dxa"/>
            <w:noWrap/>
          </w:tcPr>
          <w:p>
            <w:pPr>
              <w:pStyle w:val="yTableNAm"/>
            </w:pPr>
          </w:p>
        </w:tc>
        <w:tc>
          <w:tcPr>
            <w:tcW w:w="6379" w:type="dxa"/>
            <w:gridSpan w:val="4"/>
            <w:noWrap/>
          </w:tcPr>
          <w:p>
            <w:pPr>
              <w:pStyle w:val="yTableNAm"/>
              <w:rPr>
                <w:rFonts w:ascii="Arial" w:hAnsi="Arial"/>
                <w:sz w:val="18"/>
              </w:rPr>
            </w:pPr>
            <w:r>
              <w:rPr>
                <w:rFonts w:ascii="Arial" w:hAnsi="Arial"/>
                <w:sz w:val="18"/>
              </w:rPr>
              <w:t>Note for this item:</w:t>
            </w:r>
          </w:p>
          <w:p>
            <w:pPr>
              <w:pStyle w:val="yTableNAm"/>
              <w:ind w:left="335"/>
            </w:pPr>
            <w:r>
              <w:rPr>
                <w:rFonts w:ascii="Arial" w:hAnsi="Arial"/>
                <w:sz w:val="18"/>
              </w:rPr>
              <w:t>The fee is not payable in respect of applications referred to in item 10 or 11.</w:t>
            </w:r>
          </w:p>
        </w:tc>
      </w:tr>
      <w:tr>
        <w:trPr>
          <w:cantSplit/>
        </w:trPr>
        <w:tc>
          <w:tcPr>
            <w:tcW w:w="624" w:type="dxa"/>
            <w:noWrap/>
          </w:tcPr>
          <w:p>
            <w:pPr>
              <w:pStyle w:val="yTableNAm"/>
            </w:pPr>
            <w:r>
              <w:t>2.</w:t>
            </w:r>
          </w:p>
        </w:tc>
        <w:tc>
          <w:tcPr>
            <w:tcW w:w="2552" w:type="dxa"/>
            <w:noWrap/>
          </w:tcPr>
          <w:p>
            <w:pPr>
              <w:pStyle w:val="yTableNAm"/>
            </w:pPr>
            <w:r>
              <w:t>On filing a counterclaim, a set</w:t>
            </w:r>
            <w:r>
              <w:noBreakHyphen/>
              <w:t xml:space="preserve">off, a third party claim or any other application for which no fee has been provided in this Division — </w:t>
            </w:r>
          </w:p>
        </w:tc>
        <w:tc>
          <w:tcPr>
            <w:tcW w:w="1275" w:type="dxa"/>
            <w:noWrap/>
          </w:tcPr>
          <w:p>
            <w:pPr>
              <w:pStyle w:val="yTableNAm"/>
              <w:tabs>
                <w:tab w:val="clear" w:pos="567"/>
              </w:tabs>
              <w:ind w:right="284"/>
              <w:jc w:val="right"/>
              <w:rPr>
                <w:szCs w:val="18"/>
              </w:rPr>
            </w:pPr>
          </w:p>
        </w:tc>
        <w:tc>
          <w:tcPr>
            <w:tcW w:w="1276" w:type="dxa"/>
            <w:noWrap/>
          </w:tcPr>
          <w:p>
            <w:pPr>
              <w:pStyle w:val="yTableNAm"/>
              <w:tabs>
                <w:tab w:val="clear" w:pos="567"/>
              </w:tabs>
              <w:ind w:right="284"/>
              <w:jc w:val="right"/>
            </w:pPr>
          </w:p>
        </w:tc>
        <w:tc>
          <w:tcPr>
            <w:tcW w:w="1276" w:type="dxa"/>
            <w:noWrap/>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106.00</w:t>
            </w:r>
          </w:p>
        </w:tc>
        <w:tc>
          <w:tcPr>
            <w:tcW w:w="1276" w:type="dxa"/>
            <w:noWrap/>
            <w:vAlign w:val="bottom"/>
          </w:tcPr>
          <w:p>
            <w:pPr>
              <w:pStyle w:val="yTableNAm"/>
              <w:tabs>
                <w:tab w:val="clear" w:pos="567"/>
              </w:tabs>
              <w:ind w:right="284"/>
              <w:jc w:val="right"/>
            </w:pPr>
            <w:r>
              <w:t>207.00</w:t>
            </w:r>
          </w:p>
        </w:tc>
        <w:tc>
          <w:tcPr>
            <w:tcW w:w="1276" w:type="dxa"/>
            <w:noWrap/>
            <w:vAlign w:val="bottom"/>
          </w:tcPr>
          <w:p>
            <w:pPr>
              <w:pStyle w:val="yTableNAm"/>
              <w:tabs>
                <w:tab w:val="clear" w:pos="567"/>
              </w:tabs>
              <w:ind w:right="285"/>
              <w:jc w:val="right"/>
              <w:rPr>
                <w:szCs w:val="18"/>
              </w:rPr>
            </w:pPr>
            <w:r>
              <w:rPr>
                <w:szCs w:val="18"/>
              </w:rPr>
              <w:t>31.80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194.50</w:t>
            </w:r>
          </w:p>
        </w:tc>
        <w:tc>
          <w:tcPr>
            <w:tcW w:w="1276" w:type="dxa"/>
            <w:noWrap/>
            <w:vAlign w:val="bottom"/>
          </w:tcPr>
          <w:p>
            <w:pPr>
              <w:pStyle w:val="yTableNAm"/>
              <w:tabs>
                <w:tab w:val="clear" w:pos="567"/>
              </w:tabs>
              <w:ind w:right="284"/>
              <w:jc w:val="right"/>
            </w:pPr>
            <w:r>
              <w:t>321.00</w:t>
            </w:r>
          </w:p>
        </w:tc>
        <w:tc>
          <w:tcPr>
            <w:tcW w:w="1276" w:type="dxa"/>
            <w:noWrap/>
            <w:vAlign w:val="bottom"/>
          </w:tcPr>
          <w:p>
            <w:pPr>
              <w:pStyle w:val="yTableNAm"/>
              <w:tabs>
                <w:tab w:val="clear" w:pos="567"/>
              </w:tabs>
              <w:ind w:right="285"/>
              <w:jc w:val="right"/>
              <w:rPr>
                <w:szCs w:val="18"/>
              </w:rPr>
            </w:pPr>
            <w:r>
              <w:rPr>
                <w:szCs w:val="18"/>
              </w:rPr>
              <w:t>58.50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r>
              <w:rPr>
                <w:szCs w:val="18"/>
              </w:rPr>
              <w:t>309.00</w:t>
            </w:r>
          </w:p>
        </w:tc>
        <w:tc>
          <w:tcPr>
            <w:tcW w:w="1276" w:type="dxa"/>
            <w:noWrap/>
            <w:vAlign w:val="bottom"/>
          </w:tcPr>
          <w:p>
            <w:pPr>
              <w:pStyle w:val="yTableNAm"/>
              <w:tabs>
                <w:tab w:val="clear" w:pos="567"/>
              </w:tabs>
              <w:ind w:right="284"/>
              <w:jc w:val="right"/>
            </w:pPr>
            <w:r>
              <w:t>516.00</w:t>
            </w:r>
          </w:p>
        </w:tc>
        <w:tc>
          <w:tcPr>
            <w:tcW w:w="1276" w:type="dxa"/>
            <w:noWrap/>
            <w:vAlign w:val="bottom"/>
          </w:tcPr>
          <w:p>
            <w:pPr>
              <w:pStyle w:val="yTableNAm"/>
              <w:tabs>
                <w:tab w:val="clear" w:pos="567"/>
              </w:tabs>
              <w:ind w:right="285"/>
              <w:jc w:val="right"/>
              <w:rPr>
                <w:szCs w:val="18"/>
              </w:rPr>
            </w:pPr>
            <w:r>
              <w:rPr>
                <w:szCs w:val="18"/>
              </w:rPr>
              <w:t>92.50</w:t>
            </w:r>
          </w:p>
        </w:tc>
      </w:tr>
      <w:tr>
        <w:trPr>
          <w:cantSplit/>
        </w:trPr>
        <w:tc>
          <w:tcPr>
            <w:tcW w:w="624" w:type="dxa"/>
            <w:noWrap/>
          </w:tcPr>
          <w:p>
            <w:pPr>
              <w:pStyle w:val="yTableNAm"/>
            </w:pPr>
            <w:r>
              <w:t>3.</w:t>
            </w:r>
          </w:p>
        </w:tc>
        <w:tc>
          <w:tcPr>
            <w:tcW w:w="2552" w:type="dxa"/>
            <w:noWrap/>
          </w:tcPr>
          <w:p>
            <w:pPr>
              <w:pStyle w:val="yTableNAm"/>
            </w:pPr>
            <w:r>
              <w:t xml:space="preserve">On commencing an appeal — </w:t>
            </w:r>
          </w:p>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54.50</w:t>
            </w:r>
          </w:p>
        </w:tc>
        <w:tc>
          <w:tcPr>
            <w:tcW w:w="1276" w:type="dxa"/>
            <w:noWrap/>
            <w:vAlign w:val="bottom"/>
          </w:tcPr>
          <w:p>
            <w:pPr>
              <w:pStyle w:val="yTableNAm"/>
              <w:tabs>
                <w:tab w:val="clear" w:pos="567"/>
              </w:tabs>
              <w:ind w:right="284"/>
              <w:jc w:val="right"/>
            </w:pPr>
            <w:r>
              <w:t>140.50</w:t>
            </w:r>
          </w:p>
        </w:tc>
        <w:tc>
          <w:tcPr>
            <w:tcW w:w="1276" w:type="dxa"/>
            <w:noWrap/>
            <w:vAlign w:val="bottom"/>
          </w:tcPr>
          <w:p>
            <w:pPr>
              <w:pStyle w:val="yTableNAm"/>
              <w:tabs>
                <w:tab w:val="clear" w:pos="567"/>
              </w:tabs>
              <w:ind w:right="285"/>
              <w:jc w:val="right"/>
              <w:rPr>
                <w:szCs w:val="18"/>
              </w:rPr>
            </w:pPr>
            <w:r>
              <w:rPr>
                <w:szCs w:val="18"/>
              </w:rPr>
              <w:t>16.35</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82.00</w:t>
            </w:r>
          </w:p>
        </w:tc>
        <w:tc>
          <w:tcPr>
            <w:tcW w:w="1276" w:type="dxa"/>
            <w:noWrap/>
            <w:vAlign w:val="bottom"/>
          </w:tcPr>
          <w:p>
            <w:pPr>
              <w:pStyle w:val="yTableNAm"/>
              <w:tabs>
                <w:tab w:val="clear" w:pos="567"/>
              </w:tabs>
              <w:ind w:right="284"/>
              <w:jc w:val="right"/>
            </w:pPr>
            <w:r>
              <w:t>214.00</w:t>
            </w:r>
          </w:p>
        </w:tc>
        <w:tc>
          <w:tcPr>
            <w:tcW w:w="1276" w:type="dxa"/>
            <w:noWrap/>
            <w:vAlign w:val="bottom"/>
          </w:tcPr>
          <w:p>
            <w:pPr>
              <w:pStyle w:val="yTableNAm"/>
              <w:tabs>
                <w:tab w:val="clear" w:pos="567"/>
              </w:tabs>
              <w:ind w:right="285"/>
              <w:jc w:val="right"/>
              <w:rPr>
                <w:szCs w:val="18"/>
              </w:rPr>
            </w:pPr>
            <w:r>
              <w:rPr>
                <w:szCs w:val="18"/>
              </w:rPr>
              <w:t>24.60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r>
              <w:rPr>
                <w:szCs w:val="18"/>
              </w:rPr>
              <w:t>109.50</w:t>
            </w:r>
          </w:p>
        </w:tc>
        <w:tc>
          <w:tcPr>
            <w:tcW w:w="1276" w:type="dxa"/>
            <w:noWrap/>
            <w:vAlign w:val="bottom"/>
          </w:tcPr>
          <w:p>
            <w:pPr>
              <w:pStyle w:val="yTableNAm"/>
              <w:tabs>
                <w:tab w:val="clear" w:pos="567"/>
              </w:tabs>
              <w:ind w:right="284"/>
              <w:jc w:val="right"/>
            </w:pPr>
            <w:r>
              <w:t>288.00</w:t>
            </w:r>
          </w:p>
        </w:tc>
        <w:tc>
          <w:tcPr>
            <w:tcW w:w="1276" w:type="dxa"/>
            <w:noWrap/>
            <w:vAlign w:val="bottom"/>
          </w:tcPr>
          <w:p>
            <w:pPr>
              <w:pStyle w:val="yTableNAm"/>
              <w:tabs>
                <w:tab w:val="clear" w:pos="567"/>
              </w:tabs>
              <w:ind w:right="285"/>
              <w:jc w:val="right"/>
              <w:rPr>
                <w:szCs w:val="18"/>
              </w:rPr>
            </w:pPr>
            <w:r>
              <w:rPr>
                <w:szCs w:val="18"/>
              </w:rPr>
              <w:t>32.90</w:t>
            </w:r>
          </w:p>
        </w:tc>
      </w:tr>
      <w:tr>
        <w:trPr>
          <w:cantSplit/>
        </w:trPr>
        <w:tc>
          <w:tcPr>
            <w:tcW w:w="624" w:type="dxa"/>
            <w:noWrap/>
          </w:tcPr>
          <w:p>
            <w:pPr>
              <w:pStyle w:val="yTableNAm"/>
            </w:pPr>
            <w:r>
              <w:t>4.</w:t>
            </w:r>
          </w:p>
        </w:tc>
        <w:tc>
          <w:tcPr>
            <w:tcW w:w="2552" w:type="dxa"/>
            <w:noWrap/>
          </w:tcPr>
          <w:p>
            <w:pPr>
              <w:pStyle w:val="yTableNAm"/>
            </w:pPr>
            <w:r>
              <w:t xml:space="preserve">Application for hearing — </w:t>
            </w:r>
          </w:p>
        </w:tc>
        <w:tc>
          <w:tcPr>
            <w:tcW w:w="1275" w:type="dxa"/>
            <w:noWrap/>
            <w:vAlign w:val="bottom"/>
          </w:tcPr>
          <w:p>
            <w:pPr>
              <w:pStyle w:val="yTableNAm"/>
              <w:tabs>
                <w:tab w:val="clear" w:pos="567"/>
              </w:tabs>
              <w:ind w:right="284"/>
              <w:jc w:val="right"/>
              <w:rPr>
                <w:szCs w:val="18"/>
              </w:rPr>
            </w:pPr>
          </w:p>
        </w:tc>
        <w:tc>
          <w:tcPr>
            <w:tcW w:w="1276"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258.00</w:t>
            </w:r>
          </w:p>
        </w:tc>
        <w:tc>
          <w:tcPr>
            <w:tcW w:w="1276" w:type="dxa"/>
            <w:noWrap/>
            <w:vAlign w:val="bottom"/>
          </w:tcPr>
          <w:p>
            <w:pPr>
              <w:pStyle w:val="yTableNAm"/>
              <w:tabs>
                <w:tab w:val="clear" w:pos="567"/>
              </w:tabs>
              <w:ind w:right="284"/>
              <w:jc w:val="right"/>
            </w:pPr>
            <w:r>
              <w:t>503.00</w:t>
            </w:r>
          </w:p>
        </w:tc>
        <w:tc>
          <w:tcPr>
            <w:tcW w:w="1276" w:type="dxa"/>
            <w:noWrap/>
            <w:vAlign w:val="bottom"/>
          </w:tcPr>
          <w:p>
            <w:pPr>
              <w:pStyle w:val="yTableNAm"/>
              <w:tabs>
                <w:tab w:val="clear" w:pos="567"/>
              </w:tabs>
              <w:ind w:right="285"/>
              <w:jc w:val="right"/>
              <w:rPr>
                <w:szCs w:val="18"/>
              </w:rPr>
            </w:pPr>
            <w:r>
              <w:rPr>
                <w:szCs w:val="18"/>
              </w:rPr>
              <w:t>77.50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471.00</w:t>
            </w:r>
          </w:p>
        </w:tc>
        <w:tc>
          <w:tcPr>
            <w:tcW w:w="1276" w:type="dxa"/>
            <w:noWrap/>
            <w:vAlign w:val="bottom"/>
          </w:tcPr>
          <w:p>
            <w:pPr>
              <w:pStyle w:val="yTableNAm"/>
              <w:tabs>
                <w:tab w:val="clear" w:pos="567"/>
              </w:tabs>
              <w:ind w:right="284"/>
              <w:jc w:val="right"/>
            </w:pPr>
            <w:r>
              <w:t>908.00</w:t>
            </w:r>
          </w:p>
        </w:tc>
        <w:tc>
          <w:tcPr>
            <w:tcW w:w="1276" w:type="dxa"/>
            <w:noWrap/>
            <w:vAlign w:val="bottom"/>
          </w:tcPr>
          <w:p>
            <w:pPr>
              <w:pStyle w:val="yTableNAm"/>
              <w:tabs>
                <w:tab w:val="clear" w:pos="567"/>
              </w:tabs>
              <w:ind w:right="285"/>
              <w:jc w:val="right"/>
              <w:rPr>
                <w:szCs w:val="18"/>
              </w:rPr>
            </w:pPr>
            <w:r>
              <w:rPr>
                <w:szCs w:val="18"/>
              </w:rPr>
              <w:t>100.00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r>
              <w:rPr>
                <w:szCs w:val="18"/>
              </w:rPr>
              <w:t>523.00</w:t>
            </w:r>
          </w:p>
        </w:tc>
        <w:tc>
          <w:tcPr>
            <w:tcW w:w="1276" w:type="dxa"/>
            <w:noWrap/>
            <w:vAlign w:val="bottom"/>
          </w:tcPr>
          <w:p>
            <w:pPr>
              <w:pStyle w:val="yTableNAm"/>
              <w:tabs>
                <w:tab w:val="clear" w:pos="567"/>
              </w:tabs>
              <w:ind w:right="284"/>
              <w:jc w:val="right"/>
            </w:pPr>
            <w:r>
              <w:t>1 015.00</w:t>
            </w:r>
          </w:p>
        </w:tc>
        <w:tc>
          <w:tcPr>
            <w:tcW w:w="1276" w:type="dxa"/>
            <w:noWrap/>
            <w:vAlign w:val="bottom"/>
          </w:tcPr>
          <w:p>
            <w:pPr>
              <w:pStyle w:val="yTableNAm"/>
              <w:tabs>
                <w:tab w:val="clear" w:pos="567"/>
              </w:tabs>
              <w:ind w:right="285"/>
              <w:jc w:val="right"/>
              <w:rPr>
                <w:szCs w:val="18"/>
              </w:rPr>
            </w:pPr>
            <w:r>
              <w:rPr>
                <w:szCs w:val="18"/>
              </w:rPr>
              <w:t>100.00</w:t>
            </w:r>
          </w:p>
        </w:tc>
      </w:tr>
      <w:tr>
        <w:trPr>
          <w:cantSplit/>
          <w:trHeight w:val="1247"/>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applications for hearing of matters dealt with under the minor cases procedure, residential tenancies proceedings, applications referred to in item 10 or 11 or for relisting a hearing, or if the proceedings are of an interlocutory nature only.</w:t>
            </w:r>
          </w:p>
        </w:tc>
      </w:tr>
      <w:tr>
        <w:trPr>
          <w:cantSplit/>
          <w:trHeight w:val="283"/>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in respect of listing an appeal for hearing.</w:t>
            </w:r>
          </w:p>
        </w:tc>
      </w:tr>
      <w:tr>
        <w:trPr>
          <w:cantSplit/>
          <w:trHeight w:val="737"/>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No fee is payable by the defendant for applications for hearing of a set</w:t>
            </w:r>
            <w:r>
              <w:rPr>
                <w:rFonts w:ascii="Arial" w:hAnsi="Arial" w:cs="Arial"/>
                <w:sz w:val="18"/>
                <w:szCs w:val="18"/>
              </w:rPr>
              <w:noBreakHyphen/>
              <w:t>off or counterclaim providing this fee has been paid previously by the applicant.</w:t>
            </w:r>
          </w:p>
        </w:tc>
      </w:tr>
      <w:tr>
        <w:trPr>
          <w:cantSplit/>
          <w:trHeight w:val="510"/>
        </w:trPr>
        <w:tc>
          <w:tcPr>
            <w:tcW w:w="624" w:type="dxa"/>
            <w:noWrap/>
          </w:tcPr>
          <w:p>
            <w:pPr>
              <w:pStyle w:val="yTableNAm"/>
              <w:keepNext/>
            </w:pPr>
          </w:p>
        </w:tc>
        <w:tc>
          <w:tcPr>
            <w:tcW w:w="6379" w:type="dxa"/>
            <w:gridSpan w:val="4"/>
            <w:noWrap/>
          </w:tcPr>
          <w:p>
            <w:pPr>
              <w:pStyle w:val="yTableNAm"/>
              <w:keepNext/>
              <w:tabs>
                <w:tab w:val="clear" w:pos="567"/>
                <w:tab w:val="left" w:pos="335"/>
              </w:tabs>
              <w:spacing w:before="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Includes pre</w:t>
            </w:r>
            <w:r>
              <w:rPr>
                <w:rFonts w:ascii="Arial" w:hAnsi="Arial" w:cs="Arial"/>
                <w:sz w:val="18"/>
                <w:szCs w:val="18"/>
              </w:rPr>
              <w:noBreakHyphen/>
              <w:t>trial conference, mediation conference, directions hearing and listing conference.</w:t>
            </w:r>
          </w:p>
        </w:tc>
      </w:tr>
      <w:tr>
        <w:trPr>
          <w:cantSplit/>
        </w:trPr>
        <w:tc>
          <w:tcPr>
            <w:tcW w:w="624" w:type="dxa"/>
            <w:noWrap/>
          </w:tcPr>
          <w:p>
            <w:pPr>
              <w:pStyle w:val="yTableNAm"/>
            </w:pPr>
            <w:r>
              <w:t>5.</w:t>
            </w:r>
          </w:p>
        </w:tc>
        <w:tc>
          <w:tcPr>
            <w:tcW w:w="2552" w:type="dxa"/>
            <w:noWrap/>
          </w:tcPr>
          <w:p>
            <w:pPr>
              <w:pStyle w:val="yTableNAm"/>
            </w:pPr>
            <w:r>
              <w:t xml:space="preserve">For allocation of a date or dates of hearing of an application, appeal or proceedings, for each half day allocated — </w:t>
            </w:r>
          </w:p>
        </w:tc>
        <w:tc>
          <w:tcPr>
            <w:tcW w:w="1275" w:type="dxa"/>
            <w:noWrap/>
            <w:vAlign w:val="bottom"/>
          </w:tcPr>
          <w:p>
            <w:pPr>
              <w:pStyle w:val="yTableNAm"/>
              <w:tabs>
                <w:tab w:val="clear" w:pos="567"/>
              </w:tabs>
              <w:ind w:right="284"/>
              <w:jc w:val="right"/>
              <w:rPr>
                <w:szCs w:val="18"/>
              </w:rPr>
            </w:pPr>
          </w:p>
        </w:tc>
        <w:tc>
          <w:tcPr>
            <w:tcW w:w="1276"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148.50</w:t>
            </w:r>
          </w:p>
        </w:tc>
        <w:tc>
          <w:tcPr>
            <w:tcW w:w="1276" w:type="dxa"/>
            <w:noWrap/>
            <w:vAlign w:val="bottom"/>
          </w:tcPr>
          <w:p>
            <w:pPr>
              <w:pStyle w:val="yTableNAm"/>
              <w:tabs>
                <w:tab w:val="clear" w:pos="567"/>
              </w:tabs>
              <w:ind w:right="284"/>
              <w:jc w:val="right"/>
            </w:pPr>
            <w:r>
              <w:t>390.00</w:t>
            </w:r>
          </w:p>
        </w:tc>
        <w:tc>
          <w:tcPr>
            <w:tcW w:w="1276" w:type="dxa"/>
            <w:noWrap/>
            <w:vAlign w:val="bottom"/>
          </w:tcPr>
          <w:p>
            <w:pPr>
              <w:pStyle w:val="yTableNAm"/>
              <w:tabs>
                <w:tab w:val="clear" w:pos="567"/>
              </w:tabs>
              <w:ind w:right="285"/>
              <w:jc w:val="right"/>
              <w:rPr>
                <w:szCs w:val="18"/>
              </w:rPr>
            </w:pPr>
            <w:r>
              <w:rPr>
                <w:szCs w:val="18"/>
              </w:rPr>
              <w:t>44.50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263.00</w:t>
            </w:r>
          </w:p>
        </w:tc>
        <w:tc>
          <w:tcPr>
            <w:tcW w:w="1276" w:type="dxa"/>
            <w:noWrap/>
            <w:vAlign w:val="bottom"/>
          </w:tcPr>
          <w:p>
            <w:pPr>
              <w:pStyle w:val="yTableNAm"/>
              <w:tabs>
                <w:tab w:val="clear" w:pos="567"/>
              </w:tabs>
              <w:ind w:right="284"/>
              <w:jc w:val="right"/>
            </w:pPr>
            <w:r>
              <w:t>680.00</w:t>
            </w:r>
          </w:p>
        </w:tc>
        <w:tc>
          <w:tcPr>
            <w:tcW w:w="1276" w:type="dxa"/>
            <w:noWrap/>
            <w:vAlign w:val="bottom"/>
          </w:tcPr>
          <w:p>
            <w:pPr>
              <w:pStyle w:val="yTableNAm"/>
              <w:tabs>
                <w:tab w:val="clear" w:pos="567"/>
              </w:tabs>
              <w:ind w:right="285"/>
              <w:jc w:val="right"/>
              <w:rPr>
                <w:szCs w:val="18"/>
              </w:rPr>
            </w:pPr>
            <w:r>
              <w:rPr>
                <w:szCs w:val="18"/>
              </w:rPr>
              <w:t>79.00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r>
              <w:rPr>
                <w:szCs w:val="18"/>
              </w:rPr>
              <w:t>376.00</w:t>
            </w:r>
          </w:p>
        </w:tc>
        <w:tc>
          <w:tcPr>
            <w:tcW w:w="1276" w:type="dxa"/>
            <w:noWrap/>
            <w:vAlign w:val="bottom"/>
          </w:tcPr>
          <w:p>
            <w:pPr>
              <w:pStyle w:val="yTableNAm"/>
              <w:tabs>
                <w:tab w:val="clear" w:pos="567"/>
              </w:tabs>
              <w:ind w:right="284"/>
              <w:jc w:val="right"/>
            </w:pPr>
            <w:r>
              <w:t>969.00</w:t>
            </w:r>
          </w:p>
        </w:tc>
        <w:tc>
          <w:tcPr>
            <w:tcW w:w="1276" w:type="dxa"/>
            <w:noWrap/>
            <w:vAlign w:val="bottom"/>
          </w:tcPr>
          <w:p>
            <w:pPr>
              <w:pStyle w:val="yTableNAm"/>
              <w:tabs>
                <w:tab w:val="clear" w:pos="567"/>
              </w:tabs>
              <w:ind w:right="285"/>
              <w:jc w:val="right"/>
              <w:rPr>
                <w:szCs w:val="18"/>
              </w:rPr>
            </w:pPr>
            <w:r>
              <w:rPr>
                <w:szCs w:val="18"/>
              </w:rPr>
              <w:t>100.00</w:t>
            </w:r>
          </w:p>
        </w:tc>
      </w:tr>
      <w:tr>
        <w:trPr>
          <w:cantSplit/>
          <w:trHeight w:val="1020"/>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361"/>
        </w:trPr>
        <w:tc>
          <w:tcPr>
            <w:tcW w:w="624" w:type="dxa"/>
            <w:noWrap/>
          </w:tcPr>
          <w:p>
            <w:pPr>
              <w:pStyle w:val="yTableNAm"/>
              <w:spacing w:before="60"/>
            </w:pPr>
          </w:p>
        </w:tc>
        <w:tc>
          <w:tcPr>
            <w:tcW w:w="6379" w:type="dxa"/>
            <w:gridSpan w:val="4"/>
            <w:noWrap/>
            <w:vAlign w:val="center"/>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trPr>
          <w:cantSplit/>
          <w:trHeight w:val="680"/>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determined on the basis that the days allocated for a hearing are the number of days determined by the Court at a listing conference.</w:t>
            </w:r>
          </w:p>
        </w:tc>
      </w:tr>
      <w:tr>
        <w:trPr>
          <w:cantSplit/>
          <w:trHeight w:val="957"/>
        </w:trPr>
        <w:tc>
          <w:tcPr>
            <w:tcW w:w="624" w:type="dxa"/>
            <w:noWrap/>
          </w:tcPr>
          <w:p>
            <w:pPr>
              <w:pStyle w:val="yTableNAm"/>
            </w:pPr>
          </w:p>
        </w:tc>
        <w:tc>
          <w:tcPr>
            <w:tcW w:w="6379" w:type="dxa"/>
            <w:gridSpan w:val="4"/>
            <w:noWrap/>
            <w:vAlign w:val="center"/>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trPr>
          <w:cantSplit/>
          <w:trHeight w:val="1566"/>
        </w:trPr>
        <w:tc>
          <w:tcPr>
            <w:tcW w:w="624" w:type="dxa"/>
            <w:noWrap/>
          </w:tcPr>
          <w:p>
            <w:pPr>
              <w:pStyle w:val="yTableNAm"/>
            </w:pPr>
          </w:p>
        </w:tc>
        <w:tc>
          <w:tcPr>
            <w:tcW w:w="6379" w:type="dxa"/>
            <w:gridSpan w:val="4"/>
            <w:noWrap/>
            <w:vAlign w:val="center"/>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5.</w:t>
            </w:r>
            <w:r>
              <w:rPr>
                <w:rFonts w:ascii="Arial" w:hAnsi="Arial" w:cs="Arial"/>
                <w:sz w:val="18"/>
                <w:szCs w:val="18"/>
              </w:rPr>
              <w:tab/>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624" w:type="dxa"/>
            <w:noWrap/>
          </w:tcPr>
          <w:p>
            <w:pPr>
              <w:pStyle w:val="yTableNAm"/>
            </w:pPr>
            <w:r>
              <w:t>6.</w:t>
            </w:r>
          </w:p>
        </w:tc>
        <w:tc>
          <w:tcPr>
            <w:tcW w:w="2552" w:type="dxa"/>
            <w:noWrap/>
          </w:tcPr>
          <w:p>
            <w:pPr>
              <w:pStyle w:val="yTableNAm"/>
            </w:pPr>
            <w:r>
              <w:t xml:space="preserve">Half daily hearing fee before the Court constituted by a magistrate — </w:t>
            </w:r>
          </w:p>
        </w:tc>
        <w:tc>
          <w:tcPr>
            <w:tcW w:w="1275" w:type="dxa"/>
            <w:noWrap/>
            <w:vAlign w:val="bottom"/>
          </w:tcPr>
          <w:p>
            <w:pPr>
              <w:pStyle w:val="yTableNAm"/>
            </w:pPr>
          </w:p>
        </w:tc>
        <w:tc>
          <w:tcPr>
            <w:tcW w:w="1276" w:type="dxa"/>
            <w:noWrap/>
            <w:vAlign w:val="bottom"/>
          </w:tcPr>
          <w:p>
            <w:pPr>
              <w:pStyle w:val="yTableNAm"/>
            </w:pPr>
          </w:p>
        </w:tc>
        <w:tc>
          <w:tcPr>
            <w:tcW w:w="1276" w:type="dxa"/>
            <w:noWrap/>
            <w:vAlign w:val="bottom"/>
          </w:tcPr>
          <w:p>
            <w:pPr>
              <w:pStyle w:val="yTableNAm"/>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148.50</w:t>
            </w:r>
          </w:p>
        </w:tc>
        <w:tc>
          <w:tcPr>
            <w:tcW w:w="1276" w:type="dxa"/>
            <w:noWrap/>
            <w:vAlign w:val="bottom"/>
          </w:tcPr>
          <w:p>
            <w:pPr>
              <w:pStyle w:val="yTableNAm"/>
              <w:tabs>
                <w:tab w:val="clear" w:pos="567"/>
              </w:tabs>
              <w:ind w:right="284"/>
              <w:jc w:val="right"/>
            </w:pPr>
            <w:r>
              <w:t>390.00</w:t>
            </w:r>
          </w:p>
        </w:tc>
        <w:tc>
          <w:tcPr>
            <w:tcW w:w="1276" w:type="dxa"/>
            <w:noWrap/>
            <w:vAlign w:val="bottom"/>
          </w:tcPr>
          <w:p>
            <w:pPr>
              <w:pStyle w:val="yTableNAm"/>
              <w:tabs>
                <w:tab w:val="clear" w:pos="567"/>
              </w:tabs>
              <w:ind w:right="285"/>
              <w:jc w:val="right"/>
              <w:rPr>
                <w:szCs w:val="18"/>
              </w:rPr>
            </w:pPr>
            <w:r>
              <w:rPr>
                <w:szCs w:val="18"/>
              </w:rPr>
              <w:t>44.50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263.00</w:t>
            </w:r>
          </w:p>
        </w:tc>
        <w:tc>
          <w:tcPr>
            <w:tcW w:w="1276" w:type="dxa"/>
            <w:noWrap/>
            <w:vAlign w:val="bottom"/>
          </w:tcPr>
          <w:p>
            <w:pPr>
              <w:pStyle w:val="yTableNAm"/>
              <w:tabs>
                <w:tab w:val="clear" w:pos="567"/>
              </w:tabs>
              <w:ind w:right="284"/>
              <w:jc w:val="right"/>
            </w:pPr>
            <w:r>
              <w:t>680.00</w:t>
            </w:r>
          </w:p>
        </w:tc>
        <w:tc>
          <w:tcPr>
            <w:tcW w:w="1276" w:type="dxa"/>
            <w:noWrap/>
            <w:vAlign w:val="bottom"/>
          </w:tcPr>
          <w:p>
            <w:pPr>
              <w:pStyle w:val="yTableNAm"/>
              <w:tabs>
                <w:tab w:val="clear" w:pos="567"/>
              </w:tabs>
              <w:ind w:right="285"/>
              <w:jc w:val="right"/>
              <w:rPr>
                <w:szCs w:val="18"/>
              </w:rPr>
            </w:pPr>
            <w:r>
              <w:rPr>
                <w:szCs w:val="18"/>
              </w:rPr>
              <w:t>79.00</w:t>
            </w:r>
          </w:p>
        </w:tc>
      </w:tr>
      <w:tr>
        <w:trPr>
          <w:cantSplit/>
        </w:trPr>
        <w:tc>
          <w:tcPr>
            <w:tcW w:w="624" w:type="dxa"/>
            <w:noWrap/>
          </w:tcPr>
          <w:p>
            <w:pPr>
              <w:pStyle w:val="yTableNAm"/>
              <w:keepNext/>
            </w:pPr>
          </w:p>
        </w:tc>
        <w:tc>
          <w:tcPr>
            <w:tcW w:w="2552" w:type="dxa"/>
            <w:noWrap/>
          </w:tcPr>
          <w:p>
            <w:pPr>
              <w:pStyle w:val="yTableNAm"/>
              <w:keepNext/>
              <w:tabs>
                <w:tab w:val="clear" w:pos="567"/>
                <w:tab w:val="left" w:pos="351"/>
              </w:tabs>
              <w:ind w:left="351" w:hanging="351"/>
            </w:pPr>
            <w:r>
              <w:t>(c)</w:t>
            </w:r>
            <w:r>
              <w:tab/>
              <w:t>for a claim exceeding $50 000</w:t>
            </w:r>
          </w:p>
        </w:tc>
        <w:tc>
          <w:tcPr>
            <w:tcW w:w="1275" w:type="dxa"/>
            <w:noWrap/>
            <w:vAlign w:val="bottom"/>
          </w:tcPr>
          <w:p>
            <w:pPr>
              <w:pStyle w:val="yTableNAm"/>
              <w:keepNext/>
              <w:tabs>
                <w:tab w:val="clear" w:pos="567"/>
              </w:tabs>
              <w:ind w:right="284"/>
              <w:jc w:val="right"/>
              <w:rPr>
                <w:szCs w:val="18"/>
              </w:rPr>
            </w:pPr>
            <w:r>
              <w:rPr>
                <w:szCs w:val="18"/>
              </w:rPr>
              <w:t>376.00</w:t>
            </w:r>
          </w:p>
        </w:tc>
        <w:tc>
          <w:tcPr>
            <w:tcW w:w="1276" w:type="dxa"/>
            <w:noWrap/>
            <w:vAlign w:val="bottom"/>
          </w:tcPr>
          <w:p>
            <w:pPr>
              <w:pStyle w:val="yTableNAm"/>
              <w:keepNext/>
              <w:tabs>
                <w:tab w:val="clear" w:pos="567"/>
              </w:tabs>
              <w:ind w:right="284"/>
              <w:jc w:val="right"/>
            </w:pPr>
            <w:r>
              <w:t>969.00</w:t>
            </w:r>
          </w:p>
        </w:tc>
        <w:tc>
          <w:tcPr>
            <w:tcW w:w="1276" w:type="dxa"/>
            <w:noWrap/>
            <w:vAlign w:val="bottom"/>
          </w:tcPr>
          <w:p>
            <w:pPr>
              <w:pStyle w:val="yTableNAm"/>
              <w:keepNext/>
              <w:tabs>
                <w:tab w:val="clear" w:pos="567"/>
              </w:tabs>
              <w:ind w:right="285"/>
              <w:jc w:val="right"/>
              <w:rPr>
                <w:szCs w:val="18"/>
              </w:rPr>
            </w:pPr>
            <w:r>
              <w:rPr>
                <w:szCs w:val="18"/>
              </w:rPr>
              <w:t>100.00</w:t>
            </w:r>
          </w:p>
        </w:tc>
      </w:tr>
      <w:tr>
        <w:trPr>
          <w:cantSplit/>
          <w:trHeight w:val="1056"/>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292"/>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No fee is payable if the proceedings are of an interlocutory nature only.</w:t>
            </w:r>
          </w:p>
        </w:tc>
      </w:tr>
      <w:tr>
        <w:trPr>
          <w:cantSplit/>
          <w:trHeight w:val="737"/>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to be charged is to be paid in respect of any number of hearing days or half days greater than the number of hearing days for which a fee has been paid under item 5.</w:t>
            </w:r>
          </w:p>
        </w:tc>
      </w:tr>
      <w:tr>
        <w:trPr>
          <w:cantSplit/>
          <w:trHeight w:val="567"/>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c>
          <w:tcPr>
            <w:tcW w:w="624" w:type="dxa"/>
            <w:noWrap/>
          </w:tcPr>
          <w:p>
            <w:pPr>
              <w:pStyle w:val="yTableNAm"/>
              <w:keepNext/>
            </w:pPr>
            <w:r>
              <w:lastRenderedPageBreak/>
              <w:t>7.</w:t>
            </w:r>
          </w:p>
        </w:tc>
        <w:tc>
          <w:tcPr>
            <w:tcW w:w="2552" w:type="dxa"/>
            <w:noWrap/>
          </w:tcPr>
          <w:p>
            <w:pPr>
              <w:pStyle w:val="yTableNAm"/>
              <w:keepNext/>
            </w:pPr>
            <w:r>
              <w:t xml:space="preserve">On filing of an interlocutory application or application for assessment of damages or summary judgment that requires hearing before a magistrate or registrar — </w:t>
            </w:r>
          </w:p>
        </w:tc>
        <w:tc>
          <w:tcPr>
            <w:tcW w:w="1275" w:type="dxa"/>
            <w:noWrap/>
          </w:tcPr>
          <w:p>
            <w:pPr>
              <w:pStyle w:val="yTableNAm"/>
              <w:keepNext/>
              <w:tabs>
                <w:tab w:val="clear" w:pos="567"/>
              </w:tabs>
              <w:ind w:right="284"/>
              <w:jc w:val="right"/>
              <w:rPr>
                <w:szCs w:val="18"/>
              </w:rPr>
            </w:pPr>
          </w:p>
        </w:tc>
        <w:tc>
          <w:tcPr>
            <w:tcW w:w="1276" w:type="dxa"/>
            <w:noWrap/>
          </w:tcPr>
          <w:p>
            <w:pPr>
              <w:pStyle w:val="yTableNAm"/>
              <w:keepNext/>
              <w:tabs>
                <w:tab w:val="clear" w:pos="567"/>
              </w:tabs>
              <w:ind w:right="284"/>
              <w:jc w:val="right"/>
            </w:pPr>
          </w:p>
        </w:tc>
        <w:tc>
          <w:tcPr>
            <w:tcW w:w="1276" w:type="dxa"/>
            <w:noWrap/>
          </w:tcPr>
          <w:p>
            <w:pPr>
              <w:pStyle w:val="yTableNAm"/>
              <w:keepNext/>
              <w:tabs>
                <w:tab w:val="clear" w:pos="567"/>
              </w:tabs>
              <w:ind w:right="285"/>
              <w:jc w:val="right"/>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vAlign w:val="bottom"/>
          </w:tcPr>
          <w:p>
            <w:pPr>
              <w:pStyle w:val="yTableNAm"/>
              <w:tabs>
                <w:tab w:val="clear" w:pos="567"/>
              </w:tabs>
              <w:ind w:right="284"/>
              <w:jc w:val="right"/>
              <w:rPr>
                <w:szCs w:val="18"/>
              </w:rPr>
            </w:pPr>
            <w:r>
              <w:rPr>
                <w:szCs w:val="18"/>
              </w:rPr>
              <w:t>137.00</w:t>
            </w:r>
          </w:p>
        </w:tc>
        <w:tc>
          <w:tcPr>
            <w:tcW w:w="1276" w:type="dxa"/>
            <w:noWrap/>
            <w:vAlign w:val="bottom"/>
          </w:tcPr>
          <w:p>
            <w:pPr>
              <w:pStyle w:val="yTableNAm"/>
              <w:tabs>
                <w:tab w:val="clear" w:pos="567"/>
              </w:tabs>
              <w:ind w:right="284"/>
              <w:jc w:val="right"/>
            </w:pPr>
            <w:r>
              <w:t>266.00</w:t>
            </w:r>
          </w:p>
        </w:tc>
        <w:tc>
          <w:tcPr>
            <w:tcW w:w="1276" w:type="dxa"/>
            <w:noWrap/>
            <w:vAlign w:val="bottom"/>
          </w:tcPr>
          <w:p>
            <w:pPr>
              <w:pStyle w:val="yTableNAm"/>
              <w:tabs>
                <w:tab w:val="clear" w:pos="567"/>
              </w:tabs>
              <w:ind w:right="285"/>
              <w:jc w:val="right"/>
              <w:rPr>
                <w:szCs w:val="18"/>
              </w:rPr>
            </w:pPr>
            <w:r>
              <w:rPr>
                <w:szCs w:val="18"/>
              </w:rPr>
              <w:t>41.10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a claim exceeding $10 000 but not exceeding $50 000</w:t>
            </w:r>
          </w:p>
        </w:tc>
        <w:tc>
          <w:tcPr>
            <w:tcW w:w="1275" w:type="dxa"/>
            <w:noWrap/>
            <w:vAlign w:val="bottom"/>
          </w:tcPr>
          <w:p>
            <w:pPr>
              <w:pStyle w:val="yTableNAm"/>
              <w:tabs>
                <w:tab w:val="clear" w:pos="567"/>
              </w:tabs>
              <w:ind w:right="284"/>
              <w:jc w:val="right"/>
              <w:rPr>
                <w:szCs w:val="18"/>
              </w:rPr>
            </w:pPr>
            <w:r>
              <w:rPr>
                <w:szCs w:val="18"/>
              </w:rPr>
              <w:t>164.50</w:t>
            </w:r>
          </w:p>
        </w:tc>
        <w:tc>
          <w:tcPr>
            <w:tcW w:w="1276" w:type="dxa"/>
            <w:noWrap/>
            <w:vAlign w:val="bottom"/>
          </w:tcPr>
          <w:p>
            <w:pPr>
              <w:pStyle w:val="yTableNAm"/>
              <w:tabs>
                <w:tab w:val="clear" w:pos="567"/>
              </w:tabs>
              <w:ind w:right="284"/>
              <w:jc w:val="right"/>
            </w:pPr>
            <w:r>
              <w:t>318.00</w:t>
            </w:r>
          </w:p>
        </w:tc>
        <w:tc>
          <w:tcPr>
            <w:tcW w:w="1276" w:type="dxa"/>
            <w:noWrap/>
            <w:vAlign w:val="bottom"/>
          </w:tcPr>
          <w:p>
            <w:pPr>
              <w:pStyle w:val="yTableNAm"/>
              <w:tabs>
                <w:tab w:val="clear" w:pos="567"/>
              </w:tabs>
              <w:ind w:right="285"/>
              <w:jc w:val="right"/>
              <w:rPr>
                <w:szCs w:val="18"/>
              </w:rPr>
            </w:pPr>
            <w:r>
              <w:rPr>
                <w:szCs w:val="18"/>
              </w:rPr>
              <w:t>49.40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vAlign w:val="bottom"/>
          </w:tcPr>
          <w:p>
            <w:pPr>
              <w:pStyle w:val="yTableNAm"/>
              <w:tabs>
                <w:tab w:val="clear" w:pos="567"/>
              </w:tabs>
              <w:ind w:right="284"/>
              <w:jc w:val="right"/>
              <w:rPr>
                <w:szCs w:val="18"/>
              </w:rPr>
            </w:pPr>
            <w:r>
              <w:rPr>
                <w:szCs w:val="18"/>
              </w:rPr>
              <w:t>221.00</w:t>
            </w:r>
          </w:p>
        </w:tc>
        <w:tc>
          <w:tcPr>
            <w:tcW w:w="1276" w:type="dxa"/>
            <w:noWrap/>
            <w:vAlign w:val="bottom"/>
          </w:tcPr>
          <w:p>
            <w:pPr>
              <w:pStyle w:val="yTableNAm"/>
              <w:tabs>
                <w:tab w:val="clear" w:pos="567"/>
              </w:tabs>
              <w:ind w:right="284"/>
              <w:jc w:val="right"/>
            </w:pPr>
            <w:r>
              <w:t>434.00</w:t>
            </w:r>
          </w:p>
        </w:tc>
        <w:tc>
          <w:tcPr>
            <w:tcW w:w="1276" w:type="dxa"/>
            <w:noWrap/>
            <w:vAlign w:val="bottom"/>
          </w:tcPr>
          <w:p>
            <w:pPr>
              <w:pStyle w:val="yTableNAm"/>
              <w:tabs>
                <w:tab w:val="clear" w:pos="567"/>
              </w:tabs>
              <w:ind w:right="285"/>
              <w:jc w:val="right"/>
              <w:rPr>
                <w:szCs w:val="18"/>
              </w:rPr>
            </w:pPr>
            <w:r>
              <w:rPr>
                <w:szCs w:val="18"/>
              </w:rPr>
              <w:t>66.50</w:t>
            </w:r>
          </w:p>
        </w:tc>
      </w:tr>
      <w:tr>
        <w:trPr>
          <w:cantSplit/>
          <w:trHeight w:val="1077"/>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510"/>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fee is inclusive of the hearing of the application and includes any adjournment of the hearing.</w:t>
            </w:r>
          </w:p>
        </w:tc>
      </w:tr>
      <w:tr>
        <w:trPr>
          <w:cantSplit/>
          <w:trHeight w:val="319"/>
        </w:trPr>
        <w:tc>
          <w:tcPr>
            <w:tcW w:w="624" w:type="dxa"/>
            <w:noWrap/>
          </w:tcPr>
          <w:p>
            <w:pPr>
              <w:pStyle w:val="yTableNAm"/>
              <w:spacing w:before="0"/>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The fee is not payable for matters dealt with in the absence of a party.</w:t>
            </w:r>
          </w:p>
        </w:tc>
      </w:tr>
      <w:tr>
        <w:trPr>
          <w:cantSplit/>
        </w:trPr>
        <w:tc>
          <w:tcPr>
            <w:tcW w:w="624" w:type="dxa"/>
            <w:noWrap/>
          </w:tcPr>
          <w:p>
            <w:pPr>
              <w:pStyle w:val="yTableNAm"/>
              <w:keepNext/>
              <w:keepLines/>
            </w:pPr>
            <w:r>
              <w:t>8.</w:t>
            </w:r>
          </w:p>
        </w:tc>
        <w:tc>
          <w:tcPr>
            <w:tcW w:w="2552" w:type="dxa"/>
            <w:noWrap/>
          </w:tcPr>
          <w:p>
            <w:pPr>
              <w:pStyle w:val="yTableNAm"/>
              <w:keepNext/>
              <w:keepLines/>
            </w:pPr>
            <w:r>
              <w:t xml:space="preserve">On an appointment to assess a bill of costs — </w:t>
            </w:r>
          </w:p>
        </w:tc>
        <w:tc>
          <w:tcPr>
            <w:tcW w:w="1275" w:type="dxa"/>
            <w:noWrap/>
          </w:tcPr>
          <w:p>
            <w:pPr>
              <w:pStyle w:val="yTableNAm"/>
              <w:keepNext/>
              <w:keepLines/>
            </w:pPr>
          </w:p>
        </w:tc>
        <w:tc>
          <w:tcPr>
            <w:tcW w:w="1276" w:type="dxa"/>
            <w:noWrap/>
          </w:tcPr>
          <w:p>
            <w:pPr>
              <w:pStyle w:val="yTableNAm"/>
              <w:keepNext/>
              <w:keepLines/>
            </w:pPr>
          </w:p>
        </w:tc>
        <w:tc>
          <w:tcPr>
            <w:tcW w:w="1276" w:type="dxa"/>
            <w:noWrap/>
          </w:tcPr>
          <w:p>
            <w:pPr>
              <w:pStyle w:val="yTableNAm"/>
              <w:keepNext/>
              <w:keepLines/>
              <w:rPr>
                <w:szCs w:val="18"/>
              </w:rPr>
            </w:pP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 claim not exceeding $10 000</w:t>
            </w:r>
          </w:p>
        </w:tc>
        <w:tc>
          <w:tcPr>
            <w:tcW w:w="1275" w:type="dxa"/>
            <w:noWrap/>
          </w:tcPr>
          <w:p>
            <w:pPr>
              <w:pStyle w:val="yTableNAm"/>
              <w:ind w:left="58"/>
            </w:pPr>
            <w:r>
              <w:t>137.00</w:t>
            </w:r>
            <w:r>
              <w:rPr>
                <w:szCs w:val="18"/>
              </w:rPr>
              <w:t xml:space="preserve"> plus 2.50%</w:t>
            </w:r>
          </w:p>
        </w:tc>
        <w:tc>
          <w:tcPr>
            <w:tcW w:w="1276" w:type="dxa"/>
            <w:noWrap/>
          </w:tcPr>
          <w:p>
            <w:pPr>
              <w:pStyle w:val="yTableNAm"/>
              <w:ind w:left="52"/>
            </w:pPr>
            <w:r>
              <w:t xml:space="preserve">266.00 </w:t>
            </w:r>
            <w:r>
              <w:rPr>
                <w:szCs w:val="18"/>
              </w:rPr>
              <w:t>plus 2.50%</w:t>
            </w:r>
          </w:p>
        </w:tc>
        <w:tc>
          <w:tcPr>
            <w:tcW w:w="1276" w:type="dxa"/>
            <w:noWrap/>
          </w:tcPr>
          <w:p>
            <w:pPr>
              <w:pStyle w:val="yTableNAm"/>
              <w:ind w:left="56"/>
            </w:pPr>
            <w:r>
              <w:t>41.10 p</w:t>
            </w:r>
            <w:r>
              <w:rPr>
                <w:szCs w:val="18"/>
              </w:rPr>
              <w:t>lus 0.00%</w:t>
            </w:r>
          </w:p>
        </w:tc>
      </w:tr>
      <w:tr>
        <w:trPr>
          <w:cantSplit/>
        </w:trPr>
        <w:tc>
          <w:tcPr>
            <w:tcW w:w="624" w:type="dxa"/>
            <w:noWrap/>
          </w:tcPr>
          <w:p>
            <w:pPr>
              <w:pStyle w:val="yTableNAm"/>
              <w:keepNext/>
            </w:pPr>
          </w:p>
        </w:tc>
        <w:tc>
          <w:tcPr>
            <w:tcW w:w="2552" w:type="dxa"/>
            <w:noWrap/>
          </w:tcPr>
          <w:p>
            <w:pPr>
              <w:pStyle w:val="yTableNAm"/>
              <w:keepNext/>
              <w:tabs>
                <w:tab w:val="clear" w:pos="567"/>
                <w:tab w:val="left" w:pos="351"/>
              </w:tabs>
              <w:ind w:left="351" w:hanging="351"/>
            </w:pPr>
            <w:r>
              <w:t>(b)</w:t>
            </w:r>
            <w:r>
              <w:tab/>
              <w:t>for a claim exceeding $10 000 but not exceeding $50 000</w:t>
            </w:r>
          </w:p>
        </w:tc>
        <w:tc>
          <w:tcPr>
            <w:tcW w:w="1275" w:type="dxa"/>
            <w:noWrap/>
          </w:tcPr>
          <w:p>
            <w:pPr>
              <w:pStyle w:val="yTableNAm"/>
              <w:keepNext/>
              <w:ind w:left="58"/>
            </w:pPr>
            <w:r>
              <w:t xml:space="preserve">164.50 </w:t>
            </w:r>
            <w:r>
              <w:rPr>
                <w:szCs w:val="18"/>
              </w:rPr>
              <w:t>plus 2.50%</w:t>
            </w:r>
          </w:p>
        </w:tc>
        <w:tc>
          <w:tcPr>
            <w:tcW w:w="1276" w:type="dxa"/>
            <w:noWrap/>
          </w:tcPr>
          <w:p>
            <w:pPr>
              <w:pStyle w:val="yTableNAm"/>
              <w:keepNext/>
              <w:ind w:left="52"/>
            </w:pPr>
            <w:r>
              <w:t xml:space="preserve">318.00 </w:t>
            </w:r>
            <w:r>
              <w:rPr>
                <w:szCs w:val="18"/>
              </w:rPr>
              <w:t>plus 2.50%</w:t>
            </w:r>
          </w:p>
        </w:tc>
        <w:tc>
          <w:tcPr>
            <w:tcW w:w="1276" w:type="dxa"/>
            <w:noWrap/>
          </w:tcPr>
          <w:p>
            <w:pPr>
              <w:pStyle w:val="yTableNAm"/>
              <w:keepNext/>
              <w:ind w:left="56"/>
            </w:pPr>
            <w:r>
              <w:t xml:space="preserve">49.40 </w:t>
            </w:r>
            <w:r>
              <w:rPr>
                <w:szCs w:val="18"/>
              </w:rPr>
              <w:t>plus 0.00%</w:t>
            </w:r>
          </w:p>
        </w:tc>
      </w:tr>
      <w:tr>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a claim exceeding $50 000</w:t>
            </w:r>
          </w:p>
        </w:tc>
        <w:tc>
          <w:tcPr>
            <w:tcW w:w="1275" w:type="dxa"/>
            <w:noWrap/>
          </w:tcPr>
          <w:p>
            <w:pPr>
              <w:pStyle w:val="yTableNAm"/>
              <w:ind w:left="58"/>
            </w:pPr>
            <w:r>
              <w:t>221.00 plus 2.50%</w:t>
            </w:r>
          </w:p>
        </w:tc>
        <w:tc>
          <w:tcPr>
            <w:tcW w:w="1276" w:type="dxa"/>
            <w:noWrap/>
          </w:tcPr>
          <w:p>
            <w:pPr>
              <w:pStyle w:val="yTableNAm"/>
              <w:ind w:left="52"/>
            </w:pPr>
            <w:r>
              <w:t>434.00 plus 2.50%</w:t>
            </w:r>
          </w:p>
        </w:tc>
        <w:tc>
          <w:tcPr>
            <w:tcW w:w="1276" w:type="dxa"/>
            <w:noWrap/>
          </w:tcPr>
          <w:p>
            <w:pPr>
              <w:pStyle w:val="yTableNAm"/>
              <w:ind w:left="56"/>
            </w:pPr>
            <w:r>
              <w:t>66.50 plus 0.00%</w:t>
            </w:r>
          </w:p>
        </w:tc>
      </w:tr>
      <w:tr>
        <w:trPr>
          <w:cantSplit/>
          <w:trHeight w:val="1077"/>
        </w:trPr>
        <w:tc>
          <w:tcPr>
            <w:tcW w:w="624" w:type="dxa"/>
            <w:noWrap/>
          </w:tcPr>
          <w:p>
            <w:pPr>
              <w:pStyle w:val="yTableNAm"/>
            </w:pPr>
          </w:p>
        </w:tc>
        <w:tc>
          <w:tcPr>
            <w:tcW w:w="6379" w:type="dxa"/>
            <w:gridSpan w:val="4"/>
            <w:noWrap/>
          </w:tcPr>
          <w:p>
            <w:pPr>
              <w:pStyle w:val="yTableNAm"/>
              <w:spacing w:after="120"/>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is not payable for matters dealt with under the minor cases procedure, residential tenancies proceedings or applications referred to in item 10 or 11.</w:t>
            </w:r>
          </w:p>
        </w:tc>
      </w:tr>
      <w:tr>
        <w:trPr>
          <w:cantSplit/>
          <w:trHeight w:val="222"/>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 rate is to be applied to the amount at which the bill is drawn.</w:t>
            </w:r>
          </w:p>
        </w:tc>
      </w:tr>
      <w:tr>
        <w:trPr>
          <w:cantSplit/>
          <w:trHeight w:val="2012"/>
        </w:trPr>
        <w:tc>
          <w:tcPr>
            <w:tcW w:w="624" w:type="dxa"/>
            <w:noWrap/>
          </w:tcPr>
          <w:p>
            <w:pPr>
              <w:pStyle w:val="yTableNAm"/>
            </w:pPr>
          </w:p>
        </w:tc>
        <w:tc>
          <w:tcPr>
            <w:tcW w:w="6379" w:type="dxa"/>
            <w:gridSpan w:val="4"/>
            <w:noWrap/>
          </w:tcPr>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3.</w:t>
            </w:r>
            <w:r>
              <w:rPr>
                <w:rFonts w:ascii="Arial" w:hAnsi="Arial" w:cs="Arial"/>
                <w:sz w:val="18"/>
                <w:szCs w:val="18"/>
              </w:rPr>
              <w:tab/>
              <w:t>If the parties agree on the bill of costs and the appointment is cancelled, the following percentage of the fee paid is to be refunded —</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blPrEx>
          <w:tblCellMar>
            <w:left w:w="57" w:type="dxa"/>
            <w:right w:w="57" w:type="dxa"/>
          </w:tblCellMar>
        </w:tblPrEx>
        <w:trPr>
          <w:cantSplit/>
        </w:trPr>
        <w:tc>
          <w:tcPr>
            <w:tcW w:w="624" w:type="dxa"/>
            <w:noWrap/>
          </w:tcPr>
          <w:p>
            <w:pPr>
              <w:pStyle w:val="yTableNAm"/>
            </w:pPr>
            <w:r>
              <w:t>9.</w:t>
            </w:r>
          </w:p>
        </w:tc>
        <w:tc>
          <w:tcPr>
            <w:tcW w:w="2552" w:type="dxa"/>
            <w:noWrap/>
          </w:tcPr>
          <w:p>
            <w:pPr>
              <w:pStyle w:val="yTableNAm"/>
            </w:pPr>
            <w:r>
              <w:t>On the execution of an arrest warrant of any kind —</w:t>
            </w:r>
          </w:p>
        </w:tc>
        <w:tc>
          <w:tcPr>
            <w:tcW w:w="1275"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4"/>
              <w:jc w:val="right"/>
            </w:pPr>
          </w:p>
        </w:tc>
        <w:tc>
          <w:tcPr>
            <w:tcW w:w="1276" w:type="dxa"/>
            <w:noWrap/>
            <w:vAlign w:val="bottom"/>
          </w:tcPr>
          <w:p>
            <w:pPr>
              <w:pStyle w:val="yTableNAm"/>
              <w:tabs>
                <w:tab w:val="clear" w:pos="567"/>
              </w:tabs>
              <w:ind w:right="285"/>
              <w:jc w:val="right"/>
              <w:rPr>
                <w:szCs w:val="18"/>
              </w:rPr>
            </w:pP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(a)</w:t>
            </w:r>
            <w:r>
              <w:tab/>
              <w:t>for arresting the person</w:t>
            </w:r>
          </w:p>
        </w:tc>
        <w:tc>
          <w:tcPr>
            <w:tcW w:w="1275" w:type="dxa"/>
            <w:noWrap/>
            <w:vAlign w:val="bottom"/>
          </w:tcPr>
          <w:p>
            <w:pPr>
              <w:pStyle w:val="yTableNAm"/>
              <w:tabs>
                <w:tab w:val="clear" w:pos="567"/>
              </w:tabs>
              <w:ind w:right="284"/>
              <w:jc w:val="right"/>
              <w:rPr>
                <w:szCs w:val="18"/>
              </w:rPr>
            </w:pPr>
            <w:r>
              <w:rPr>
                <w:szCs w:val="18"/>
              </w:rPr>
              <w:t>179.50</w:t>
            </w:r>
          </w:p>
        </w:tc>
        <w:tc>
          <w:tcPr>
            <w:tcW w:w="1276" w:type="dxa"/>
            <w:noWrap/>
            <w:vAlign w:val="bottom"/>
          </w:tcPr>
          <w:p>
            <w:pPr>
              <w:pStyle w:val="yTableNAm"/>
              <w:tabs>
                <w:tab w:val="clear" w:pos="567"/>
              </w:tabs>
              <w:ind w:right="284"/>
              <w:jc w:val="right"/>
            </w:pPr>
            <w:r>
              <w:rPr>
                <w:szCs w:val="18"/>
              </w:rPr>
              <w:t>179.50</w:t>
            </w:r>
          </w:p>
        </w:tc>
        <w:tc>
          <w:tcPr>
            <w:tcW w:w="1276" w:type="dxa"/>
            <w:noWrap/>
            <w:vAlign w:val="bottom"/>
          </w:tcPr>
          <w:p>
            <w:pPr>
              <w:pStyle w:val="yTableNAm"/>
              <w:tabs>
                <w:tab w:val="clear" w:pos="567"/>
              </w:tabs>
              <w:ind w:right="285"/>
              <w:jc w:val="right"/>
              <w:rPr>
                <w:szCs w:val="18"/>
              </w:rPr>
            </w:pPr>
            <w:r>
              <w:rPr>
                <w:szCs w:val="18"/>
              </w:rPr>
              <w:t>179.50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for conveying the person to a court or a custodial place and releasing the person from arrest or custody</w:t>
            </w:r>
          </w:p>
        </w:tc>
        <w:tc>
          <w:tcPr>
            <w:tcW w:w="1275" w:type="dxa"/>
            <w:noWrap/>
            <w:vAlign w:val="bottom"/>
          </w:tcPr>
          <w:p>
            <w:pPr>
              <w:pStyle w:val="yTableNAm"/>
              <w:tabs>
                <w:tab w:val="clear" w:pos="567"/>
              </w:tabs>
              <w:ind w:right="284"/>
              <w:jc w:val="right"/>
              <w:rPr>
                <w:szCs w:val="18"/>
              </w:rPr>
            </w:pPr>
            <w:r>
              <w:rPr>
                <w:szCs w:val="18"/>
              </w:rPr>
              <w:t>178.00</w:t>
            </w:r>
          </w:p>
        </w:tc>
        <w:tc>
          <w:tcPr>
            <w:tcW w:w="1276" w:type="dxa"/>
            <w:noWrap/>
            <w:vAlign w:val="bottom"/>
          </w:tcPr>
          <w:p>
            <w:pPr>
              <w:pStyle w:val="yTableNAm"/>
              <w:tabs>
                <w:tab w:val="clear" w:pos="567"/>
              </w:tabs>
              <w:ind w:right="284"/>
              <w:jc w:val="right"/>
            </w:pPr>
            <w:r>
              <w:rPr>
                <w:szCs w:val="18"/>
              </w:rPr>
              <w:t>178.00</w:t>
            </w:r>
          </w:p>
        </w:tc>
        <w:tc>
          <w:tcPr>
            <w:tcW w:w="1276" w:type="dxa"/>
            <w:noWrap/>
            <w:vAlign w:val="bottom"/>
          </w:tcPr>
          <w:p>
            <w:pPr>
              <w:pStyle w:val="yTableNAm"/>
              <w:tabs>
                <w:tab w:val="clear" w:pos="567"/>
              </w:tabs>
              <w:ind w:right="285"/>
              <w:jc w:val="right"/>
              <w:rPr>
                <w:szCs w:val="18"/>
              </w:rPr>
            </w:pPr>
            <w:r>
              <w:rPr>
                <w:szCs w:val="18"/>
              </w:rPr>
              <w:t>178.00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for each 30 minutes after 2 hours and 30 minutes that an enforcement officer is required to keep the person in custody until the person is conveyed to a court or a custodial place</w:t>
            </w:r>
          </w:p>
        </w:tc>
        <w:tc>
          <w:tcPr>
            <w:tcW w:w="1275" w:type="dxa"/>
            <w:noWrap/>
            <w:vAlign w:val="bottom"/>
          </w:tcPr>
          <w:p>
            <w:pPr>
              <w:pStyle w:val="yTableNAm"/>
              <w:tabs>
                <w:tab w:val="clear" w:pos="567"/>
              </w:tabs>
              <w:ind w:right="284"/>
              <w:jc w:val="right"/>
            </w:pPr>
            <w:r>
              <w:t>47.10</w:t>
            </w:r>
          </w:p>
        </w:tc>
        <w:tc>
          <w:tcPr>
            <w:tcW w:w="1276" w:type="dxa"/>
            <w:noWrap/>
            <w:vAlign w:val="bottom"/>
          </w:tcPr>
          <w:p>
            <w:pPr>
              <w:pStyle w:val="yTableNAm"/>
              <w:tabs>
                <w:tab w:val="clear" w:pos="567"/>
              </w:tabs>
              <w:ind w:right="284"/>
              <w:jc w:val="right"/>
            </w:pPr>
            <w:r>
              <w:t>47.10</w:t>
            </w:r>
          </w:p>
        </w:tc>
        <w:tc>
          <w:tcPr>
            <w:tcW w:w="1276" w:type="dxa"/>
            <w:noWrap/>
            <w:vAlign w:val="bottom"/>
          </w:tcPr>
          <w:p>
            <w:pPr>
              <w:pStyle w:val="yTableNAm"/>
              <w:tabs>
                <w:tab w:val="clear" w:pos="567"/>
              </w:tabs>
              <w:ind w:right="285"/>
              <w:jc w:val="right"/>
            </w:pPr>
            <w:r>
              <w:t>47.10</w:t>
            </w:r>
          </w:p>
        </w:tc>
      </w:tr>
      <w:tr>
        <w:tblPrEx>
          <w:tblCellMar>
            <w:left w:w="57" w:type="dxa"/>
            <w:right w:w="57" w:type="dxa"/>
          </w:tblCellMar>
        </w:tblPrEx>
        <w:trPr>
          <w:cantSplit/>
          <w:trHeight w:val="1020"/>
        </w:trPr>
        <w:tc>
          <w:tcPr>
            <w:tcW w:w="624" w:type="dxa"/>
            <w:noWrap/>
          </w:tcPr>
          <w:p>
            <w:pPr>
              <w:pStyle w:val="yTableNAm"/>
            </w:pPr>
          </w:p>
        </w:tc>
        <w:tc>
          <w:tcPr>
            <w:tcW w:w="6379" w:type="dxa"/>
            <w:gridSpan w:val="4"/>
            <w:noWrap/>
          </w:tcPr>
          <w:p>
            <w:pPr>
              <w:pStyle w:val="yTableNAm"/>
              <w:tabs>
                <w:tab w:val="clear" w:pos="567"/>
                <w:tab w:val="left" w:pos="335"/>
              </w:tabs>
              <w:spacing w:after="120"/>
              <w:ind w:left="335" w:hanging="335"/>
              <w:rPr>
                <w:rFonts w:ascii="Arial" w:hAnsi="Arial" w:cs="Arial"/>
                <w:sz w:val="18"/>
                <w:szCs w:val="18"/>
              </w:rPr>
            </w:pPr>
            <w:r>
              <w:rPr>
                <w:rFonts w:ascii="Arial" w:hAnsi="Arial" w:cs="Arial"/>
                <w:sz w:val="18"/>
                <w:szCs w:val="18"/>
              </w:rPr>
              <w:t>Notes for this item:</w:t>
            </w:r>
          </w:p>
          <w:p>
            <w:pPr>
              <w:pStyle w:val="yTableNAm"/>
              <w:tabs>
                <w:tab w:val="clear" w:pos="567"/>
                <w:tab w:val="left" w:pos="335"/>
              </w:tabs>
              <w:spacing w:before="60" w:after="60"/>
              <w:ind w:left="335" w:hanging="335"/>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Height w:val="1472"/>
        </w:trPr>
        <w:tc>
          <w:tcPr>
            <w:tcW w:w="624" w:type="dxa"/>
            <w:noWrap/>
          </w:tcPr>
          <w:p>
            <w:pPr>
              <w:pStyle w:val="yTableNAm"/>
            </w:pPr>
          </w:p>
        </w:tc>
        <w:tc>
          <w:tcPr>
            <w:tcW w:w="6379" w:type="dxa"/>
            <w:gridSpan w:val="4"/>
            <w:noWrap/>
          </w:tcPr>
          <w:p>
            <w:pPr>
              <w:pStyle w:val="yTableNAm"/>
              <w:tabs>
                <w:tab w:val="clear" w:pos="567"/>
                <w:tab w:val="left" w:pos="335"/>
              </w:tabs>
              <w:spacing w:before="60"/>
              <w:ind w:left="335" w:hanging="335"/>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619"/>
              </w:tabs>
              <w:spacing w:before="60"/>
              <w:ind w:left="619" w:hanging="33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blPrEx>
          <w:tblCellMar>
            <w:left w:w="57" w:type="dxa"/>
            <w:right w:w="57" w:type="dxa"/>
          </w:tblCellMar>
        </w:tblPrEx>
        <w:trPr>
          <w:cantSplit/>
        </w:trPr>
        <w:tc>
          <w:tcPr>
            <w:tcW w:w="624" w:type="dxa"/>
            <w:noWrap/>
          </w:tcPr>
          <w:p>
            <w:pPr>
              <w:pStyle w:val="yTableNAm"/>
            </w:pPr>
            <w:r>
              <w:t>10.</w:t>
            </w:r>
          </w:p>
        </w:tc>
        <w:tc>
          <w:tcPr>
            <w:tcW w:w="2552" w:type="dxa"/>
            <w:noWrap/>
          </w:tcPr>
          <w:p>
            <w:pPr>
              <w:pStyle w:val="yTableNAm"/>
            </w:pPr>
            <w:r>
              <w:t xml:space="preserve">For an application for an extraordinary licence under the </w:t>
            </w:r>
            <w:r>
              <w:rPr>
                <w:i/>
              </w:rPr>
              <w:t xml:space="preserve">Road Traffic (Authorisation to Drive) Act 2008 </w:t>
            </w:r>
            <w:r>
              <w:t>section 27</w:t>
            </w:r>
          </w:p>
        </w:tc>
        <w:tc>
          <w:tcPr>
            <w:tcW w:w="1275" w:type="dxa"/>
            <w:noWrap/>
            <w:vAlign w:val="bottom"/>
          </w:tcPr>
          <w:p>
            <w:pPr>
              <w:pStyle w:val="yTableNAm"/>
              <w:tabs>
                <w:tab w:val="clear" w:pos="567"/>
              </w:tabs>
              <w:ind w:right="284"/>
              <w:jc w:val="right"/>
            </w:pPr>
            <w:r>
              <w:t>255.00</w:t>
            </w:r>
          </w:p>
        </w:tc>
        <w:tc>
          <w:tcPr>
            <w:tcW w:w="1276" w:type="dxa"/>
            <w:noWrap/>
            <w:vAlign w:val="bottom"/>
          </w:tcPr>
          <w:p>
            <w:pPr>
              <w:pStyle w:val="yTableNAm"/>
              <w:tabs>
                <w:tab w:val="clear" w:pos="567"/>
              </w:tabs>
              <w:jc w:val="center"/>
            </w:pPr>
            <w:r>
              <w:t>N/A</w:t>
            </w:r>
          </w:p>
        </w:tc>
        <w:tc>
          <w:tcPr>
            <w:tcW w:w="1276" w:type="dxa"/>
            <w:noWrap/>
            <w:vAlign w:val="bottom"/>
          </w:tcPr>
          <w:p>
            <w:pPr>
              <w:pStyle w:val="yTableNAm"/>
              <w:tabs>
                <w:tab w:val="clear" w:pos="567"/>
              </w:tabs>
              <w:ind w:right="285"/>
              <w:jc w:val="right"/>
            </w:pPr>
            <w:r>
              <w:t>76.50</w:t>
            </w:r>
          </w:p>
        </w:tc>
      </w:tr>
      <w:tr>
        <w:tblPrEx>
          <w:tblCellMar>
            <w:left w:w="57" w:type="dxa"/>
            <w:right w:w="57" w:type="dxa"/>
          </w:tblCellMar>
        </w:tblPrEx>
        <w:trPr>
          <w:cantSplit/>
        </w:trPr>
        <w:tc>
          <w:tcPr>
            <w:tcW w:w="624" w:type="dxa"/>
            <w:noWrap/>
          </w:tcPr>
          <w:p>
            <w:pPr>
              <w:pStyle w:val="yTableNAm"/>
            </w:pPr>
            <w:r>
              <w:t>11.</w:t>
            </w:r>
          </w:p>
        </w:tc>
        <w:tc>
          <w:tcPr>
            <w:tcW w:w="2552" w:type="dxa"/>
            <w:noWrap/>
          </w:tcPr>
          <w:p>
            <w:pPr>
              <w:pStyle w:val="yTableNAm"/>
            </w:pPr>
            <w:r>
              <w:t xml:space="preserve">On filing — </w:t>
            </w:r>
          </w:p>
          <w:p>
            <w:pPr>
              <w:pStyle w:val="yTableNAm"/>
              <w:tabs>
                <w:tab w:val="clear" w:pos="567"/>
                <w:tab w:val="left" w:pos="351"/>
              </w:tabs>
              <w:ind w:left="351" w:hanging="351"/>
            </w:pPr>
            <w:r>
              <w:t>(a)</w:t>
            </w:r>
            <w:r>
              <w:tab/>
              <w:t xml:space="preserve">an application for a misconduct restraining order under the </w:t>
            </w:r>
            <w:r>
              <w:rPr>
                <w:i/>
              </w:rPr>
              <w:t>Restraining Orders Act 1997</w:t>
            </w:r>
          </w:p>
        </w:tc>
        <w:tc>
          <w:tcPr>
            <w:tcW w:w="1275"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5"/>
              <w:jc w:val="right"/>
            </w:pPr>
            <w:r>
              <w:t>48.80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(b)</w:t>
            </w:r>
            <w:r>
              <w:tab/>
              <w:t xml:space="preserve">an application under the </w:t>
            </w:r>
            <w:r>
              <w:rPr>
                <w:i/>
              </w:rPr>
              <w:t>Disposal of Uncollected Goods Act 1970</w:t>
            </w:r>
          </w:p>
        </w:tc>
        <w:tc>
          <w:tcPr>
            <w:tcW w:w="1275"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5"/>
              <w:jc w:val="right"/>
            </w:pPr>
            <w:r>
              <w:t>48.80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(c)</w:t>
            </w:r>
            <w:r>
              <w:tab/>
              <w:t xml:space="preserve">an application under the </w:t>
            </w:r>
            <w:r>
              <w:rPr>
                <w:i/>
              </w:rPr>
              <w:t>Fines, Penalties and Infringement Notices Enforcement Act 1994</w:t>
            </w:r>
            <w:r>
              <w:t xml:space="preserve"> section 101, 101AA or 101A</w:t>
            </w:r>
          </w:p>
        </w:tc>
        <w:tc>
          <w:tcPr>
            <w:tcW w:w="1275"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5"/>
              <w:jc w:val="right"/>
            </w:pPr>
            <w:r>
              <w:t>48.80</w:t>
            </w:r>
          </w:p>
        </w:tc>
      </w:tr>
      <w:tr>
        <w:tblPrEx>
          <w:tblCellMar>
            <w:left w:w="57" w:type="dxa"/>
            <w:right w:w="57" w:type="dxa"/>
          </w:tblCellMar>
        </w:tblPrEx>
        <w:trPr>
          <w:cantSplit/>
        </w:trPr>
        <w:tc>
          <w:tcPr>
            <w:tcW w:w="624" w:type="dxa"/>
            <w:noWrap/>
          </w:tcPr>
          <w:p>
            <w:pPr>
              <w:pStyle w:val="yTableNAm"/>
            </w:pPr>
          </w:p>
        </w:tc>
        <w:tc>
          <w:tcPr>
            <w:tcW w:w="2552" w:type="dxa"/>
            <w:noWrap/>
          </w:tcPr>
          <w:p>
            <w:pPr>
              <w:pStyle w:val="yTableNAm"/>
              <w:tabs>
                <w:tab w:val="clear" w:pos="567"/>
                <w:tab w:val="left" w:pos="351"/>
              </w:tabs>
              <w:ind w:left="351" w:hanging="351"/>
            </w:pPr>
            <w:r>
              <w:t>(d)</w:t>
            </w:r>
            <w:r>
              <w:tab/>
              <w:t xml:space="preserve">an application under the </w:t>
            </w:r>
            <w:r>
              <w:rPr>
                <w:i/>
              </w:rPr>
              <w:t>Dividing Fences Act 1961</w:t>
            </w:r>
          </w:p>
        </w:tc>
        <w:tc>
          <w:tcPr>
            <w:tcW w:w="1275"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4"/>
              <w:jc w:val="right"/>
            </w:pPr>
            <w:r>
              <w:t>162.50</w:t>
            </w:r>
          </w:p>
        </w:tc>
        <w:tc>
          <w:tcPr>
            <w:tcW w:w="1276" w:type="dxa"/>
            <w:noWrap/>
            <w:vAlign w:val="bottom"/>
          </w:tcPr>
          <w:p>
            <w:pPr>
              <w:pStyle w:val="yTableNAm"/>
              <w:tabs>
                <w:tab w:val="clear" w:pos="567"/>
              </w:tabs>
              <w:ind w:right="285"/>
              <w:jc w:val="right"/>
            </w:pPr>
            <w:r>
              <w:t>48.80</w:t>
            </w:r>
          </w:p>
        </w:tc>
      </w:tr>
      <w:tr>
        <w:tblPrEx>
          <w:tblCellMar>
            <w:left w:w="57" w:type="dxa"/>
            <w:right w:w="57" w:type="dxa"/>
          </w:tblCellMar>
        </w:tblPrEx>
        <w:trPr>
          <w:cantSplit/>
        </w:trPr>
        <w:tc>
          <w:tcPr>
            <w:tcW w:w="624" w:type="dxa"/>
            <w:tcBorders>
              <w:bottom w:val="single" w:sz="4" w:space="0" w:color="auto"/>
            </w:tcBorders>
            <w:noWrap/>
          </w:tcPr>
          <w:p>
            <w:pPr>
              <w:pStyle w:val="yTableNAm"/>
            </w:pPr>
          </w:p>
        </w:tc>
        <w:tc>
          <w:tcPr>
            <w:tcW w:w="2552" w:type="dxa"/>
            <w:tcBorders>
              <w:bottom w:val="single" w:sz="4" w:space="0" w:color="auto"/>
            </w:tcBorders>
            <w:noWrap/>
          </w:tcPr>
          <w:p>
            <w:pPr>
              <w:pStyle w:val="yTableNAm"/>
              <w:tabs>
                <w:tab w:val="clear" w:pos="567"/>
                <w:tab w:val="left" w:pos="351"/>
              </w:tabs>
              <w:ind w:left="351" w:hanging="351"/>
            </w:pPr>
            <w:r>
              <w:t>(e)</w:t>
            </w:r>
            <w:r>
              <w:tab/>
              <w:t xml:space="preserve">an application under the </w:t>
            </w:r>
            <w:r>
              <w:rPr>
                <w:i/>
              </w:rPr>
              <w:t>Pawnbrokers and Second</w:t>
            </w:r>
            <w:r>
              <w:rPr>
                <w:i/>
              </w:rPr>
              <w:noBreakHyphen/>
              <w:t>hand Dealers Act 1994</w:t>
            </w:r>
          </w:p>
        </w:tc>
        <w:tc>
          <w:tcPr>
            <w:tcW w:w="1275" w:type="dxa"/>
            <w:tcBorders>
              <w:bottom w:val="single" w:sz="4" w:space="0" w:color="auto"/>
            </w:tcBorders>
            <w:noWrap/>
            <w:vAlign w:val="bottom"/>
          </w:tcPr>
          <w:p>
            <w:pPr>
              <w:pStyle w:val="yTableNAm"/>
              <w:tabs>
                <w:tab w:val="clear" w:pos="567"/>
              </w:tabs>
              <w:ind w:right="284"/>
              <w:jc w:val="right"/>
            </w:pPr>
            <w:r>
              <w:t>162.50</w:t>
            </w:r>
          </w:p>
        </w:tc>
        <w:tc>
          <w:tcPr>
            <w:tcW w:w="1276" w:type="dxa"/>
            <w:tcBorders>
              <w:bottom w:val="single" w:sz="4" w:space="0" w:color="auto"/>
            </w:tcBorders>
            <w:noWrap/>
            <w:vAlign w:val="bottom"/>
          </w:tcPr>
          <w:p>
            <w:pPr>
              <w:pStyle w:val="yTableNAm"/>
              <w:tabs>
                <w:tab w:val="clear" w:pos="567"/>
              </w:tabs>
              <w:ind w:right="284"/>
              <w:jc w:val="right"/>
            </w:pPr>
            <w:r>
              <w:t>162.50</w:t>
            </w:r>
          </w:p>
        </w:tc>
        <w:tc>
          <w:tcPr>
            <w:tcW w:w="1276" w:type="dxa"/>
            <w:tcBorders>
              <w:bottom w:val="single" w:sz="4" w:space="0" w:color="auto"/>
            </w:tcBorders>
            <w:noWrap/>
            <w:vAlign w:val="bottom"/>
          </w:tcPr>
          <w:p>
            <w:pPr>
              <w:pStyle w:val="yTableNAm"/>
              <w:tabs>
                <w:tab w:val="clear" w:pos="567"/>
              </w:tabs>
              <w:ind w:right="285"/>
              <w:jc w:val="right"/>
            </w:pPr>
            <w:r>
              <w:t>48.80</w:t>
            </w:r>
          </w:p>
        </w:tc>
      </w:tr>
    </w:tbl>
    <w:p>
      <w:pPr>
        <w:pStyle w:val="yFootnotesection"/>
      </w:pPr>
      <w:bookmarkStart w:id="42" w:name="_Toc106098966"/>
      <w:bookmarkStart w:id="43" w:name="_Toc106109400"/>
      <w:bookmarkStart w:id="44" w:name="_Toc107206751"/>
      <w:r>
        <w:tab/>
        <w:t>[Division 2 inserted: SL 2022/111 r. 20.]</w:t>
      </w:r>
    </w:p>
    <w:p>
      <w:pPr>
        <w:pStyle w:val="yHeading3"/>
      </w:pPr>
      <w:bookmarkStart w:id="45" w:name="_Toc107228126"/>
      <w:bookmarkStart w:id="46" w:name="_Toc107228264"/>
      <w:bookmarkStart w:id="47" w:name="_Toc107306562"/>
      <w:r>
        <w:rPr>
          <w:rStyle w:val="CharSDivNo"/>
        </w:rPr>
        <w:lastRenderedPageBreak/>
        <w:t>Division 3</w:t>
      </w:r>
      <w:r>
        <w:t> — </w:t>
      </w:r>
      <w:r>
        <w:rPr>
          <w:rStyle w:val="CharSDivText"/>
        </w:rPr>
        <w:t>Criminal jurisdiction</w:t>
      </w:r>
      <w:bookmarkEnd w:id="42"/>
      <w:bookmarkEnd w:id="43"/>
      <w:bookmarkEnd w:id="44"/>
      <w:bookmarkEnd w:id="45"/>
      <w:bookmarkEnd w:id="46"/>
      <w:bookmarkEnd w:id="47"/>
    </w:p>
    <w:p>
      <w:pPr>
        <w:pStyle w:val="yFootnoteheading"/>
        <w:keepNext/>
        <w:spacing w:after="120"/>
      </w:pPr>
      <w:r>
        <w:tab/>
        <w:t>[Heading inserted: SL 2022/111 r. 20.]</w:t>
      </w:r>
    </w:p>
    <w:tbl>
      <w:tblPr>
        <w:tblW w:w="6989" w:type="dxa"/>
        <w:tblInd w:w="108" w:type="dxa"/>
        <w:tblLayout w:type="fixed"/>
        <w:tblLook w:val="0000" w:firstRow="0" w:lastRow="0" w:firstColumn="0" w:lastColumn="0" w:noHBand="0" w:noVBand="0"/>
      </w:tblPr>
      <w:tblGrid>
        <w:gridCol w:w="601"/>
        <w:gridCol w:w="2552"/>
        <w:gridCol w:w="1275"/>
        <w:gridCol w:w="1273"/>
        <w:gridCol w:w="1288"/>
      </w:tblGrid>
      <w:tr>
        <w:trPr>
          <w:cantSplit/>
          <w:tblHeader/>
        </w:trPr>
        <w:tc>
          <w:tcPr>
            <w:tcW w:w="601" w:type="dxa"/>
            <w:tcBorders>
              <w:top w:val="single" w:sz="4" w:space="0" w:color="auto"/>
              <w:bottom w:val="single" w:sz="4" w:space="0" w:color="auto"/>
            </w:tcBorders>
            <w:noWrap/>
          </w:tcPr>
          <w:p>
            <w:pPr>
              <w:pStyle w:val="yTableNAm"/>
              <w:keepNext/>
              <w:ind w:right="-108"/>
              <w:rPr>
                <w:b/>
              </w:rPr>
            </w:pPr>
            <w:r>
              <w:rPr>
                <w:b/>
              </w:rPr>
              <w:t>Item</w:t>
            </w:r>
          </w:p>
        </w:tc>
        <w:tc>
          <w:tcPr>
            <w:tcW w:w="2552" w:type="dxa"/>
            <w:tcBorders>
              <w:top w:val="single" w:sz="4" w:space="0" w:color="auto"/>
              <w:bottom w:val="single" w:sz="4" w:space="0" w:color="auto"/>
            </w:tcBorders>
            <w:noWrap/>
          </w:tcPr>
          <w:p>
            <w:pPr>
              <w:pStyle w:val="yTableNAm"/>
              <w:keepNext/>
              <w:jc w:val="center"/>
              <w:rPr>
                <w:b/>
              </w:rPr>
            </w:pPr>
            <w:r>
              <w:rPr>
                <w:b/>
              </w:rPr>
              <w:t>Matter</w:t>
            </w:r>
          </w:p>
        </w:tc>
        <w:tc>
          <w:tcPr>
            <w:tcW w:w="1275" w:type="dxa"/>
            <w:tcBorders>
              <w:top w:val="single" w:sz="4" w:space="0" w:color="auto"/>
              <w:bottom w:val="single" w:sz="4" w:space="0" w:color="auto"/>
            </w:tcBorders>
            <w:noWrap/>
          </w:tcPr>
          <w:p>
            <w:pPr>
              <w:pStyle w:val="yTableNAm"/>
              <w:keepNext/>
              <w:jc w:val="center"/>
              <w:rPr>
                <w:b/>
              </w:rPr>
            </w:pPr>
            <w:r>
              <w:rPr>
                <w:b/>
              </w:rPr>
              <w:t>Column A</w:t>
            </w:r>
          </w:p>
          <w:p>
            <w:pPr>
              <w:pStyle w:val="yTableNAm"/>
              <w:keepNext/>
              <w:jc w:val="center"/>
              <w:rPr>
                <w:b/>
              </w:rPr>
            </w:pPr>
            <w:r>
              <w:rPr>
                <w:b/>
              </w:rPr>
              <w:t>Fee for individual or eligible entity</w:t>
            </w:r>
            <w:r>
              <w:rPr>
                <w:b/>
              </w:rPr>
              <w:br/>
              <w:t>$</w:t>
            </w:r>
          </w:p>
        </w:tc>
        <w:tc>
          <w:tcPr>
            <w:tcW w:w="1273" w:type="dxa"/>
            <w:tcBorders>
              <w:top w:val="single" w:sz="4" w:space="0" w:color="auto"/>
              <w:bottom w:val="single" w:sz="4" w:space="0" w:color="auto"/>
            </w:tcBorders>
            <w:noWrap/>
          </w:tcPr>
          <w:p>
            <w:pPr>
              <w:pStyle w:val="yTableNAm"/>
              <w:keepNext/>
              <w:jc w:val="center"/>
              <w:rPr>
                <w:b/>
              </w:rPr>
            </w:pPr>
            <w:r>
              <w:rPr>
                <w:b/>
              </w:rPr>
              <w:t>Column B</w:t>
            </w:r>
          </w:p>
          <w:p>
            <w:pPr>
              <w:pStyle w:val="yTableNAm"/>
              <w:keepNext/>
              <w:jc w:val="center"/>
              <w:rPr>
                <w:b/>
              </w:rPr>
            </w:pPr>
            <w:r>
              <w:rPr>
                <w:b/>
              </w:rPr>
              <w:t>Fee for entity</w:t>
            </w:r>
            <w:r>
              <w:rPr>
                <w:b/>
              </w:rPr>
              <w:br/>
            </w:r>
            <w:r>
              <w:rPr>
                <w:b/>
              </w:rPr>
              <w:br/>
            </w:r>
            <w:r>
              <w:rPr>
                <w:b/>
              </w:rPr>
              <w:br/>
              <w:t>$</w:t>
            </w:r>
          </w:p>
        </w:tc>
        <w:tc>
          <w:tcPr>
            <w:tcW w:w="1288" w:type="dxa"/>
            <w:tcBorders>
              <w:top w:val="single" w:sz="4" w:space="0" w:color="auto"/>
              <w:bottom w:val="single" w:sz="4" w:space="0" w:color="auto"/>
            </w:tcBorders>
            <w:noWrap/>
          </w:tcPr>
          <w:p>
            <w:pPr>
              <w:pStyle w:val="yTableNAm"/>
              <w:keepNext/>
              <w:jc w:val="center"/>
              <w:rPr>
                <w:b/>
              </w:rPr>
            </w:pPr>
            <w:r>
              <w:rPr>
                <w:b/>
              </w:rPr>
              <w:t>Column C</w:t>
            </w:r>
          </w:p>
          <w:p>
            <w:pPr>
              <w:pStyle w:val="yTableNAm"/>
              <w:keepNext/>
              <w:jc w:val="center"/>
              <w:rPr>
                <w:b/>
              </w:rPr>
            </w:pPr>
            <w:r>
              <w:rPr>
                <w:b/>
              </w:rPr>
              <w:t>Fee for eligible</w:t>
            </w:r>
            <w:r>
              <w:rPr>
                <w:b/>
              </w:rPr>
              <w:br/>
              <w:t>individual</w:t>
            </w:r>
            <w:r>
              <w:rPr>
                <w:b/>
              </w:rPr>
              <w:br/>
            </w:r>
            <w:r>
              <w:rPr>
                <w:b/>
              </w:rPr>
              <w:br/>
              <w:t>$</w:t>
            </w:r>
          </w:p>
        </w:tc>
      </w:tr>
      <w:tr>
        <w:trPr>
          <w:cantSplit/>
        </w:trPr>
        <w:tc>
          <w:tcPr>
            <w:tcW w:w="601" w:type="dxa"/>
            <w:tcBorders>
              <w:top w:val="single" w:sz="4" w:space="0" w:color="auto"/>
            </w:tcBorders>
            <w:noWrap/>
          </w:tcPr>
          <w:p>
            <w:pPr>
              <w:pStyle w:val="yTableNAm"/>
              <w:keepNext/>
            </w:pPr>
            <w:r>
              <w:t>1.</w:t>
            </w:r>
          </w:p>
        </w:tc>
        <w:tc>
          <w:tcPr>
            <w:tcW w:w="2552" w:type="dxa"/>
            <w:tcBorders>
              <w:top w:val="single" w:sz="4" w:space="0" w:color="auto"/>
            </w:tcBorders>
            <w:noWrap/>
          </w:tcPr>
          <w:p>
            <w:pPr>
              <w:pStyle w:val="yTableNAm"/>
              <w:keepNext/>
            </w:pPr>
            <w:r>
              <w:t xml:space="preserve">On filing — </w:t>
            </w:r>
          </w:p>
        </w:tc>
        <w:tc>
          <w:tcPr>
            <w:tcW w:w="1275" w:type="dxa"/>
            <w:tcBorders>
              <w:top w:val="single" w:sz="4" w:space="0" w:color="auto"/>
            </w:tcBorders>
            <w:noWrap/>
          </w:tcPr>
          <w:p>
            <w:pPr>
              <w:pStyle w:val="yTableNAm"/>
              <w:keepNext/>
              <w:tabs>
                <w:tab w:val="clear" w:pos="567"/>
              </w:tabs>
              <w:ind w:right="284"/>
              <w:jc w:val="right"/>
            </w:pPr>
          </w:p>
        </w:tc>
        <w:tc>
          <w:tcPr>
            <w:tcW w:w="1273" w:type="dxa"/>
            <w:tcBorders>
              <w:top w:val="single" w:sz="4" w:space="0" w:color="auto"/>
            </w:tcBorders>
            <w:noWrap/>
          </w:tcPr>
          <w:p>
            <w:pPr>
              <w:pStyle w:val="yTableNAm"/>
              <w:keepNext/>
              <w:tabs>
                <w:tab w:val="clear" w:pos="567"/>
              </w:tabs>
              <w:ind w:right="284"/>
              <w:jc w:val="right"/>
            </w:pPr>
          </w:p>
        </w:tc>
        <w:tc>
          <w:tcPr>
            <w:tcW w:w="1288" w:type="dxa"/>
            <w:tcBorders>
              <w:top w:val="single" w:sz="4" w:space="0" w:color="auto"/>
            </w:tcBorders>
            <w:noWrap/>
          </w:tcPr>
          <w:p>
            <w:pPr>
              <w:pStyle w:val="yTableNAm"/>
              <w:keepNext/>
              <w:tabs>
                <w:tab w:val="clear" w:pos="567"/>
              </w:tabs>
              <w:ind w:right="285"/>
              <w:jc w:val="right"/>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a prosecution notice</w:t>
            </w:r>
          </w:p>
        </w:tc>
        <w:tc>
          <w:tcPr>
            <w:tcW w:w="1275" w:type="dxa"/>
            <w:noWrap/>
            <w:vAlign w:val="bottom"/>
          </w:tcPr>
          <w:p>
            <w:pPr>
              <w:pStyle w:val="yTableNAm"/>
              <w:tabs>
                <w:tab w:val="clear" w:pos="567"/>
              </w:tabs>
              <w:ind w:right="284"/>
              <w:jc w:val="right"/>
            </w:pPr>
            <w:r>
              <w:t>137.00</w:t>
            </w:r>
          </w:p>
        </w:tc>
        <w:tc>
          <w:tcPr>
            <w:tcW w:w="1273" w:type="dxa"/>
            <w:noWrap/>
            <w:vAlign w:val="bottom"/>
          </w:tcPr>
          <w:p>
            <w:pPr>
              <w:pStyle w:val="yTableNAm"/>
              <w:tabs>
                <w:tab w:val="clear" w:pos="567"/>
              </w:tabs>
              <w:ind w:right="284"/>
              <w:jc w:val="right"/>
            </w:pPr>
            <w:r>
              <w:t>137.00</w:t>
            </w:r>
          </w:p>
        </w:tc>
        <w:tc>
          <w:tcPr>
            <w:tcW w:w="1288" w:type="dxa"/>
            <w:noWrap/>
            <w:vAlign w:val="bottom"/>
          </w:tcPr>
          <w:p>
            <w:pPr>
              <w:pStyle w:val="yTableNAm"/>
              <w:tabs>
                <w:tab w:val="clear" w:pos="567"/>
              </w:tabs>
              <w:ind w:right="285"/>
              <w:jc w:val="right"/>
            </w:pPr>
            <w:r>
              <w:t>41.10</w:t>
            </w: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(b)</w:t>
            </w:r>
            <w:r>
              <w:tab/>
              <w:t xml:space="preserve">an application under the </w:t>
            </w:r>
            <w:r>
              <w:rPr>
                <w:i/>
              </w:rPr>
              <w:t>Criminal Procedure Act 2004</w:t>
            </w:r>
            <w:r>
              <w:t xml:space="preserve"> section 71</w:t>
            </w:r>
          </w:p>
        </w:tc>
        <w:tc>
          <w:tcPr>
            <w:tcW w:w="1275" w:type="dxa"/>
            <w:noWrap/>
            <w:vAlign w:val="bottom"/>
          </w:tcPr>
          <w:p>
            <w:pPr>
              <w:pStyle w:val="yTableNAm"/>
              <w:tabs>
                <w:tab w:val="clear" w:pos="567"/>
              </w:tabs>
              <w:ind w:right="284"/>
              <w:jc w:val="right"/>
            </w:pPr>
            <w:r>
              <w:t>137.00</w:t>
            </w:r>
          </w:p>
        </w:tc>
        <w:tc>
          <w:tcPr>
            <w:tcW w:w="1273" w:type="dxa"/>
            <w:noWrap/>
            <w:vAlign w:val="bottom"/>
          </w:tcPr>
          <w:p>
            <w:pPr>
              <w:pStyle w:val="yTableNAm"/>
              <w:tabs>
                <w:tab w:val="clear" w:pos="567"/>
              </w:tabs>
              <w:ind w:right="284"/>
              <w:jc w:val="right"/>
            </w:pPr>
            <w:r>
              <w:t>137.00</w:t>
            </w:r>
          </w:p>
        </w:tc>
        <w:tc>
          <w:tcPr>
            <w:tcW w:w="1288" w:type="dxa"/>
            <w:noWrap/>
            <w:vAlign w:val="bottom"/>
          </w:tcPr>
          <w:p>
            <w:pPr>
              <w:pStyle w:val="yTableNAm"/>
              <w:tabs>
                <w:tab w:val="clear" w:pos="567"/>
              </w:tabs>
              <w:ind w:right="285"/>
              <w:jc w:val="right"/>
            </w:pPr>
            <w:r>
              <w:t>41.10</w:t>
            </w:r>
          </w:p>
        </w:tc>
      </w:tr>
      <w:tr>
        <w:trPr>
          <w:cantSplit/>
        </w:trPr>
        <w:tc>
          <w:tcPr>
            <w:tcW w:w="601" w:type="dxa"/>
            <w:noWrap/>
          </w:tcPr>
          <w:p>
            <w:pPr>
              <w:pStyle w:val="yTableNAm"/>
            </w:pPr>
            <w:r>
              <w:t>2.</w:t>
            </w:r>
          </w:p>
        </w:tc>
        <w:tc>
          <w:tcPr>
            <w:tcW w:w="2552" w:type="dxa"/>
            <w:noWrap/>
          </w:tcPr>
          <w:p>
            <w:pPr>
              <w:pStyle w:val="yTableNAm"/>
            </w:pPr>
            <w:r>
              <w:t>For the issue of a summons or court hearing notice to an accused</w:t>
            </w:r>
          </w:p>
        </w:tc>
        <w:tc>
          <w:tcPr>
            <w:tcW w:w="1275" w:type="dxa"/>
            <w:noWrap/>
            <w:vAlign w:val="bottom"/>
          </w:tcPr>
          <w:p>
            <w:pPr>
              <w:pStyle w:val="yTableNAm"/>
              <w:tabs>
                <w:tab w:val="clear" w:pos="567"/>
              </w:tabs>
              <w:ind w:right="284"/>
              <w:jc w:val="right"/>
            </w:pPr>
            <w:r>
              <w:t>26.30</w:t>
            </w:r>
          </w:p>
        </w:tc>
        <w:tc>
          <w:tcPr>
            <w:tcW w:w="1273" w:type="dxa"/>
            <w:noWrap/>
            <w:vAlign w:val="bottom"/>
          </w:tcPr>
          <w:p>
            <w:pPr>
              <w:pStyle w:val="yTableNAm"/>
              <w:tabs>
                <w:tab w:val="clear" w:pos="567"/>
              </w:tabs>
              <w:ind w:right="284"/>
              <w:jc w:val="right"/>
            </w:pPr>
            <w:r>
              <w:t>26.30</w:t>
            </w:r>
          </w:p>
        </w:tc>
        <w:tc>
          <w:tcPr>
            <w:tcW w:w="1288" w:type="dxa"/>
            <w:noWrap/>
            <w:vAlign w:val="bottom"/>
          </w:tcPr>
          <w:p>
            <w:pPr>
              <w:pStyle w:val="yTableNAm"/>
              <w:tabs>
                <w:tab w:val="clear" w:pos="567"/>
              </w:tabs>
              <w:ind w:right="285"/>
              <w:jc w:val="right"/>
            </w:pPr>
            <w:r>
              <w:t>7.90</w:t>
            </w:r>
          </w:p>
        </w:tc>
      </w:tr>
      <w:tr>
        <w:trPr>
          <w:cantSplit/>
        </w:trPr>
        <w:tc>
          <w:tcPr>
            <w:tcW w:w="601" w:type="dxa"/>
            <w:noWrap/>
          </w:tcPr>
          <w:p>
            <w:pPr>
              <w:pStyle w:val="yTableNAm"/>
            </w:pPr>
            <w:r>
              <w:t>3.</w:t>
            </w:r>
          </w:p>
        </w:tc>
        <w:tc>
          <w:tcPr>
            <w:tcW w:w="2552" w:type="dxa"/>
            <w:noWrap/>
          </w:tcPr>
          <w:p>
            <w:pPr>
              <w:pStyle w:val="yTableNAm"/>
            </w:pPr>
            <w:r>
              <w:t xml:space="preserve">For a warrant of any kind — </w:t>
            </w:r>
          </w:p>
        </w:tc>
        <w:tc>
          <w:tcPr>
            <w:tcW w:w="1275" w:type="dxa"/>
            <w:noWrap/>
            <w:vAlign w:val="bottom"/>
          </w:tcPr>
          <w:p>
            <w:pPr>
              <w:pStyle w:val="yTableNAm"/>
              <w:tabs>
                <w:tab w:val="clear" w:pos="567"/>
              </w:tabs>
              <w:ind w:right="284"/>
              <w:jc w:val="right"/>
            </w:pPr>
          </w:p>
        </w:tc>
        <w:tc>
          <w:tcPr>
            <w:tcW w:w="1273" w:type="dxa"/>
            <w:noWrap/>
            <w:vAlign w:val="bottom"/>
          </w:tcPr>
          <w:p>
            <w:pPr>
              <w:pStyle w:val="yTableNAm"/>
              <w:tabs>
                <w:tab w:val="clear" w:pos="567"/>
              </w:tabs>
              <w:ind w:right="284"/>
              <w:jc w:val="right"/>
            </w:pPr>
          </w:p>
        </w:tc>
        <w:tc>
          <w:tcPr>
            <w:tcW w:w="1288" w:type="dxa"/>
            <w:noWrap/>
            <w:vAlign w:val="bottom"/>
          </w:tcPr>
          <w:p>
            <w:pPr>
              <w:pStyle w:val="yTableNAm"/>
              <w:tabs>
                <w:tab w:val="clear" w:pos="567"/>
              </w:tabs>
              <w:ind w:right="285"/>
              <w:jc w:val="right"/>
            </w:pPr>
          </w:p>
        </w:tc>
      </w:tr>
      <w:tr>
        <w:trPr>
          <w:cantSplit/>
        </w:trPr>
        <w:tc>
          <w:tcPr>
            <w:tcW w:w="601" w:type="dxa"/>
            <w:noWrap/>
          </w:tcPr>
          <w:p>
            <w:pPr>
              <w:pStyle w:val="yTableNAm"/>
            </w:pPr>
          </w:p>
        </w:tc>
        <w:tc>
          <w:tcPr>
            <w:tcW w:w="2552" w:type="dxa"/>
            <w:noWrap/>
          </w:tcPr>
          <w:p>
            <w:pPr>
              <w:pStyle w:val="yTableNAm"/>
              <w:tabs>
                <w:tab w:val="clear" w:pos="567"/>
                <w:tab w:val="left" w:pos="351"/>
              </w:tabs>
              <w:ind w:left="351" w:hanging="351"/>
            </w:pPr>
            <w:r>
              <w:t>(a)</w:t>
            </w:r>
            <w:r>
              <w:tab/>
              <w:t>issue of warrant</w:t>
            </w:r>
          </w:p>
        </w:tc>
        <w:tc>
          <w:tcPr>
            <w:tcW w:w="1275" w:type="dxa"/>
            <w:noWrap/>
            <w:vAlign w:val="bottom"/>
          </w:tcPr>
          <w:p>
            <w:pPr>
              <w:pStyle w:val="yTableNAm"/>
              <w:tabs>
                <w:tab w:val="clear" w:pos="567"/>
              </w:tabs>
              <w:ind w:right="284"/>
              <w:jc w:val="right"/>
            </w:pPr>
            <w:r>
              <w:t>137.00</w:t>
            </w:r>
          </w:p>
        </w:tc>
        <w:tc>
          <w:tcPr>
            <w:tcW w:w="1273" w:type="dxa"/>
            <w:noWrap/>
            <w:vAlign w:val="bottom"/>
          </w:tcPr>
          <w:p>
            <w:pPr>
              <w:pStyle w:val="yTableNAm"/>
              <w:tabs>
                <w:tab w:val="clear" w:pos="567"/>
              </w:tabs>
              <w:ind w:right="284"/>
              <w:jc w:val="right"/>
            </w:pPr>
            <w:r>
              <w:t>137.00</w:t>
            </w:r>
          </w:p>
        </w:tc>
        <w:tc>
          <w:tcPr>
            <w:tcW w:w="1288" w:type="dxa"/>
            <w:noWrap/>
            <w:vAlign w:val="bottom"/>
          </w:tcPr>
          <w:p>
            <w:pPr>
              <w:pStyle w:val="yTableNAm"/>
              <w:tabs>
                <w:tab w:val="clear" w:pos="567"/>
              </w:tabs>
              <w:ind w:right="285"/>
              <w:jc w:val="right"/>
            </w:pPr>
            <w:r>
              <w:t>41.10</w:t>
            </w:r>
          </w:p>
        </w:tc>
      </w:tr>
      <w:tr>
        <w:trPr>
          <w:cantSplit/>
        </w:trPr>
        <w:tc>
          <w:tcPr>
            <w:tcW w:w="601" w:type="dxa"/>
            <w:tcBorders>
              <w:bottom w:val="single" w:sz="4" w:space="0" w:color="auto"/>
            </w:tcBorders>
            <w:noWrap/>
          </w:tcPr>
          <w:p>
            <w:pPr>
              <w:pStyle w:val="yTableNAm"/>
            </w:pPr>
          </w:p>
        </w:tc>
        <w:tc>
          <w:tcPr>
            <w:tcW w:w="2552" w:type="dxa"/>
            <w:tcBorders>
              <w:bottom w:val="single" w:sz="4" w:space="0" w:color="auto"/>
            </w:tcBorders>
            <w:noWrap/>
          </w:tcPr>
          <w:p>
            <w:pPr>
              <w:pStyle w:val="yTableNAm"/>
              <w:tabs>
                <w:tab w:val="clear" w:pos="567"/>
                <w:tab w:val="left" w:pos="351"/>
              </w:tabs>
              <w:ind w:left="351" w:hanging="351"/>
            </w:pPr>
            <w:r>
              <w:t>(b)</w:t>
            </w:r>
            <w:r>
              <w:tab/>
              <w:t>execution of warrant</w:t>
            </w:r>
          </w:p>
        </w:tc>
        <w:tc>
          <w:tcPr>
            <w:tcW w:w="1275" w:type="dxa"/>
            <w:tcBorders>
              <w:bottom w:val="single" w:sz="4" w:space="0" w:color="auto"/>
            </w:tcBorders>
            <w:noWrap/>
            <w:vAlign w:val="bottom"/>
          </w:tcPr>
          <w:p>
            <w:pPr>
              <w:pStyle w:val="yTableNAm"/>
              <w:tabs>
                <w:tab w:val="clear" w:pos="567"/>
              </w:tabs>
              <w:ind w:right="284"/>
              <w:jc w:val="right"/>
            </w:pPr>
            <w:r>
              <w:t>178.00</w:t>
            </w:r>
          </w:p>
        </w:tc>
        <w:tc>
          <w:tcPr>
            <w:tcW w:w="1273" w:type="dxa"/>
            <w:tcBorders>
              <w:bottom w:val="single" w:sz="4" w:space="0" w:color="auto"/>
            </w:tcBorders>
            <w:noWrap/>
            <w:vAlign w:val="bottom"/>
          </w:tcPr>
          <w:p>
            <w:pPr>
              <w:pStyle w:val="yTableNAm"/>
              <w:tabs>
                <w:tab w:val="clear" w:pos="567"/>
              </w:tabs>
              <w:ind w:right="284"/>
              <w:jc w:val="right"/>
            </w:pPr>
            <w:r>
              <w:t>178.00</w:t>
            </w:r>
          </w:p>
        </w:tc>
        <w:tc>
          <w:tcPr>
            <w:tcW w:w="1288" w:type="dxa"/>
            <w:tcBorders>
              <w:bottom w:val="single" w:sz="4" w:space="0" w:color="auto"/>
            </w:tcBorders>
            <w:noWrap/>
            <w:vAlign w:val="bottom"/>
          </w:tcPr>
          <w:p>
            <w:pPr>
              <w:pStyle w:val="yTableNAm"/>
              <w:tabs>
                <w:tab w:val="clear" w:pos="567"/>
              </w:tabs>
              <w:ind w:right="284"/>
              <w:jc w:val="right"/>
            </w:pPr>
            <w:r>
              <w:t>178.00</w:t>
            </w:r>
          </w:p>
        </w:tc>
      </w:tr>
    </w:tbl>
    <w:p>
      <w:pPr>
        <w:pStyle w:val="yFootnotesection"/>
      </w:pPr>
      <w:r>
        <w:tab/>
        <w:t>[Division 3 inserted: SL 2022/111 r. 20.]</w:t>
      </w:r>
    </w:p>
    <w:bookmarkEnd w:id="29"/>
    <w:p>
      <w:pPr>
        <w:outlineLvl w:val="0"/>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9" w:name="_Toc107227010"/>
      <w:bookmarkStart w:id="50" w:name="_Toc107228127"/>
      <w:bookmarkStart w:id="51" w:name="_Toc107228265"/>
      <w:bookmarkStart w:id="52" w:name="_Toc107306563"/>
      <w:r>
        <w:rPr>
          <w:rStyle w:val="CharSchNo"/>
        </w:rPr>
        <w:lastRenderedPageBreak/>
        <w:t>Schedule 2</w:t>
      </w:r>
      <w:r>
        <w:rPr>
          <w:rStyle w:val="CharSDivNo"/>
        </w:rPr>
        <w:t> </w:t>
      </w:r>
      <w:r>
        <w:t>—</w:t>
      </w:r>
      <w:r>
        <w:rPr>
          <w:rStyle w:val="CharSDivText"/>
        </w:rPr>
        <w:t> </w:t>
      </w:r>
      <w:r>
        <w:rPr>
          <w:rStyle w:val="CharSchText"/>
        </w:rPr>
        <w:t>Forms</w:t>
      </w:r>
      <w:bookmarkEnd w:id="49"/>
      <w:bookmarkEnd w:id="50"/>
      <w:bookmarkEnd w:id="51"/>
      <w:bookmarkEnd w:id="52"/>
    </w:p>
    <w:p>
      <w:pPr>
        <w:pStyle w:val="yShoulderClause"/>
      </w:pPr>
      <w:r>
        <w:rPr>
          <w:szCs w:val="22"/>
        </w:rPr>
        <w:t>[r. 5A(1) and 13(2)]</w:t>
      </w:r>
    </w:p>
    <w:p>
      <w:pPr>
        <w:pStyle w:val="yFootnoteheading"/>
        <w:spacing w:after="60"/>
      </w:pPr>
      <w:r>
        <w:tab/>
        <w:t>[Heading amended: Gazette 14 Jun 2016 p. 1933.]</w:t>
      </w:r>
    </w:p>
    <w:p>
      <w:pPr>
        <w:pStyle w:val="yHeading5"/>
        <w:spacing w:after="120"/>
      </w:pPr>
      <w:bookmarkStart w:id="53" w:name="_Toc107306564"/>
      <w:r>
        <w:rPr>
          <w:rStyle w:val="CharSClsNo"/>
        </w:rPr>
        <w:t>1</w:t>
      </w:r>
      <w:r>
        <w:t>.</w:t>
      </w:r>
      <w:r>
        <w:tab/>
        <w:t>Declaration that a person is a small business or a non</w:t>
      </w:r>
      <w:r>
        <w:noBreakHyphen/>
        <w:t>profit association</w:t>
      </w:r>
      <w:bookmarkEnd w:id="5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lastRenderedPageBreak/>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NAm"/>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NAm"/>
              <w:spacing w:before="0"/>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Gazette 14 Jun 2016 p. 1934.]</w:t>
      </w:r>
    </w:p>
    <w:p>
      <w:pPr>
        <w:pStyle w:val="yEdnotedivision"/>
      </w:pPr>
      <w:r>
        <w:t>[Form 2 deleted: Gazette 4 Sep 2015 p. 3695.]</w:t>
      </w:r>
    </w:p>
    <w:p>
      <w:pPr>
        <w:pStyle w:val="yHeading5"/>
        <w:pageBreakBefore/>
        <w:spacing w:before="0" w:after="120"/>
      </w:pPr>
      <w:bookmarkStart w:id="54" w:name="_Toc107306565"/>
      <w:r>
        <w:rPr>
          <w:rStyle w:val="CharSClsNo"/>
        </w:rPr>
        <w:lastRenderedPageBreak/>
        <w:t>3</w:t>
      </w:r>
      <w:r>
        <w:t>.</w:t>
      </w:r>
      <w:r>
        <w:tab/>
        <w:t>Application for determination of dispute about fees</w:t>
      </w:r>
      <w:bookmarkEnd w:id="5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spacing w:before="0"/>
              <w:jc w:val="center"/>
              <w:rPr>
                <w:b/>
                <w:bCs/>
              </w:rPr>
            </w:pPr>
            <w:r>
              <w:rPr>
                <w:b/>
              </w:rPr>
              <w:t>Form</w:t>
            </w:r>
            <w:r>
              <w:rPr>
                <w:b/>
                <w:bCs/>
              </w:rPr>
              <w:t> 3</w:t>
            </w:r>
          </w:p>
          <w:p>
            <w:pPr>
              <w:pStyle w:val="yTable"/>
              <w:spacing w:before="0"/>
              <w:jc w:val="center"/>
              <w:rPr>
                <w:b/>
                <w:bCs/>
              </w:rPr>
            </w:pPr>
            <w:r>
              <w:rPr>
                <w:b/>
                <w:bCs/>
              </w:rPr>
              <w:t>Application for determination of dispute about fees</w:t>
            </w:r>
          </w:p>
        </w:tc>
      </w:tr>
      <w:tr>
        <w:trPr>
          <w:cantSplit/>
        </w:trPr>
        <w:tc>
          <w:tcPr>
            <w:tcW w:w="3615" w:type="dxa"/>
            <w:gridSpan w:val="2"/>
          </w:tcPr>
          <w:p>
            <w:pPr>
              <w:pStyle w:val="yTable"/>
              <w:spacing w:before="0"/>
            </w:pPr>
            <w:r>
              <w:t>In the Magistrates Court of Western Australia</w:t>
            </w:r>
          </w:p>
        </w:tc>
        <w:tc>
          <w:tcPr>
            <w:tcW w:w="3047" w:type="dxa"/>
            <w:gridSpan w:val="2"/>
          </w:tcPr>
          <w:p>
            <w:pPr>
              <w:pStyle w:val="yTable"/>
              <w:spacing w:before="0"/>
            </w:pPr>
            <w:r>
              <w:t xml:space="preserve">No. </w:t>
            </w:r>
            <w:r>
              <w:tab/>
              <w:t>of</w:t>
            </w:r>
            <w:r>
              <w:tab/>
              <w:t>20</w:t>
            </w:r>
          </w:p>
        </w:tc>
      </w:tr>
      <w:tr>
        <w:trPr>
          <w:cantSplit/>
        </w:trPr>
        <w:tc>
          <w:tcPr>
            <w:tcW w:w="6662" w:type="dxa"/>
            <w:gridSpan w:val="4"/>
          </w:tcPr>
          <w:p>
            <w:pPr>
              <w:pStyle w:val="yTable"/>
              <w:spacing w:before="0"/>
            </w:pPr>
            <w:r>
              <w:rPr>
                <w:b/>
              </w:rPr>
              <w:t>Claimant</w:t>
            </w:r>
            <w:r>
              <w:rPr>
                <w:b/>
                <w:bCs/>
              </w:rPr>
              <w:t>/</w:t>
            </w:r>
            <w:r>
              <w:rPr>
                <w:b/>
                <w:bCs/>
              </w:rPr>
              <w:br/>
            </w:r>
            <w:r>
              <w:rPr>
                <w:b/>
              </w:rPr>
              <w:t>Applicant</w:t>
            </w:r>
            <w:r>
              <w:rPr>
                <w:b/>
                <w:bCs/>
              </w:rPr>
              <w:t>:</w:t>
            </w:r>
            <w:r>
              <w:tab/>
              <w:t>................................................................................................</w:t>
            </w:r>
          </w:p>
        </w:tc>
      </w:tr>
      <w:tr>
        <w:trPr>
          <w:cantSplit/>
        </w:trPr>
        <w:tc>
          <w:tcPr>
            <w:tcW w:w="6662" w:type="dxa"/>
            <w:gridSpan w:val="4"/>
          </w:tcPr>
          <w:p>
            <w:pPr>
              <w:pStyle w:val="yTable"/>
              <w:spacing w:before="0"/>
            </w:pPr>
            <w:r>
              <w:rPr>
                <w:b/>
              </w:rPr>
              <w:t>Defendant</w:t>
            </w:r>
            <w:r>
              <w:rPr>
                <w:b/>
                <w:bCs/>
              </w:rPr>
              <w:t>:</w:t>
            </w:r>
            <w:r>
              <w:tab/>
              <w:t>................................................................................................</w:t>
            </w:r>
          </w:p>
        </w:tc>
      </w:tr>
      <w:tr>
        <w:trPr>
          <w:cantSplit/>
        </w:trPr>
        <w:tc>
          <w:tcPr>
            <w:tcW w:w="1701" w:type="dxa"/>
          </w:tcPr>
          <w:p>
            <w:pPr>
              <w:pStyle w:val="yTable"/>
              <w:spacing w:before="0"/>
              <w:rPr>
                <w:b/>
                <w:bCs/>
              </w:rPr>
            </w:pPr>
            <w:r>
              <w:rPr>
                <w:b/>
              </w:rPr>
              <w:t>Application</w:t>
            </w:r>
            <w:r>
              <w:rPr>
                <w:b/>
                <w:bCs/>
              </w:rPr>
              <w:t>:</w:t>
            </w:r>
          </w:p>
        </w:tc>
        <w:tc>
          <w:tcPr>
            <w:tcW w:w="4961" w:type="dxa"/>
            <w:gridSpan w:val="3"/>
          </w:tcPr>
          <w:p>
            <w:pPr>
              <w:pStyle w:val="yTable"/>
              <w:spacing w:before="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yTable"/>
              <w:spacing w:before="0"/>
              <w:rPr>
                <w:b/>
                <w:bCs/>
              </w:rPr>
            </w:pPr>
            <w:r>
              <w:rPr>
                <w:b/>
              </w:rPr>
              <w:t>Applicant</w:t>
            </w:r>
            <w:r>
              <w:rPr>
                <w:b/>
                <w:bCs/>
              </w:rPr>
              <w:t>:</w:t>
            </w:r>
          </w:p>
        </w:tc>
        <w:tc>
          <w:tcPr>
            <w:tcW w:w="4961" w:type="dxa"/>
            <w:gridSpan w:val="3"/>
          </w:tcPr>
          <w:p>
            <w:pPr>
              <w:pStyle w:val="yTable"/>
              <w:spacing w:before="0"/>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spacing w:before="0"/>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spacing w:before="0"/>
            </w:pPr>
            <w:r>
              <w:t>..........................................</w:t>
            </w:r>
            <w:r>
              <w:br/>
              <w:t>Date of birth</w:t>
            </w:r>
          </w:p>
        </w:tc>
        <w:tc>
          <w:tcPr>
            <w:tcW w:w="2339" w:type="dxa"/>
          </w:tcPr>
          <w:p>
            <w:pPr>
              <w:pStyle w:val="yTable"/>
              <w:spacing w:before="0"/>
            </w:pPr>
            <w:r>
              <w:t>......................................MDL No.</w:t>
            </w:r>
          </w:p>
        </w:tc>
      </w:tr>
      <w:tr>
        <w:trPr>
          <w:cantSplit/>
        </w:trPr>
        <w:tc>
          <w:tcPr>
            <w:tcW w:w="1701" w:type="dxa"/>
            <w:vMerge w:val="restart"/>
          </w:tcPr>
          <w:p>
            <w:pPr>
              <w:pStyle w:val="yTable"/>
              <w:spacing w:before="0"/>
              <w:rPr>
                <w:b/>
                <w:bCs/>
              </w:rPr>
            </w:pPr>
            <w:r>
              <w:rPr>
                <w:b/>
              </w:rPr>
              <w:t>Disputed</w:t>
            </w:r>
            <w:r>
              <w:rPr>
                <w:b/>
                <w:bCs/>
              </w:rPr>
              <w:t xml:space="preserve"> fee:</w:t>
            </w:r>
          </w:p>
        </w:tc>
        <w:tc>
          <w:tcPr>
            <w:tcW w:w="4961" w:type="dxa"/>
            <w:gridSpan w:val="3"/>
          </w:tcPr>
          <w:p>
            <w:pPr>
              <w:pStyle w:val="yTable"/>
              <w:spacing w:before="0"/>
            </w:pPr>
            <w:r>
              <w:t>The disputed fee is for .................................................</w:t>
            </w:r>
          </w:p>
          <w:p>
            <w:pPr>
              <w:pStyle w:val="yTable"/>
              <w:spacing w:before="0"/>
            </w:pPr>
            <w:r>
              <w:t>............................................................................................................................................................................</w:t>
            </w:r>
          </w:p>
        </w:tc>
      </w:tr>
      <w:tr>
        <w:trPr>
          <w:cantSplit/>
        </w:trPr>
        <w:tc>
          <w:tcPr>
            <w:tcW w:w="1701" w:type="dxa"/>
            <w:vMerge/>
          </w:tcPr>
          <w:p>
            <w:pPr>
              <w:pStyle w:val="zytable"/>
              <w:spacing w:before="0"/>
              <w:ind w:left="0" w:right="0"/>
              <w:rPr>
                <w:b/>
                <w:bCs/>
              </w:rPr>
            </w:pPr>
          </w:p>
        </w:tc>
        <w:tc>
          <w:tcPr>
            <w:tcW w:w="4961" w:type="dxa"/>
            <w:gridSpan w:val="3"/>
          </w:tcPr>
          <w:p>
            <w:pPr>
              <w:pStyle w:val="yTable"/>
              <w:spacing w:before="0"/>
            </w:pPr>
            <w:r>
              <w:rPr>
                <w:iCs/>
              </w:rPr>
              <w:t xml:space="preserve">Payable </w:t>
            </w:r>
            <w:r>
              <w:t>under</w:t>
            </w:r>
            <w:r>
              <w:rPr>
                <w:iCs/>
              </w:rPr>
              <w:t xml:space="preserve">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yTable"/>
              <w:spacing w:before="0"/>
            </w:pPr>
            <w:r>
              <w:t xml:space="preserve">I dispute — </w:t>
            </w:r>
          </w:p>
          <w:p>
            <w:pPr>
              <w:pStyle w:val="yTable"/>
              <w:tabs>
                <w:tab w:val="left" w:pos="567"/>
              </w:tabs>
              <w:spacing w:before="0"/>
            </w:pPr>
            <w:r>
              <w:rPr>
                <w:rFonts w:ascii="MS Mincho" w:eastAsia="MS Mincho" w:hAnsi="MS Mincho"/>
              </w:rPr>
              <w:sym w:font="Wingdings" w:char="F06F"/>
            </w:r>
            <w:r>
              <w:tab/>
              <w:t>that the fee is payable</w:t>
            </w:r>
          </w:p>
          <w:p>
            <w:pPr>
              <w:pStyle w:val="yTable"/>
              <w:tabs>
                <w:tab w:val="left" w:pos="567"/>
              </w:tabs>
              <w:spacing w:before="0"/>
            </w:pPr>
            <w:r>
              <w:rPr>
                <w:rFonts w:ascii="MS Mincho" w:eastAsia="MS Mincho" w:hAnsi="MS Mincho"/>
              </w:rPr>
              <w:sym w:font="Wingdings" w:char="F06F"/>
            </w:r>
            <w:r>
              <w:tab/>
              <w:t>the amount of the fee</w:t>
            </w:r>
          </w:p>
          <w:p>
            <w:pPr>
              <w:pStyle w:val="yTable"/>
              <w:tabs>
                <w:tab w:val="left" w:pos="567"/>
              </w:tabs>
              <w:spacing w:before="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yTable"/>
              <w:spacing w:before="0"/>
            </w:pPr>
            <w:r>
              <w:t>I dispute the fee because ...........................................................................</w:t>
            </w:r>
          </w:p>
          <w:p>
            <w:pPr>
              <w:pStyle w:val="yTable"/>
              <w:spacing w:before="0"/>
            </w:pPr>
            <w:r>
              <w:t>...................................................................................................................</w:t>
            </w:r>
          </w:p>
          <w:p>
            <w:pPr>
              <w:pStyle w:val="yTable"/>
              <w:spacing w:before="0"/>
            </w:pPr>
            <w:r>
              <w:t>...................................................................................................................</w:t>
            </w:r>
          </w:p>
          <w:p>
            <w:pPr>
              <w:pStyle w:val="yTable"/>
              <w:spacing w:before="0"/>
            </w:pPr>
            <w:r>
              <w:t>...................................................................................................................</w:t>
            </w:r>
          </w:p>
          <w:p>
            <w:pPr>
              <w:pStyle w:val="yTable"/>
              <w:spacing w:before="0"/>
            </w:pPr>
            <w:r>
              <w:t>...................................................................................................................</w:t>
            </w:r>
          </w:p>
        </w:tc>
      </w:tr>
      <w:tr>
        <w:trPr>
          <w:cantSplit/>
        </w:trPr>
        <w:tc>
          <w:tcPr>
            <w:tcW w:w="1701" w:type="dxa"/>
          </w:tcPr>
          <w:p>
            <w:pPr>
              <w:pStyle w:val="yTable"/>
              <w:spacing w:before="0"/>
              <w:rPr>
                <w:b/>
                <w:bCs/>
              </w:rPr>
            </w:pPr>
            <w:r>
              <w:rPr>
                <w:b/>
              </w:rPr>
              <w:t>Signature</w:t>
            </w:r>
            <w:r>
              <w:rPr>
                <w:b/>
                <w:bCs/>
              </w:rPr>
              <w:t xml:space="preserve"> of applicant:</w:t>
            </w:r>
          </w:p>
        </w:tc>
        <w:tc>
          <w:tcPr>
            <w:tcW w:w="4961" w:type="dxa"/>
            <w:gridSpan w:val="3"/>
          </w:tcPr>
          <w:p>
            <w:pPr>
              <w:pStyle w:val="yTable"/>
              <w:spacing w:before="0"/>
            </w:pPr>
          </w:p>
          <w:p>
            <w:pPr>
              <w:pStyle w:val="yTable"/>
              <w:spacing w:before="0"/>
            </w:pPr>
            <w:r>
              <w:t>......................................................................................</w:t>
            </w:r>
          </w:p>
        </w:tc>
      </w:tr>
      <w:tr>
        <w:trPr>
          <w:cantSplit/>
        </w:trPr>
        <w:tc>
          <w:tcPr>
            <w:tcW w:w="1701" w:type="dxa"/>
          </w:tcPr>
          <w:p>
            <w:pPr>
              <w:pStyle w:val="yTable"/>
              <w:spacing w:before="0"/>
              <w:rPr>
                <w:b/>
                <w:bCs/>
              </w:rPr>
            </w:pPr>
            <w:r>
              <w:rPr>
                <w:b/>
              </w:rPr>
              <w:t>Date</w:t>
            </w:r>
            <w:r>
              <w:rPr>
                <w:b/>
                <w:bCs/>
              </w:rPr>
              <w:t>:</w:t>
            </w:r>
          </w:p>
        </w:tc>
        <w:tc>
          <w:tcPr>
            <w:tcW w:w="4961" w:type="dxa"/>
            <w:gridSpan w:val="3"/>
          </w:tcPr>
          <w:p>
            <w:pPr>
              <w:pStyle w:val="yTable"/>
              <w:spacing w:before="0"/>
            </w:pPr>
            <w:r>
              <w:t>........</w:t>
            </w:r>
            <w:r>
              <w:rPr>
                <w:rFonts w:eastAsia="MS Mincho"/>
              </w:rPr>
              <w:t>./</w:t>
            </w:r>
            <w:r>
              <w:t xml:space="preserve"> ........</w:t>
            </w:r>
            <w:r>
              <w:rPr>
                <w:rFonts w:eastAsia="MS Mincho"/>
              </w:rPr>
              <w:t>/20</w:t>
            </w:r>
            <w:r>
              <w:t>........</w:t>
            </w:r>
          </w:p>
        </w:tc>
      </w:tr>
      <w:tr>
        <w:trPr>
          <w:cantSplit/>
        </w:trPr>
        <w:tc>
          <w:tcPr>
            <w:tcW w:w="6662" w:type="dxa"/>
            <w:gridSpan w:val="4"/>
          </w:tcPr>
          <w:p>
            <w:pPr>
              <w:pStyle w:val="yTable"/>
              <w:tabs>
                <w:tab w:val="left" w:pos="459"/>
                <w:tab w:val="left" w:pos="567"/>
              </w:tabs>
              <w:spacing w:before="0"/>
              <w:rPr>
                <w:rFonts w:eastAsia="MS Mincho"/>
              </w:rPr>
            </w:pPr>
            <w:r>
              <w:rPr>
                <w:i/>
              </w:rPr>
              <w:t>*</w:t>
            </w:r>
            <w:r>
              <w:rPr>
                <w:i/>
              </w:rPr>
              <w:tab/>
            </w:r>
            <w:r>
              <w:rPr>
                <w:i/>
                <w:sz w:val="16"/>
              </w:rPr>
              <w:t xml:space="preserve">Strike out </w:t>
            </w:r>
            <w:r>
              <w:rPr>
                <w:i/>
                <w:iCs/>
                <w:sz w:val="16"/>
              </w:rPr>
              <w:t>numbers</w:t>
            </w:r>
            <w:r>
              <w:rPr>
                <w:i/>
                <w:sz w:val="16"/>
              </w:rPr>
              <w:t xml:space="preserve">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1809" w:right="2405" w:bottom="3542" w:left="2405" w:header="706" w:footer="3380" w:gutter="0"/>
          <w:cols w:space="720"/>
          <w:noEndnote/>
          <w:docGrid w:linePitch="326"/>
        </w:sectPr>
      </w:pPr>
    </w:p>
    <w:p>
      <w:pPr>
        <w:pStyle w:val="nHeading2"/>
      </w:pPr>
      <w:bookmarkStart w:id="55" w:name="_Toc107227013"/>
      <w:bookmarkStart w:id="56" w:name="_Toc107228130"/>
      <w:bookmarkStart w:id="57" w:name="_Toc107228268"/>
      <w:bookmarkStart w:id="58" w:name="_Toc107306566"/>
      <w:r>
        <w:lastRenderedPageBreak/>
        <w:t>Notes</w:t>
      </w:r>
      <w:bookmarkEnd w:id="55"/>
      <w:bookmarkEnd w:id="56"/>
      <w:bookmarkEnd w:id="57"/>
      <w:bookmarkEnd w:id="58"/>
    </w:p>
    <w:p>
      <w:pPr>
        <w:pStyle w:val="nStatement"/>
      </w:pPr>
      <w:r>
        <w:t xml:space="preserve">This is a compilation of the </w:t>
      </w:r>
      <w:r>
        <w:rPr>
          <w:i/>
          <w:noProof/>
        </w:rPr>
        <w:t>Magistrates Court (Fees) Regulations 2005</w:t>
      </w:r>
      <w:r>
        <w:t xml:space="preserve"> and includes amendments made by other written laws. For provisions that have come into operation, and for information about any reprints, see the compilation table.</w:t>
      </w:r>
    </w:p>
    <w:p>
      <w:pPr>
        <w:pStyle w:val="nHeading3"/>
      </w:pPr>
      <w:bookmarkStart w:id="59" w:name="_Toc107306567"/>
      <w:r>
        <w:t>Compilation table</w:t>
      </w:r>
      <w:bookmarkEnd w:id="5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napToGrid w:val="0"/>
              </w:rPr>
            </w:pPr>
            <w:r>
              <w:rPr>
                <w:b/>
                <w:bCs/>
                <w:snapToGrid w:val="0"/>
              </w:rPr>
              <w:t xml:space="preserve">Reprint 1:  The </w:t>
            </w:r>
            <w:r>
              <w:rPr>
                <w:b/>
                <w:bCs/>
                <w:i/>
              </w:rPr>
              <w:t xml:space="preserve">Magistrates Court (Fees) Regulations 2005 </w:t>
            </w:r>
            <w:r>
              <w:rPr>
                <w:b/>
                <w:bCs/>
                <w:snapToGrid w:val="0"/>
              </w:rPr>
              <w:t>as at 13 Feb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Magistrates Court (Fees) Amendment Regulations (No. 2) 2011</w:t>
            </w:r>
            <w:r>
              <w:rPr>
                <w:vertAlign w:val="superscript"/>
              </w:rPr>
              <w:t> 1</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2012</w:t>
            </w:r>
          </w:p>
        </w:tc>
        <w:tc>
          <w:tcPr>
            <w:tcW w:w="1276" w:type="dxa"/>
            <w:gridSpan w:val="2"/>
          </w:tcPr>
          <w:p>
            <w:pPr>
              <w:pStyle w:val="nTable"/>
              <w:spacing w:after="40"/>
            </w:pPr>
            <w:r>
              <w:t>17 Jan 2012 p. 463</w:t>
            </w:r>
            <w:r>
              <w:noBreakHyphen/>
              <w:t>5</w:t>
            </w:r>
          </w:p>
        </w:tc>
        <w:tc>
          <w:tcPr>
            <w:tcW w:w="2693" w:type="dxa"/>
            <w:gridSpan w:val="2"/>
          </w:tcPr>
          <w:p>
            <w:pPr>
              <w:pStyle w:val="nTable"/>
              <w:spacing w:after="40"/>
              <w:rPr>
                <w:snapToGrid w:val="0"/>
              </w:rPr>
            </w:pPr>
            <w:r>
              <w:rPr>
                <w:snapToGrid w:val="0"/>
              </w:rPr>
              <w:t>r. 1 and 2: 17 Jan 2012 (see r. 2(a));</w:t>
            </w:r>
            <w:r>
              <w:rPr>
                <w:snapToGrid w:val="0"/>
              </w:rPr>
              <w:br/>
              <w:t>Regulations other than r. 1 and 2: 18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2012</w:t>
            </w:r>
          </w:p>
        </w:tc>
        <w:tc>
          <w:tcPr>
            <w:tcW w:w="1276" w:type="dxa"/>
            <w:gridSpan w:val="2"/>
          </w:tcPr>
          <w:p>
            <w:pPr>
              <w:pStyle w:val="nTable"/>
              <w:spacing w:after="40"/>
            </w:pPr>
            <w:r>
              <w:t>27 Mar 2012 p. 1507</w:t>
            </w:r>
          </w:p>
        </w:tc>
        <w:tc>
          <w:tcPr>
            <w:tcW w:w="2693"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spacing w:after="40"/>
              <w:rPr>
                <w:snapToGrid w:val="0"/>
              </w:rPr>
            </w:pPr>
            <w:r>
              <w:rPr>
                <w:b/>
                <w:bCs/>
                <w:snapToGrid w:val="0"/>
              </w:rPr>
              <w:t xml:space="preserve">Reprint 2:  The </w:t>
            </w:r>
            <w:r>
              <w:rPr>
                <w:b/>
                <w:bCs/>
                <w:i/>
              </w:rPr>
              <w:t xml:space="preserve">Magistrates Court (Fees) Regulations 2005 </w:t>
            </w:r>
            <w:r>
              <w:rPr>
                <w:b/>
                <w:bCs/>
                <w:snapToGrid w:val="0"/>
              </w:rPr>
              <w:t>as at 6 Apr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3) 2012</w:t>
            </w:r>
          </w:p>
        </w:tc>
        <w:tc>
          <w:tcPr>
            <w:tcW w:w="1276" w:type="dxa"/>
            <w:gridSpan w:val="2"/>
          </w:tcPr>
          <w:p>
            <w:pPr>
              <w:pStyle w:val="nTable"/>
              <w:spacing w:after="40"/>
            </w:pPr>
            <w:r>
              <w:t>30 Nov 2012 p. 5791</w:t>
            </w:r>
            <w:r>
              <w:noBreakHyphen/>
              <w:t>3</w:t>
            </w:r>
          </w:p>
        </w:tc>
        <w:tc>
          <w:tcPr>
            <w:tcW w:w="2693"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2013</w:t>
            </w:r>
          </w:p>
        </w:tc>
        <w:tc>
          <w:tcPr>
            <w:tcW w:w="1276" w:type="dxa"/>
            <w:gridSpan w:val="2"/>
          </w:tcPr>
          <w:p>
            <w:pPr>
              <w:pStyle w:val="nTable"/>
              <w:spacing w:after="40"/>
            </w:pPr>
            <w:r>
              <w:t>20 Aug 2013 p. 3815-16</w:t>
            </w:r>
          </w:p>
        </w:tc>
        <w:tc>
          <w:tcPr>
            <w:tcW w:w="2693" w:type="dxa"/>
            <w:gridSpan w:val="2"/>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2013</w:t>
            </w:r>
          </w:p>
        </w:tc>
        <w:tc>
          <w:tcPr>
            <w:tcW w:w="1276" w:type="dxa"/>
            <w:gridSpan w:val="2"/>
          </w:tcPr>
          <w:p>
            <w:pPr>
              <w:pStyle w:val="nTable"/>
              <w:spacing w:after="40"/>
            </w:pPr>
            <w:r>
              <w:t>15 Nov 2013 p. 5248-50</w:t>
            </w:r>
          </w:p>
        </w:tc>
        <w:tc>
          <w:tcPr>
            <w:tcW w:w="2693" w:type="dxa"/>
            <w:gridSpan w:val="2"/>
          </w:tcPr>
          <w:p>
            <w:pPr>
              <w:pStyle w:val="nTable"/>
              <w:spacing w:after="40"/>
              <w:rPr>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Magistrates Court (Fees) Amendment Regulations (No. 3) 2014</w:t>
            </w:r>
          </w:p>
        </w:tc>
        <w:tc>
          <w:tcPr>
            <w:tcW w:w="1276" w:type="dxa"/>
            <w:gridSpan w:val="2"/>
          </w:tcPr>
          <w:p>
            <w:pPr>
              <w:pStyle w:val="nTable"/>
              <w:spacing w:after="40"/>
            </w:pPr>
            <w:r>
              <w:t>27 Jun 2014 p. 2342-4</w:t>
            </w:r>
          </w:p>
        </w:tc>
        <w:tc>
          <w:tcPr>
            <w:tcW w:w="2693" w:type="dxa"/>
            <w:gridSpan w:val="2"/>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2015</w:t>
            </w:r>
          </w:p>
        </w:tc>
        <w:tc>
          <w:tcPr>
            <w:tcW w:w="1276" w:type="dxa"/>
            <w:gridSpan w:val="2"/>
          </w:tcPr>
          <w:p>
            <w:pPr>
              <w:pStyle w:val="nTable"/>
              <w:spacing w:after="40"/>
            </w:pPr>
            <w:r>
              <w:t>10 Feb 2015 p. 613</w:t>
            </w:r>
          </w:p>
        </w:tc>
        <w:tc>
          <w:tcPr>
            <w:tcW w:w="2693" w:type="dxa"/>
            <w:gridSpan w:val="2"/>
          </w:tcPr>
          <w:p>
            <w:pPr>
              <w:pStyle w:val="nTable"/>
              <w:keepNext/>
              <w:spacing w:after="40"/>
              <w:rPr>
                <w:snapToGrid w:val="0"/>
              </w:rPr>
            </w:pPr>
            <w:r>
              <w:rPr>
                <w:snapToGrid w:val="0"/>
              </w:rPr>
              <w:t>r. 1 and 2: 10 Feb 2015 (see r. 2(a));</w:t>
            </w:r>
            <w:r>
              <w:rPr>
                <w:snapToGrid w:val="0"/>
              </w:rPr>
              <w:br/>
              <w:t xml:space="preserve">Regulations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snapToGrid w:val="0"/>
              </w:rPr>
            </w:pPr>
            <w:r>
              <w:rPr>
                <w:snapToGrid w:val="0"/>
              </w:rPr>
              <w:t>r. 1 and 2: 4</w:t>
            </w:r>
            <w:r>
              <w:t xml:space="preserve"> Sep 2015</w:t>
            </w:r>
            <w:r>
              <w:rPr>
                <w:snapToGrid w:val="0"/>
              </w:rPr>
              <w:t xml:space="preserve"> (see r. 2(a));</w:t>
            </w:r>
            <w:r>
              <w:rPr>
                <w:snapToGrid w:val="0"/>
              </w:rPr>
              <w:br/>
              <w:t>Regulations other than r. 1 and 2: 5 Sep 2015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keepNext/>
              <w:spacing w:after="40"/>
              <w:rPr>
                <w:snapToGrid w:val="0"/>
              </w:rPr>
            </w:pPr>
            <w:r>
              <w:rPr>
                <w:b/>
                <w:snapToGrid w:val="0"/>
              </w:rPr>
              <w:t xml:space="preserve">Reprint 3: The </w:t>
            </w:r>
            <w:r>
              <w:rPr>
                <w:b/>
                <w:i/>
                <w:noProof/>
                <w:snapToGrid w:val="0"/>
              </w:rPr>
              <w:t>Magistrates Court (Fees) Regulations 2005</w:t>
            </w:r>
            <w:r>
              <w:rPr>
                <w:b/>
                <w:snapToGrid w:val="0"/>
              </w:rPr>
              <w:t xml:space="preserve"> as at 3 Dec 2015</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b/>
                <w:snapToGrid w:val="0"/>
              </w:rPr>
            </w:pPr>
            <w:r>
              <w:t>14 Jun 2016 p. 1849</w:t>
            </w:r>
            <w:r>
              <w:noBreakHyphen/>
              <w:t>986</w:t>
            </w:r>
          </w:p>
        </w:tc>
        <w:tc>
          <w:tcPr>
            <w:tcW w:w="2664" w:type="dxa"/>
            <w:shd w:val="clear" w:color="auto" w:fill="auto"/>
          </w:tcPr>
          <w:p>
            <w:pPr>
              <w:pStyle w:val="nTable"/>
              <w:keepNext/>
              <w:spacing w:after="40"/>
              <w:rPr>
                <w:b/>
                <w:snapToGrid w:val="0"/>
              </w:rPr>
            </w:pPr>
            <w:r>
              <w:t>4 Jul 2016 (see r. 2(b))</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snapToGrid w:val="0"/>
              </w:rPr>
              <w:t xml:space="preserve">r. 1 and 2: </w:t>
            </w:r>
            <w:r>
              <w:t>1 Jul 2016</w:t>
            </w:r>
            <w:r>
              <w:rPr>
                <w:snapToGrid w:val="0"/>
              </w:rPr>
              <w:t xml:space="preserve"> (see r. 2(a));</w:t>
            </w:r>
            <w:r>
              <w:rPr>
                <w:snapToGrid w:val="0"/>
              </w:rPr>
              <w:br/>
              <w:t>Regulations other than r. 1 and 2: 4</w:t>
            </w:r>
            <w:r>
              <w:t> Jul 2016</w:t>
            </w:r>
            <w:r>
              <w:rPr>
                <w:snapToGrid w:val="0"/>
              </w:rPr>
              <w:t xml:space="preserve"> (see r. 2(b) and </w:t>
            </w:r>
            <w:r>
              <w:rPr>
                <w:i/>
                <w:snapToGrid w:val="0"/>
              </w:rPr>
              <w:t>Gazette</w:t>
            </w:r>
            <w:r>
              <w:rPr>
                <w:snapToGrid w:val="0"/>
              </w:rPr>
              <w:t xml:space="preserve"> 14 Jun 2016 p. 1855)</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snapToGrid w:val="0"/>
              </w:rPr>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(Bailiff Fees) Regulations 2018</w:t>
            </w:r>
            <w:r>
              <w:t xml:space="preserve"> Pt. 5</w:t>
            </w:r>
          </w:p>
        </w:tc>
        <w:tc>
          <w:tcPr>
            <w:tcW w:w="1276" w:type="dxa"/>
            <w:gridSpan w:val="2"/>
            <w:shd w:val="clear" w:color="auto" w:fill="auto"/>
          </w:tcPr>
          <w:p>
            <w:pPr>
              <w:pStyle w:val="nTable"/>
              <w:spacing w:after="40"/>
            </w:pPr>
            <w:r>
              <w:t>9 Feb 2018 p. 401</w:t>
            </w:r>
            <w:r>
              <w:noBreakHyphen/>
              <w:t>5</w:t>
            </w:r>
          </w:p>
        </w:tc>
        <w:tc>
          <w:tcPr>
            <w:tcW w:w="2693" w:type="dxa"/>
            <w:gridSpan w:val="2"/>
            <w:shd w:val="clear" w:color="auto" w:fill="auto"/>
          </w:tcPr>
          <w:p>
            <w:pPr>
              <w:pStyle w:val="nTable"/>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8</w:t>
            </w:r>
          </w:p>
        </w:tc>
        <w:tc>
          <w:tcPr>
            <w:tcW w:w="1276" w:type="dxa"/>
            <w:gridSpan w:val="2"/>
            <w:shd w:val="clear" w:color="auto" w:fill="auto"/>
          </w:tcPr>
          <w:p>
            <w:pPr>
              <w:pStyle w:val="nTable"/>
              <w:spacing w:after="40"/>
            </w:pPr>
            <w:r>
              <w:t>15 Jun 2018 p. 1963</w:t>
            </w:r>
            <w:r>
              <w:noBreakHyphen/>
              <w:t>2049</w:t>
            </w:r>
          </w:p>
        </w:tc>
        <w:tc>
          <w:tcPr>
            <w:tcW w:w="2693" w:type="dxa"/>
            <w:gridSpan w:val="2"/>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lastRenderedPageBreak/>
              <w:t>Justice Regulations Amendment (Fee Relief) Regulations 2018</w:t>
            </w:r>
            <w:r>
              <w:t xml:space="preserve"> Pt. 6</w:t>
            </w:r>
          </w:p>
        </w:tc>
        <w:tc>
          <w:tcPr>
            <w:tcW w:w="1276" w:type="dxa"/>
            <w:gridSpan w:val="2"/>
            <w:shd w:val="clear" w:color="auto" w:fill="auto"/>
          </w:tcPr>
          <w:p>
            <w:pPr>
              <w:pStyle w:val="nTable"/>
              <w:keepNext/>
              <w:spacing w:after="40"/>
            </w:pPr>
            <w:r>
              <w:t>20 Jul 2018 p. 2621</w:t>
            </w:r>
            <w:r>
              <w:noBreakHyphen/>
              <w:t>30</w:t>
            </w:r>
          </w:p>
        </w:tc>
        <w:tc>
          <w:tcPr>
            <w:tcW w:w="2693"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(Transcript Fees) Regulations 2018 </w:t>
            </w:r>
            <w:r>
              <w:t>Pt. 5</w:t>
            </w:r>
          </w:p>
        </w:tc>
        <w:tc>
          <w:tcPr>
            <w:tcW w:w="1276" w:type="dxa"/>
            <w:gridSpan w:val="2"/>
            <w:shd w:val="clear" w:color="auto" w:fill="auto"/>
          </w:tcPr>
          <w:p>
            <w:pPr>
              <w:pStyle w:val="nTable"/>
              <w:spacing w:after="40"/>
            </w:pPr>
            <w:r>
              <w:t>7 Dec 2018 p. 4667</w:t>
            </w:r>
            <w:r>
              <w:noBreakHyphen/>
              <w:t>74</w:t>
            </w:r>
          </w:p>
        </w:tc>
        <w:tc>
          <w:tcPr>
            <w:tcW w:w="2693" w:type="dxa"/>
            <w:gridSpan w:val="2"/>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(Transcript Fees) Regulations 2019 </w:t>
            </w:r>
            <w:r>
              <w:t>Pt. 5</w:t>
            </w:r>
          </w:p>
        </w:tc>
        <w:tc>
          <w:tcPr>
            <w:tcW w:w="1276" w:type="dxa"/>
            <w:gridSpan w:val="2"/>
            <w:shd w:val="clear" w:color="auto" w:fill="auto"/>
          </w:tcPr>
          <w:p>
            <w:pPr>
              <w:pStyle w:val="nTable"/>
              <w:spacing w:after="40"/>
            </w:pPr>
            <w:r>
              <w:t>12 Mar 2019 p. 666</w:t>
            </w:r>
            <w:r>
              <w:noBreakHyphen/>
              <w:t>9</w:t>
            </w:r>
          </w:p>
        </w:tc>
        <w:tc>
          <w:tcPr>
            <w:tcW w:w="2693" w:type="dxa"/>
            <w:gridSpan w:val="2"/>
            <w:shd w:val="clear" w:color="auto" w:fill="auto"/>
          </w:tcPr>
          <w:p>
            <w:pPr>
              <w:pStyle w:val="nTable"/>
              <w:spacing w:after="40"/>
            </w:pPr>
            <w:r>
              <w:rPr>
                <w:bCs/>
                <w:snapToGrid w:val="0"/>
              </w:rPr>
              <w:t>13 Mar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10</w:t>
            </w:r>
          </w:p>
        </w:tc>
        <w:tc>
          <w:tcPr>
            <w:tcW w:w="1276" w:type="dxa"/>
            <w:gridSpan w:val="2"/>
            <w:tcBorders>
              <w:top w:val="nil"/>
              <w:bottom w:val="nil"/>
            </w:tcBorders>
            <w:shd w:val="clear" w:color="auto" w:fill="auto"/>
          </w:tcPr>
          <w:p>
            <w:pPr>
              <w:pStyle w:val="nTable"/>
              <w:spacing w:after="40"/>
            </w:pPr>
            <w:r>
              <w:t>28 Jun 2019 p. 2553</w:t>
            </w:r>
            <w:r>
              <w:noBreakHyphen/>
              <w:t>642</w:t>
            </w:r>
          </w:p>
        </w:tc>
        <w:tc>
          <w:tcPr>
            <w:tcW w:w="2693" w:type="dxa"/>
            <w:gridSpan w:val="2"/>
            <w:tcBorders>
              <w:top w:val="nil"/>
              <w:bottom w:val="nil"/>
            </w:tcBorders>
            <w:shd w:val="clear" w:color="auto" w:fill="auto"/>
          </w:tcPr>
          <w:p>
            <w:pPr>
              <w:pStyle w:val="nTable"/>
              <w:spacing w:after="40"/>
              <w:rPr>
                <w:bCs/>
                <w:snapToGrid w:val="0"/>
              </w:rPr>
            </w:pPr>
            <w:r>
              <w:t>1 Jul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2020</w:t>
            </w:r>
            <w:r>
              <w:t xml:space="preserve"> Pt. 8</w:t>
            </w:r>
          </w:p>
        </w:tc>
        <w:tc>
          <w:tcPr>
            <w:tcW w:w="1276" w:type="dxa"/>
            <w:gridSpan w:val="2"/>
            <w:tcBorders>
              <w:top w:val="nil"/>
              <w:bottom w:val="nil"/>
            </w:tcBorders>
            <w:shd w:val="clear" w:color="auto" w:fill="auto"/>
          </w:tcPr>
          <w:p>
            <w:pPr>
              <w:pStyle w:val="nTable"/>
              <w:spacing w:after="40"/>
            </w:pPr>
            <w:r>
              <w:t>SL 2020/124 31 Jul 2020</w:t>
            </w:r>
          </w:p>
        </w:tc>
        <w:tc>
          <w:tcPr>
            <w:tcW w:w="2693" w:type="dxa"/>
            <w:gridSpan w:val="2"/>
            <w:tcBorders>
              <w:top w:val="nil"/>
              <w:bottom w:val="nil"/>
            </w:tcBorders>
            <w:shd w:val="clear" w:color="auto" w:fill="auto"/>
          </w:tcPr>
          <w:p>
            <w:pPr>
              <w:pStyle w:val="nTable"/>
              <w:spacing w:after="40"/>
            </w:pPr>
            <w:r>
              <w:t>1 Aug 2020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2021</w:t>
            </w:r>
            <w:r>
              <w:t xml:space="preserve"> Pt. 9</w:t>
            </w:r>
          </w:p>
        </w:tc>
        <w:tc>
          <w:tcPr>
            <w:tcW w:w="1276" w:type="dxa"/>
            <w:gridSpan w:val="2"/>
            <w:tcBorders>
              <w:top w:val="nil"/>
              <w:bottom w:val="nil"/>
            </w:tcBorders>
            <w:shd w:val="clear" w:color="auto" w:fill="auto"/>
          </w:tcPr>
          <w:p>
            <w:pPr>
              <w:pStyle w:val="nTable"/>
              <w:spacing w:after="40"/>
            </w:pPr>
            <w:r>
              <w:t>SL 2021/101</w:t>
            </w:r>
            <w:r>
              <w:br/>
              <w:t>29 Jun 2021</w:t>
            </w:r>
          </w:p>
        </w:tc>
        <w:tc>
          <w:tcPr>
            <w:tcW w:w="2693" w:type="dxa"/>
            <w:gridSpan w:val="2"/>
            <w:tcBorders>
              <w:top w:val="nil"/>
              <w:bottom w:val="nil"/>
            </w:tcBorders>
            <w:shd w:val="clear" w:color="auto" w:fill="auto"/>
          </w:tcPr>
          <w:p>
            <w:pPr>
              <w:pStyle w:val="nTable"/>
              <w:spacing w:after="40"/>
            </w:pPr>
            <w:r>
              <w:t>1 Jul 2021 (see r. 2(b))</w:t>
            </w:r>
          </w:p>
        </w:tc>
      </w:tr>
      <w:tr>
        <w:tc>
          <w:tcPr>
            <w:tcW w:w="3118" w:type="dxa"/>
            <w:tcBorders>
              <w:top w:val="nil"/>
              <w:bottom w:val="nil"/>
            </w:tcBorders>
            <w:shd w:val="clear" w:color="auto" w:fill="auto"/>
          </w:tcPr>
          <w:p>
            <w:pPr>
              <w:pStyle w:val="nTable"/>
              <w:spacing w:after="40"/>
              <w:rPr>
                <w:i/>
              </w:rPr>
            </w:pPr>
            <w:r>
              <w:rPr>
                <w:i/>
              </w:rPr>
              <w:t>Magistrates Court (Fees) Amendment Regulations 2021</w:t>
            </w:r>
          </w:p>
        </w:tc>
        <w:tc>
          <w:tcPr>
            <w:tcW w:w="1276" w:type="dxa"/>
            <w:gridSpan w:val="2"/>
            <w:tcBorders>
              <w:top w:val="nil"/>
              <w:bottom w:val="nil"/>
            </w:tcBorders>
            <w:shd w:val="clear" w:color="auto" w:fill="auto"/>
          </w:tcPr>
          <w:p>
            <w:pPr>
              <w:pStyle w:val="nTable"/>
              <w:spacing w:after="40"/>
            </w:pPr>
            <w:r>
              <w:t>SL 2021/119</w:t>
            </w:r>
            <w:r>
              <w:br/>
              <w:t>2 Jul 2021</w:t>
            </w:r>
          </w:p>
        </w:tc>
        <w:tc>
          <w:tcPr>
            <w:tcW w:w="2693" w:type="dxa"/>
            <w:gridSpan w:val="2"/>
            <w:tcBorders>
              <w:top w:val="nil"/>
              <w:bottom w:val="nil"/>
            </w:tcBorders>
            <w:shd w:val="clear" w:color="auto" w:fill="auto"/>
          </w:tcPr>
          <w:p>
            <w:pPr>
              <w:pStyle w:val="nTable"/>
              <w:spacing w:after="40"/>
            </w:pPr>
            <w:r>
              <w:rPr>
                <w:snapToGrid w:val="0"/>
              </w:rPr>
              <w:t xml:space="preserve">r. 1 and 2: </w:t>
            </w:r>
            <w:r>
              <w:t>2 Jul 2021</w:t>
            </w:r>
            <w:r>
              <w:rPr>
                <w:snapToGrid w:val="0"/>
              </w:rPr>
              <w:t xml:space="preserve"> (see r. 2(a));</w:t>
            </w:r>
            <w:r>
              <w:rPr>
                <w:snapToGrid w:val="0"/>
              </w:rPr>
              <w:br/>
              <w:t>Regulations other than r. 1 and 2: 3 Jul 2021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(Fees and Charges) Regulations 2022</w:t>
            </w:r>
            <w:r>
              <w:t xml:space="preserve"> Pt. 10</w:t>
            </w:r>
          </w:p>
        </w:tc>
        <w:tc>
          <w:tcPr>
            <w:tcW w:w="1276" w:type="dxa"/>
            <w:gridSpan w:val="2"/>
            <w:shd w:val="clear" w:color="auto" w:fill="auto"/>
          </w:tcPr>
          <w:p>
            <w:pPr>
              <w:pStyle w:val="nTable"/>
              <w:spacing w:after="40"/>
            </w:pPr>
            <w:r>
              <w:t>SL 2022/111 30 Jun 2022</w:t>
            </w:r>
          </w:p>
        </w:tc>
        <w:tc>
          <w:tcPr>
            <w:tcW w:w="2693" w:type="dxa"/>
            <w:gridSpan w:val="2"/>
            <w:shd w:val="clear" w:color="auto" w:fill="auto"/>
          </w:tcPr>
          <w:p>
            <w:pPr>
              <w:pStyle w:val="nTable"/>
              <w:spacing w:after="40"/>
              <w:rPr>
                <w:snapToGrid w:val="0"/>
              </w:rPr>
            </w:pPr>
            <w:r>
              <w:t>1 Jul 2022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Attorney General Regulations Amendment (Legal Profession) Regulations 2022</w:t>
            </w:r>
            <w:r>
              <w:t xml:space="preserve"> Pt. 4</w:t>
            </w:r>
          </w:p>
        </w:tc>
        <w:tc>
          <w:tcPr>
            <w:tcW w:w="1276" w:type="dxa"/>
            <w:gridSpan w:val="2"/>
            <w:tcBorders>
              <w:bottom w:val="single" w:sz="4" w:space="0" w:color="auto"/>
            </w:tcBorders>
            <w:shd w:val="clear" w:color="auto" w:fill="auto"/>
          </w:tcPr>
          <w:p>
            <w:pPr>
              <w:pStyle w:val="nTable"/>
              <w:spacing w:after="40"/>
            </w:pPr>
            <w:r>
              <w:t>SL 2022/114 30 Jun 2022</w:t>
            </w:r>
          </w:p>
        </w:tc>
        <w:tc>
          <w:tcPr>
            <w:tcW w:w="2693" w:type="dxa"/>
            <w:gridSpan w:val="2"/>
            <w:tcBorders>
              <w:bottom w:val="single" w:sz="4" w:space="0" w:color="auto"/>
            </w:tcBorders>
            <w:shd w:val="clear" w:color="auto" w:fill="auto"/>
          </w:tcPr>
          <w:p>
            <w:pPr>
              <w:pStyle w:val="nTable"/>
              <w:spacing w:after="40"/>
              <w:rPr>
                <w:snapToGrid w:val="0"/>
              </w:rPr>
            </w:pPr>
            <w:r>
              <w:t>1 Jul 2022 (see r. 2(d) and SL 2022/113 cl. 2)</w:t>
            </w:r>
          </w:p>
        </w:tc>
      </w:tr>
    </w:tbl>
    <w:p>
      <w:pPr>
        <w:pStyle w:val="nHeading3"/>
      </w:pPr>
      <w:bookmarkStart w:id="60" w:name="_Toc107306568"/>
      <w:r>
        <w:t>Other notes</w:t>
      </w:r>
      <w:bookmarkEnd w:id="60"/>
    </w:p>
    <w:p>
      <w:pPr>
        <w:pStyle w:val="nNote"/>
      </w:pPr>
      <w:r>
        <w:rPr>
          <w:vertAlign w:val="superscript"/>
        </w:rPr>
        <w:t>1</w:t>
      </w:r>
      <w:r>
        <w:tab/>
        <w:t xml:space="preserve">The Table to r. 4 of the </w:t>
      </w:r>
      <w:r>
        <w:rPr>
          <w:i/>
        </w:rPr>
        <w:t>Magistrates Court (Fees) Amendment Regulations (No. 2) 2011</w:t>
      </w:r>
      <w:r>
        <w:t xml:space="preserve"> included amendments to Schedule 1 Divisions 2 and 3.  These amendments are not included because the instruction in r. 4 referred only to Schedule 1 Division 1.</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r>
        <w:rPr>
          <w:sz w:val="28"/>
        </w:rPr>
        <w:lastRenderedPageBreak/>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case statement</w:t>
      </w:r>
      <w:r>
        <w:tab/>
        <w:t>3</w:t>
      </w:r>
    </w:p>
    <w:p>
      <w:pPr>
        <w:pStyle w:val="DefinedTerms"/>
      </w:pPr>
      <w:r>
        <w:t>Centrelink</w:t>
      </w:r>
      <w:r>
        <w:tab/>
        <w:t>8(1)</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entity</w:t>
      </w:r>
      <w:r>
        <w:tab/>
        <w:t>3</w:t>
      </w:r>
    </w:p>
    <w:p>
      <w:pPr>
        <w:pStyle w:val="DefinedTerms"/>
      </w:pPr>
      <w:r>
        <w:t>Form</w:t>
      </w:r>
      <w:r>
        <w:tab/>
        <w:t>3</w:t>
      </w:r>
    </w:p>
    <w:p>
      <w:pPr>
        <w:pStyle w:val="DefinedTerms"/>
      </w:pPr>
      <w:r>
        <w:t>individual</w:t>
      </w:r>
      <w:r>
        <w:tab/>
        <w:t>3</w:t>
      </w:r>
    </w:p>
    <w:p>
      <w:pPr>
        <w:pStyle w:val="DefinedTerms"/>
      </w:pPr>
      <w:r>
        <w:t>interim order</w:t>
      </w:r>
      <w:r>
        <w:tab/>
        <w:t>6A(1)</w:t>
      </w:r>
    </w:p>
    <w:p>
      <w:pPr>
        <w:pStyle w:val="DefinedTerms"/>
      </w:pPr>
      <w:r>
        <w:t>interim order respondent</w:t>
      </w:r>
      <w:r>
        <w:tab/>
        <w:t>6A(2)</w:t>
      </w:r>
    </w:p>
    <w:p>
      <w:pPr>
        <w:pStyle w:val="DefinedTerms"/>
      </w:pPr>
      <w:r>
        <w:t>minor cases procedure</w:t>
      </w:r>
      <w:r>
        <w:tab/>
        <w:t>3</w:t>
      </w:r>
    </w:p>
    <w:p>
      <w:pPr>
        <w:pStyle w:val="DefinedTerms"/>
      </w:pPr>
      <w:r>
        <w:t>non-profit association</w:t>
      </w:r>
      <w:r>
        <w:tab/>
        <w:t>3</w:t>
      </w:r>
    </w:p>
    <w:p>
      <w:pPr>
        <w:pStyle w:val="DefinedTerms"/>
      </w:pPr>
      <w:r>
        <w:t>party</w:t>
      </w:r>
      <w:r>
        <w:tab/>
        <w:t>3</w:t>
      </w:r>
    </w:p>
    <w:p>
      <w:pPr>
        <w:pStyle w:val="DefinedTerms"/>
      </w:pPr>
      <w:r>
        <w:t>person</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 w:name="Coversheet"/>
    <w:bookmarkEnd w:id="6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495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24713"/>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 w:name="WAFER_20180625153354" w:val="RemoveTocBookmarks,RemoveUnusedBookmarks,RemoveLanguageTags,UsedStyles,ResetPageSize"/>
    <w:docVar w:name="WAFER_20180625153354_GUID" w:val="9a2c5e83-26f0-4123-89bf-e0b5c6cf7b86"/>
    <w:docVar w:name="WAFER_20180719102716" w:val="RemoveTocBookmarks,RemoveUnusedBookmarks,RemoveLanguageTags,UsedStyles,ResetPageSize"/>
    <w:docVar w:name="WAFER_20180719102716_GUID" w:val="7faefb5f-12f8-4e3b-9516-3644f56243b9"/>
    <w:docVar w:name="WAFER_20181206112850" w:val="RemoveTocBookmarks,RemoveUnusedBookmarks,RemoveLanguageTags,UsedStyles,ResetPageSize"/>
    <w:docVar w:name="WAFER_20181206112850_GUID" w:val="0d386bf9-e730-484b-8e28-f80f75b884e4"/>
    <w:docVar w:name="WAFER_20190311142150" w:val="RemoveTocBookmarks,RemoveUnusedBookmarks,RemoveLanguageTags,UpdateStyles,UsedStyles,ResetPageSize"/>
    <w:docVar w:name="WAFER_20190311142150_GUID" w:val="0152a530-3ae0-4013-ba6f-f174795a0354"/>
    <w:docVar w:name="WAFER_20200730152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717_GUID" w:val="1962910f-f725-4c59-b408-57196efe38f3"/>
    <w:docVar w:name="WAFER_202106251501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116_GUID" w:val="3c99fb2b-5d93-431d-a5f4-84ac89ad19a2"/>
    <w:docVar w:name="WAFER_2021063015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155845_GUID" w:val="2eaee7c1-f5ce-41cd-98ce-b8e4cd09c619"/>
    <w:docVar w:name="WAFER_202206271247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24713_GUID" w:val="ac2809ab-c0bd-4c7e-84e0-5fa6e249aa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yTableNAm"/>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0CD74-16AD-4188-8905-BFEEC983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8048</Words>
  <Characters>39437</Characters>
  <Application>Microsoft Office Word</Application>
  <DocSecurity>0</DocSecurity>
  <Lines>1792</Lines>
  <Paragraphs>1010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2005 - 03-q0-00</dc:title>
  <dc:subject/>
  <dc:creator/>
  <cp:keywords/>
  <dc:description/>
  <cp:lastModifiedBy>Master Repository Process</cp:lastModifiedBy>
  <cp:revision>4</cp:revision>
  <cp:lastPrinted>2018-12-06T07:31:00Z</cp:lastPrinted>
  <dcterms:created xsi:type="dcterms:W3CDTF">2022-06-30T02:08:00Z</dcterms:created>
  <dcterms:modified xsi:type="dcterms:W3CDTF">2022-06-30T02:08:00Z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AsAtDate">
    <vt:lpwstr>01 Jul 2022</vt:lpwstr>
  </property>
  <property fmtid="{D5CDD505-2E9C-101B-9397-08002B2CF9AE}" pid="8" name="Suffix">
    <vt:lpwstr>03-q0-00</vt:lpwstr>
  </property>
  <property fmtid="{D5CDD505-2E9C-101B-9397-08002B2CF9AE}" pid="9" name="CommencementDate">
    <vt:lpwstr>20220701</vt:lpwstr>
  </property>
</Properties>
</file>