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_Toc106877758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_Toc106877759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_Toc106877760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_Toc106877761 \h </w:instrText>
      </w:r>
      <w:r>
        <w:fldChar w:fldCharType="separate"/>
      </w:r>
      <w:r>
        <w:t>20</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_Toc106877762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_Toc106877763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_Toc106877765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_Toc106877766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_Toc106877767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_Toc106877768 \h </w:instrText>
      </w:r>
      <w:r>
        <w:fldChar w:fldCharType="separate"/>
      </w:r>
      <w:r>
        <w:t>26</w:t>
      </w:r>
      <w:r>
        <w:fldChar w:fldCharType="end"/>
      </w:r>
    </w:p>
    <w:p>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_Toc106877769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_Toc106877770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_Toc106877772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_Toc106877773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_Toc106877775 \h </w:instrText>
      </w:r>
      <w:r>
        <w:fldChar w:fldCharType="separate"/>
      </w:r>
      <w:r>
        <w:t>30</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_Toc106877776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_Toc106877777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_Toc106877779 \h </w:instrText>
      </w:r>
      <w:r>
        <w:fldChar w:fldCharType="separate"/>
      </w:r>
      <w:r>
        <w:t>33</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_Toc106877780 \h </w:instrText>
      </w:r>
      <w:r>
        <w:fldChar w:fldCharType="separate"/>
      </w:r>
      <w:r>
        <w:t>33</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_Toc106877781 \h </w:instrText>
      </w:r>
      <w:r>
        <w:fldChar w:fldCharType="separate"/>
      </w:r>
      <w:r>
        <w:t>35</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_Toc106877782 \h </w:instrText>
      </w:r>
      <w:r>
        <w:fldChar w:fldCharType="separate"/>
      </w:r>
      <w:r>
        <w:t>35</w:t>
      </w:r>
      <w:r>
        <w:fldChar w:fldCharType="end"/>
      </w:r>
    </w:p>
    <w:p>
      <w:pPr>
        <w:pStyle w:val="TOC8"/>
        <w:rPr>
          <w:rFonts w:asciiTheme="minorHAnsi" w:eastAsiaTheme="minorEastAsia" w:hAnsiTheme="minorHAnsi" w:cstheme="minorBidi"/>
          <w:szCs w:val="22"/>
        </w:rPr>
      </w:pPr>
      <w:r>
        <w:t>16.</w:t>
      </w:r>
      <w:r>
        <w:tab/>
        <w:t>Transitional</w:t>
      </w:r>
      <w:r>
        <w:tab/>
      </w:r>
      <w:r>
        <w:fldChar w:fldCharType="begin"/>
      </w:r>
      <w:r>
        <w:instrText xml:space="preserve"> PAGEREF _Toc106877783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_Toc106877787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3" w:name="_Toc106805604"/>
      <w:bookmarkStart w:id="4" w:name="_Toc106806213"/>
      <w:bookmarkStart w:id="5" w:name="_Toc10687775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06877758"/>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106877759"/>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9" w:name="_Toc106877760"/>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lastRenderedPageBreak/>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lastRenderedPageBreak/>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lastRenderedPageBreak/>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keepNext/>
      </w:pPr>
      <w:r>
        <w:tab/>
      </w:r>
      <w:r>
        <w:rPr>
          <w:rStyle w:val="CharDefText"/>
        </w:rPr>
        <w:t>driveline and transmission work</w:t>
      </w:r>
      <w:r>
        <w:t xml:space="preserve"> means any work required to do any of the following — </w:t>
      </w:r>
    </w:p>
    <w:p>
      <w:pPr>
        <w:pStyle w:val="Defpara"/>
      </w:pPr>
      <w:r>
        <w:tab/>
        <w:t>(a)</w:t>
      </w:r>
      <w:r>
        <w:tab/>
        <w:t>to service, repair, overhaul or modify a driveline that is, was, or may be, fitted to a motor vehicle;</w:t>
      </w:r>
    </w:p>
    <w:p>
      <w:pPr>
        <w:pStyle w:val="Defpara"/>
        <w:keepNext/>
      </w:pPr>
      <w:r>
        <w:lastRenderedPageBreak/>
        <w:tab/>
        <w:t>(b)</w:t>
      </w:r>
      <w:r>
        <w:tab/>
        <w:t xml:space="preserve">to service, repair, overhaul or modify any of the following that is, was, or may be, fitted to a heavy vehicle or light vehicle — </w:t>
      </w:r>
    </w:p>
    <w:p>
      <w:pPr>
        <w:pStyle w:val="Defsubpara"/>
      </w:pPr>
      <w:r>
        <w:tab/>
        <w:t>(i)</w:t>
      </w:r>
      <w:r>
        <w:tab/>
        <w:t>a transmission;</w:t>
      </w:r>
    </w:p>
    <w:p>
      <w:pPr>
        <w:pStyle w:val="Defsubpara"/>
      </w:pPr>
      <w:r>
        <w:tab/>
        <w:t>(ii)</w:t>
      </w:r>
      <w:r>
        <w:tab/>
        <w:t>a final drive assembly the differential of which is integrated with a transmission;</w:t>
      </w:r>
    </w:p>
    <w:p>
      <w:pPr>
        <w:pStyle w:val="Defsubpara"/>
      </w:pPr>
      <w:r>
        <w:tab/>
        <w:t>(iii)</w:t>
      </w:r>
      <w:r>
        <w:tab/>
        <w:t>an electronic drive management system;</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lastRenderedPageBreak/>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lastRenderedPageBreak/>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lastRenderedPageBreak/>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lastRenderedPageBreak/>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lastRenderedPageBreak/>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lastRenderedPageBreak/>
        <w:tab/>
      </w:r>
      <w:r>
        <w:rPr>
          <w:rStyle w:val="CharDefText"/>
        </w:rPr>
        <w:t>locksmith work</w:t>
      </w:r>
      <w:r>
        <w:t xml:space="preserve"> means any work required to service, repair or replace a locking or transponder system that is, was, or may be, fitted to a motor vehicle;</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lastRenderedPageBreak/>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lastRenderedPageBreak/>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lastRenderedPageBreak/>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lastRenderedPageBreak/>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lastRenderedPageBreak/>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lastRenderedPageBreak/>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lastRenderedPageBreak/>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lastRenderedPageBreak/>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 xml:space="preserve">a reference to a thing or system that is, was, or may be, fitted to a motor vehicle (whether or not those words are expressly used) includes a reference to any electrical or </w:t>
      </w:r>
      <w:r>
        <w:lastRenderedPageBreak/>
        <w:t>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w:t>
      </w:r>
    </w:p>
    <w:p>
      <w:pPr>
        <w:pStyle w:val="Heading5"/>
      </w:pPr>
      <w:bookmarkStart w:id="10" w:name="_Toc106877761"/>
      <w:r>
        <w:rPr>
          <w:rStyle w:val="CharSectno"/>
        </w:rPr>
        <w:t>4</w:t>
      </w:r>
      <w:r>
        <w:t>.</w:t>
      </w:r>
      <w:r>
        <w:tab/>
        <w:t>Exclusions from definition of motor vehicle</w:t>
      </w:r>
      <w:bookmarkEnd w:id="1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lastRenderedPageBreak/>
        <w:tab/>
        <w:t>(f)</w:t>
      </w:r>
      <w:r>
        <w:tab/>
        <w:t>a vehicle with a power output of not more than 200 watts.</w:t>
      </w:r>
    </w:p>
    <w:p>
      <w:pPr>
        <w:pStyle w:val="Footnotesection"/>
      </w:pPr>
      <w:r>
        <w:tab/>
        <w:t>[Regulation 4 amended: SL 2021/164 r. 25.]</w:t>
      </w:r>
    </w:p>
    <w:p>
      <w:pPr>
        <w:pStyle w:val="Heading5"/>
      </w:pPr>
      <w:bookmarkStart w:id="11" w:name="_Toc106877762"/>
      <w:r>
        <w:rPr>
          <w:rStyle w:val="CharSectno"/>
        </w:rPr>
        <w:t>5</w:t>
      </w:r>
      <w:r>
        <w:t>.</w:t>
      </w:r>
      <w:r>
        <w:tab/>
        <w:t>Classes of repair work prescribed (Act s. 5)</w:t>
      </w:r>
      <w:bookmarkEnd w:id="11"/>
    </w:p>
    <w:p>
      <w:pPr>
        <w:pStyle w:val="Subsection"/>
      </w:pPr>
      <w:r>
        <w:tab/>
      </w:r>
      <w:r>
        <w:tab/>
        <w:t>For the purposes of Part 3 of the Act, each kind of work listed in the Table is prescribed to be a class of repair work.</w:t>
      </w:r>
    </w:p>
    <w:p>
      <w:pPr>
        <w:pStyle w:val="THeadingNAm"/>
      </w:pPr>
      <w:r>
        <w:t>Table</w:t>
      </w:r>
    </w:p>
    <w:tbl>
      <w:tblPr>
        <w:tblW w:w="0" w:type="auto"/>
        <w:tblInd w:w="959" w:type="dxa"/>
        <w:tblLayout w:type="fixed"/>
        <w:tblLook w:val="0000" w:firstRow="0" w:lastRow="0" w:firstColumn="0" w:lastColumn="0" w:noHBand="0" w:noVBand="0"/>
      </w:tblPr>
      <w:tblGrid>
        <w:gridCol w:w="1276"/>
        <w:gridCol w:w="4819"/>
      </w:tblGrid>
      <w:tr>
        <w:trPr>
          <w:cantSplit/>
          <w:tblHeader/>
        </w:trPr>
        <w:tc>
          <w:tcPr>
            <w:tcW w:w="1276" w:type="dxa"/>
            <w:tcBorders>
              <w:top w:val="single" w:sz="4" w:space="0" w:color="auto"/>
              <w:bottom w:val="single" w:sz="4" w:space="0" w:color="auto"/>
            </w:tcBorders>
            <w:noWrap/>
          </w:tcPr>
          <w:p>
            <w:pPr>
              <w:pStyle w:val="TableNAm"/>
              <w:rPr>
                <w:b/>
                <w:sz w:val="22"/>
                <w:szCs w:val="22"/>
              </w:rPr>
            </w:pPr>
            <w:r>
              <w:rPr>
                <w:b/>
                <w:sz w:val="22"/>
                <w:szCs w:val="22"/>
              </w:rPr>
              <w:t>Item</w:t>
            </w:r>
          </w:p>
        </w:tc>
        <w:tc>
          <w:tcPr>
            <w:tcW w:w="4819" w:type="dxa"/>
            <w:tcBorders>
              <w:top w:val="single" w:sz="4" w:space="0" w:color="auto"/>
              <w:bottom w:val="single" w:sz="4" w:space="0" w:color="auto"/>
            </w:tcBorders>
            <w:noWrap/>
          </w:tcPr>
          <w:p>
            <w:pPr>
              <w:pStyle w:val="TableNAm"/>
              <w:rPr>
                <w:b/>
                <w:sz w:val="22"/>
                <w:szCs w:val="22"/>
              </w:rPr>
            </w:pPr>
            <w:r>
              <w:rPr>
                <w:b/>
                <w:sz w:val="22"/>
                <w:szCs w:val="22"/>
              </w:rPr>
              <w:t>Class of repair work</w:t>
            </w:r>
          </w:p>
        </w:tc>
      </w:tr>
      <w:tr>
        <w:trPr>
          <w:cantSplit/>
        </w:trPr>
        <w:tc>
          <w:tcPr>
            <w:tcW w:w="1276" w:type="dxa"/>
            <w:noWrap/>
          </w:tcPr>
          <w:p>
            <w:pPr>
              <w:pStyle w:val="TableNAm"/>
              <w:rPr>
                <w:sz w:val="22"/>
                <w:szCs w:val="22"/>
              </w:rPr>
            </w:pPr>
            <w:r>
              <w:rPr>
                <w:sz w:val="22"/>
                <w:szCs w:val="22"/>
              </w:rPr>
              <w:t>1.</w:t>
            </w:r>
          </w:p>
        </w:tc>
        <w:tc>
          <w:tcPr>
            <w:tcW w:w="4819" w:type="dxa"/>
            <w:noWrap/>
          </w:tcPr>
          <w:p>
            <w:pPr>
              <w:pStyle w:val="TableNAm"/>
              <w:rPr>
                <w:sz w:val="22"/>
                <w:szCs w:val="22"/>
              </w:rPr>
            </w:pPr>
            <w:r>
              <w:rPr>
                <w:sz w:val="22"/>
                <w:szCs w:val="22"/>
              </w:rPr>
              <w:t>Air conditioning work</w:t>
            </w:r>
          </w:p>
        </w:tc>
      </w:tr>
      <w:tr>
        <w:trPr>
          <w:cantSplit/>
        </w:trPr>
        <w:tc>
          <w:tcPr>
            <w:tcW w:w="1276" w:type="dxa"/>
            <w:noWrap/>
          </w:tcPr>
          <w:p>
            <w:pPr>
              <w:pStyle w:val="TableNAm"/>
              <w:rPr>
                <w:sz w:val="22"/>
                <w:szCs w:val="22"/>
              </w:rPr>
            </w:pPr>
            <w:r>
              <w:rPr>
                <w:sz w:val="22"/>
                <w:szCs w:val="22"/>
              </w:rPr>
              <w:t>2.</w:t>
            </w:r>
          </w:p>
        </w:tc>
        <w:tc>
          <w:tcPr>
            <w:tcW w:w="4819" w:type="dxa"/>
            <w:noWrap/>
          </w:tcPr>
          <w:p>
            <w:pPr>
              <w:pStyle w:val="TableNAm"/>
              <w:rPr>
                <w:sz w:val="22"/>
                <w:szCs w:val="22"/>
              </w:rPr>
            </w:pPr>
            <w:r>
              <w:rPr>
                <w:sz w:val="22"/>
                <w:szCs w:val="22"/>
              </w:rPr>
              <w:t>Body building work</w:t>
            </w:r>
          </w:p>
        </w:tc>
      </w:tr>
      <w:tr>
        <w:trPr>
          <w:cantSplit/>
        </w:trPr>
        <w:tc>
          <w:tcPr>
            <w:tcW w:w="1276" w:type="dxa"/>
            <w:noWrap/>
          </w:tcPr>
          <w:p>
            <w:pPr>
              <w:pStyle w:val="TableNAm"/>
              <w:rPr>
                <w:sz w:val="22"/>
                <w:szCs w:val="22"/>
              </w:rPr>
            </w:pPr>
            <w:r>
              <w:rPr>
                <w:sz w:val="22"/>
                <w:szCs w:val="22"/>
              </w:rPr>
              <w:t>3.</w:t>
            </w:r>
          </w:p>
        </w:tc>
        <w:tc>
          <w:tcPr>
            <w:tcW w:w="4819" w:type="dxa"/>
            <w:noWrap/>
          </w:tcPr>
          <w:p>
            <w:pPr>
              <w:pStyle w:val="TableNAm"/>
              <w:rPr>
                <w:sz w:val="22"/>
                <w:szCs w:val="22"/>
              </w:rPr>
            </w:pPr>
            <w:r>
              <w:rPr>
                <w:sz w:val="22"/>
                <w:szCs w:val="22"/>
              </w:rPr>
              <w:t>Brake work</w:t>
            </w:r>
          </w:p>
        </w:tc>
      </w:tr>
      <w:tr>
        <w:trPr>
          <w:cantSplit/>
        </w:trPr>
        <w:tc>
          <w:tcPr>
            <w:tcW w:w="1276" w:type="dxa"/>
            <w:noWrap/>
          </w:tcPr>
          <w:p>
            <w:pPr>
              <w:pStyle w:val="TableNAm"/>
              <w:rPr>
                <w:sz w:val="22"/>
                <w:szCs w:val="22"/>
              </w:rPr>
            </w:pPr>
            <w:r>
              <w:rPr>
                <w:sz w:val="22"/>
                <w:szCs w:val="22"/>
              </w:rPr>
              <w:t>4.</w:t>
            </w:r>
          </w:p>
        </w:tc>
        <w:tc>
          <w:tcPr>
            <w:tcW w:w="4819" w:type="dxa"/>
            <w:noWrap/>
          </w:tcPr>
          <w:p>
            <w:pPr>
              <w:pStyle w:val="TableNAm"/>
              <w:rPr>
                <w:sz w:val="22"/>
                <w:szCs w:val="22"/>
              </w:rPr>
            </w:pPr>
            <w:r>
              <w:rPr>
                <w:sz w:val="22"/>
                <w:szCs w:val="22"/>
              </w:rPr>
              <w:t>Cooling system work</w:t>
            </w:r>
          </w:p>
        </w:tc>
      </w:tr>
      <w:tr>
        <w:trPr>
          <w:cantSplit/>
        </w:trPr>
        <w:tc>
          <w:tcPr>
            <w:tcW w:w="1276" w:type="dxa"/>
            <w:noWrap/>
          </w:tcPr>
          <w:p>
            <w:pPr>
              <w:pStyle w:val="TableNAm"/>
              <w:rPr>
                <w:sz w:val="22"/>
                <w:szCs w:val="22"/>
              </w:rPr>
            </w:pPr>
            <w:r>
              <w:rPr>
                <w:sz w:val="22"/>
                <w:szCs w:val="22"/>
              </w:rPr>
              <w:t>5.</w:t>
            </w:r>
          </w:p>
        </w:tc>
        <w:tc>
          <w:tcPr>
            <w:tcW w:w="4819" w:type="dxa"/>
            <w:noWrap/>
          </w:tcPr>
          <w:p>
            <w:pPr>
              <w:pStyle w:val="TableNAm"/>
              <w:rPr>
                <w:sz w:val="22"/>
                <w:szCs w:val="22"/>
              </w:rPr>
            </w:pPr>
            <w:r>
              <w:rPr>
                <w:sz w:val="22"/>
                <w:szCs w:val="22"/>
              </w:rPr>
              <w:t>Diesel work</w:t>
            </w:r>
          </w:p>
        </w:tc>
      </w:tr>
      <w:tr>
        <w:trPr>
          <w:cantSplit/>
        </w:trPr>
        <w:tc>
          <w:tcPr>
            <w:tcW w:w="1276" w:type="dxa"/>
            <w:noWrap/>
          </w:tcPr>
          <w:p>
            <w:pPr>
              <w:pStyle w:val="TableNAm"/>
              <w:rPr>
                <w:sz w:val="22"/>
                <w:szCs w:val="22"/>
              </w:rPr>
            </w:pPr>
            <w:r>
              <w:rPr>
                <w:sz w:val="22"/>
                <w:szCs w:val="22"/>
              </w:rPr>
              <w:t>6.</w:t>
            </w:r>
          </w:p>
        </w:tc>
        <w:tc>
          <w:tcPr>
            <w:tcW w:w="4819" w:type="dxa"/>
            <w:noWrap/>
          </w:tcPr>
          <w:p>
            <w:pPr>
              <w:pStyle w:val="TableNAm"/>
              <w:rPr>
                <w:sz w:val="22"/>
                <w:szCs w:val="22"/>
              </w:rPr>
            </w:pPr>
            <w:r>
              <w:rPr>
                <w:sz w:val="22"/>
                <w:szCs w:val="22"/>
              </w:rPr>
              <w:t>Driveline and transmission work</w:t>
            </w:r>
          </w:p>
        </w:tc>
      </w:tr>
      <w:tr>
        <w:trPr>
          <w:cantSplit/>
        </w:trPr>
        <w:tc>
          <w:tcPr>
            <w:tcW w:w="1276" w:type="dxa"/>
            <w:noWrap/>
          </w:tcPr>
          <w:p>
            <w:pPr>
              <w:pStyle w:val="TableNAm"/>
              <w:rPr>
                <w:sz w:val="22"/>
                <w:szCs w:val="22"/>
              </w:rPr>
            </w:pPr>
            <w:r>
              <w:rPr>
                <w:sz w:val="22"/>
                <w:szCs w:val="22"/>
              </w:rPr>
              <w:t>7.</w:t>
            </w:r>
          </w:p>
        </w:tc>
        <w:tc>
          <w:tcPr>
            <w:tcW w:w="4819" w:type="dxa"/>
            <w:noWrap/>
          </w:tcPr>
          <w:p>
            <w:pPr>
              <w:pStyle w:val="TableNAm"/>
              <w:rPr>
                <w:sz w:val="22"/>
                <w:szCs w:val="22"/>
              </w:rPr>
            </w:pPr>
            <w:r>
              <w:rPr>
                <w:sz w:val="22"/>
                <w:szCs w:val="22"/>
              </w:rPr>
              <w:t>Electrical accessory fitting work</w:t>
            </w:r>
          </w:p>
        </w:tc>
      </w:tr>
      <w:tr>
        <w:trPr>
          <w:cantSplit/>
        </w:trPr>
        <w:tc>
          <w:tcPr>
            <w:tcW w:w="1276" w:type="dxa"/>
            <w:noWrap/>
          </w:tcPr>
          <w:p>
            <w:pPr>
              <w:pStyle w:val="TableNAm"/>
              <w:rPr>
                <w:sz w:val="22"/>
                <w:szCs w:val="22"/>
              </w:rPr>
            </w:pPr>
            <w:r>
              <w:rPr>
                <w:sz w:val="22"/>
                <w:szCs w:val="22"/>
              </w:rPr>
              <w:t>8.</w:t>
            </w:r>
          </w:p>
        </w:tc>
        <w:tc>
          <w:tcPr>
            <w:tcW w:w="4819" w:type="dxa"/>
            <w:noWrap/>
          </w:tcPr>
          <w:p>
            <w:pPr>
              <w:pStyle w:val="TableNAm"/>
              <w:rPr>
                <w:sz w:val="22"/>
                <w:szCs w:val="22"/>
              </w:rPr>
            </w:pPr>
            <w:r>
              <w:rPr>
                <w:sz w:val="22"/>
                <w:szCs w:val="22"/>
              </w:rPr>
              <w:t>Electrical work</w:t>
            </w:r>
          </w:p>
        </w:tc>
      </w:tr>
      <w:tr>
        <w:trPr>
          <w:cantSplit/>
        </w:trPr>
        <w:tc>
          <w:tcPr>
            <w:tcW w:w="1276" w:type="dxa"/>
            <w:noWrap/>
          </w:tcPr>
          <w:p>
            <w:pPr>
              <w:pStyle w:val="TableNAm"/>
              <w:rPr>
                <w:sz w:val="22"/>
                <w:szCs w:val="22"/>
              </w:rPr>
            </w:pPr>
            <w:r>
              <w:rPr>
                <w:sz w:val="22"/>
                <w:szCs w:val="22"/>
              </w:rPr>
              <w:t>9.</w:t>
            </w:r>
          </w:p>
        </w:tc>
        <w:tc>
          <w:tcPr>
            <w:tcW w:w="4819" w:type="dxa"/>
            <w:noWrap/>
          </w:tcPr>
          <w:p>
            <w:pPr>
              <w:pStyle w:val="TableNAm"/>
              <w:rPr>
                <w:sz w:val="22"/>
                <w:szCs w:val="22"/>
              </w:rPr>
            </w:pPr>
            <w:r>
              <w:rPr>
                <w:sz w:val="22"/>
                <w:szCs w:val="22"/>
              </w:rPr>
              <w:t>Engine reconditioning work</w:t>
            </w:r>
          </w:p>
        </w:tc>
      </w:tr>
      <w:tr>
        <w:trPr>
          <w:cantSplit/>
        </w:trPr>
        <w:tc>
          <w:tcPr>
            <w:tcW w:w="1276" w:type="dxa"/>
            <w:noWrap/>
          </w:tcPr>
          <w:p>
            <w:pPr>
              <w:pStyle w:val="TableNAm"/>
              <w:rPr>
                <w:sz w:val="22"/>
                <w:szCs w:val="22"/>
              </w:rPr>
            </w:pPr>
            <w:r>
              <w:rPr>
                <w:sz w:val="22"/>
                <w:szCs w:val="22"/>
              </w:rPr>
              <w:t>10.</w:t>
            </w:r>
          </w:p>
        </w:tc>
        <w:tc>
          <w:tcPr>
            <w:tcW w:w="4819" w:type="dxa"/>
            <w:noWrap/>
          </w:tcPr>
          <w:p>
            <w:pPr>
              <w:pStyle w:val="TableNAm"/>
              <w:rPr>
                <w:sz w:val="22"/>
                <w:szCs w:val="22"/>
              </w:rPr>
            </w:pPr>
            <w:r>
              <w:rPr>
                <w:sz w:val="22"/>
                <w:szCs w:val="22"/>
              </w:rPr>
              <w:t>Glazing work</w:t>
            </w:r>
          </w:p>
        </w:tc>
      </w:tr>
      <w:tr>
        <w:trPr>
          <w:cantSplit/>
        </w:trPr>
        <w:tc>
          <w:tcPr>
            <w:tcW w:w="1276" w:type="dxa"/>
            <w:noWrap/>
          </w:tcPr>
          <w:p>
            <w:pPr>
              <w:pStyle w:val="TableNAm"/>
              <w:rPr>
                <w:sz w:val="22"/>
                <w:szCs w:val="22"/>
              </w:rPr>
            </w:pPr>
            <w:r>
              <w:rPr>
                <w:sz w:val="22"/>
                <w:szCs w:val="22"/>
              </w:rPr>
              <w:t>11.</w:t>
            </w:r>
          </w:p>
        </w:tc>
        <w:tc>
          <w:tcPr>
            <w:tcW w:w="4819" w:type="dxa"/>
            <w:noWrap/>
          </w:tcPr>
          <w:p>
            <w:pPr>
              <w:pStyle w:val="TableNAm"/>
              <w:rPr>
                <w:sz w:val="22"/>
                <w:szCs w:val="22"/>
              </w:rPr>
            </w:pPr>
            <w:r>
              <w:rPr>
                <w:sz w:val="22"/>
                <w:szCs w:val="22"/>
              </w:rPr>
              <w:t>Heavy vehicle servicing work</w:t>
            </w:r>
          </w:p>
        </w:tc>
      </w:tr>
      <w:tr>
        <w:trPr>
          <w:cantSplit/>
        </w:trPr>
        <w:tc>
          <w:tcPr>
            <w:tcW w:w="1276" w:type="dxa"/>
            <w:noWrap/>
          </w:tcPr>
          <w:p>
            <w:pPr>
              <w:pStyle w:val="TableNAm"/>
              <w:rPr>
                <w:sz w:val="22"/>
                <w:szCs w:val="22"/>
              </w:rPr>
            </w:pPr>
            <w:r>
              <w:rPr>
                <w:sz w:val="22"/>
                <w:szCs w:val="22"/>
              </w:rPr>
              <w:t>12.</w:t>
            </w:r>
          </w:p>
        </w:tc>
        <w:tc>
          <w:tcPr>
            <w:tcW w:w="4819" w:type="dxa"/>
            <w:noWrap/>
          </w:tcPr>
          <w:p>
            <w:pPr>
              <w:pStyle w:val="TableNAm"/>
              <w:rPr>
                <w:sz w:val="22"/>
                <w:szCs w:val="22"/>
              </w:rPr>
            </w:pPr>
            <w:r>
              <w:rPr>
                <w:sz w:val="22"/>
                <w:szCs w:val="22"/>
              </w:rPr>
              <w:t>Heavy vehicle work</w:t>
            </w:r>
          </w:p>
        </w:tc>
      </w:tr>
      <w:tr>
        <w:trPr>
          <w:cantSplit/>
        </w:trPr>
        <w:tc>
          <w:tcPr>
            <w:tcW w:w="1276" w:type="dxa"/>
            <w:noWrap/>
          </w:tcPr>
          <w:p>
            <w:pPr>
              <w:pStyle w:val="TableNAm"/>
              <w:rPr>
                <w:sz w:val="22"/>
                <w:szCs w:val="22"/>
              </w:rPr>
            </w:pPr>
            <w:r>
              <w:rPr>
                <w:sz w:val="22"/>
                <w:szCs w:val="22"/>
              </w:rPr>
              <w:t>13.</w:t>
            </w:r>
          </w:p>
        </w:tc>
        <w:tc>
          <w:tcPr>
            <w:tcW w:w="4819" w:type="dxa"/>
            <w:noWrap/>
          </w:tcPr>
          <w:p>
            <w:pPr>
              <w:pStyle w:val="TableNAm"/>
              <w:rPr>
                <w:sz w:val="22"/>
                <w:szCs w:val="22"/>
              </w:rPr>
            </w:pPr>
            <w:r>
              <w:rPr>
                <w:sz w:val="22"/>
                <w:szCs w:val="22"/>
              </w:rPr>
              <w:t>Light vehicle servicing work</w:t>
            </w:r>
          </w:p>
        </w:tc>
      </w:tr>
      <w:tr>
        <w:trPr>
          <w:cantSplit/>
        </w:trPr>
        <w:tc>
          <w:tcPr>
            <w:tcW w:w="1276" w:type="dxa"/>
            <w:noWrap/>
          </w:tcPr>
          <w:p>
            <w:pPr>
              <w:pStyle w:val="TableNAm"/>
              <w:rPr>
                <w:sz w:val="22"/>
                <w:szCs w:val="22"/>
              </w:rPr>
            </w:pPr>
            <w:r>
              <w:rPr>
                <w:sz w:val="22"/>
                <w:szCs w:val="22"/>
              </w:rPr>
              <w:t>14.</w:t>
            </w:r>
          </w:p>
        </w:tc>
        <w:tc>
          <w:tcPr>
            <w:tcW w:w="4819" w:type="dxa"/>
            <w:noWrap/>
          </w:tcPr>
          <w:p>
            <w:pPr>
              <w:pStyle w:val="TableNAm"/>
              <w:rPr>
                <w:sz w:val="22"/>
                <w:szCs w:val="22"/>
              </w:rPr>
            </w:pPr>
            <w:r>
              <w:rPr>
                <w:sz w:val="22"/>
                <w:szCs w:val="22"/>
              </w:rPr>
              <w:t>Light vehicle work</w:t>
            </w:r>
          </w:p>
        </w:tc>
      </w:tr>
      <w:tr>
        <w:trPr>
          <w:cantSplit/>
        </w:trPr>
        <w:tc>
          <w:tcPr>
            <w:tcW w:w="1276" w:type="dxa"/>
            <w:noWrap/>
          </w:tcPr>
          <w:p>
            <w:pPr>
              <w:pStyle w:val="TableNAm"/>
              <w:rPr>
                <w:sz w:val="22"/>
                <w:szCs w:val="22"/>
              </w:rPr>
            </w:pPr>
            <w:r>
              <w:rPr>
                <w:sz w:val="22"/>
                <w:szCs w:val="22"/>
              </w:rPr>
              <w:t>15.</w:t>
            </w:r>
          </w:p>
        </w:tc>
        <w:tc>
          <w:tcPr>
            <w:tcW w:w="4819" w:type="dxa"/>
            <w:noWrap/>
          </w:tcPr>
          <w:p>
            <w:pPr>
              <w:pStyle w:val="TableNAm"/>
              <w:rPr>
                <w:sz w:val="22"/>
                <w:szCs w:val="22"/>
              </w:rPr>
            </w:pPr>
            <w:r>
              <w:rPr>
                <w:sz w:val="22"/>
                <w:szCs w:val="22"/>
              </w:rPr>
              <w:t>Locksmith work</w:t>
            </w:r>
          </w:p>
        </w:tc>
      </w:tr>
      <w:tr>
        <w:trPr>
          <w:cantSplit/>
        </w:trPr>
        <w:tc>
          <w:tcPr>
            <w:tcW w:w="1276" w:type="dxa"/>
            <w:noWrap/>
          </w:tcPr>
          <w:p>
            <w:pPr>
              <w:pStyle w:val="TableNAm"/>
              <w:rPr>
                <w:sz w:val="22"/>
                <w:szCs w:val="22"/>
              </w:rPr>
            </w:pPr>
            <w:r>
              <w:rPr>
                <w:sz w:val="22"/>
                <w:szCs w:val="22"/>
              </w:rPr>
              <w:t>16.</w:t>
            </w:r>
          </w:p>
        </w:tc>
        <w:tc>
          <w:tcPr>
            <w:tcW w:w="4819" w:type="dxa"/>
            <w:noWrap/>
          </w:tcPr>
          <w:p>
            <w:pPr>
              <w:pStyle w:val="TableNAm"/>
              <w:rPr>
                <w:sz w:val="22"/>
                <w:szCs w:val="22"/>
              </w:rPr>
            </w:pPr>
            <w:r>
              <w:rPr>
                <w:sz w:val="22"/>
                <w:szCs w:val="22"/>
              </w:rPr>
              <w:t>Mechanical accessory fitting work</w:t>
            </w:r>
          </w:p>
        </w:tc>
      </w:tr>
      <w:tr>
        <w:trPr>
          <w:cantSplit/>
        </w:trPr>
        <w:tc>
          <w:tcPr>
            <w:tcW w:w="1276" w:type="dxa"/>
            <w:noWrap/>
          </w:tcPr>
          <w:p>
            <w:pPr>
              <w:pStyle w:val="TableNAm"/>
              <w:rPr>
                <w:sz w:val="22"/>
                <w:szCs w:val="22"/>
              </w:rPr>
            </w:pPr>
            <w:r>
              <w:rPr>
                <w:sz w:val="22"/>
                <w:szCs w:val="22"/>
              </w:rPr>
              <w:t>17.</w:t>
            </w:r>
          </w:p>
        </w:tc>
        <w:tc>
          <w:tcPr>
            <w:tcW w:w="4819" w:type="dxa"/>
            <w:noWrap/>
          </w:tcPr>
          <w:p>
            <w:pPr>
              <w:pStyle w:val="TableNAm"/>
              <w:rPr>
                <w:sz w:val="22"/>
                <w:szCs w:val="22"/>
              </w:rPr>
            </w:pPr>
            <w:r>
              <w:rPr>
                <w:sz w:val="22"/>
                <w:szCs w:val="22"/>
              </w:rPr>
              <w:t>Motor cycle servicing work</w:t>
            </w:r>
          </w:p>
        </w:tc>
      </w:tr>
      <w:tr>
        <w:trPr>
          <w:cantSplit/>
        </w:trPr>
        <w:tc>
          <w:tcPr>
            <w:tcW w:w="1276" w:type="dxa"/>
            <w:noWrap/>
          </w:tcPr>
          <w:p>
            <w:pPr>
              <w:pStyle w:val="TableNAm"/>
              <w:rPr>
                <w:sz w:val="22"/>
                <w:szCs w:val="22"/>
              </w:rPr>
            </w:pPr>
            <w:r>
              <w:rPr>
                <w:sz w:val="22"/>
                <w:szCs w:val="22"/>
              </w:rPr>
              <w:t>18.</w:t>
            </w:r>
          </w:p>
        </w:tc>
        <w:tc>
          <w:tcPr>
            <w:tcW w:w="4819" w:type="dxa"/>
            <w:noWrap/>
          </w:tcPr>
          <w:p>
            <w:pPr>
              <w:pStyle w:val="TableNAm"/>
              <w:rPr>
                <w:sz w:val="22"/>
                <w:szCs w:val="22"/>
              </w:rPr>
            </w:pPr>
            <w:r>
              <w:rPr>
                <w:sz w:val="22"/>
                <w:szCs w:val="22"/>
              </w:rPr>
              <w:t>Motor cycle work</w:t>
            </w:r>
          </w:p>
        </w:tc>
      </w:tr>
      <w:tr>
        <w:trPr>
          <w:cantSplit/>
        </w:trPr>
        <w:tc>
          <w:tcPr>
            <w:tcW w:w="1276" w:type="dxa"/>
            <w:noWrap/>
          </w:tcPr>
          <w:p>
            <w:pPr>
              <w:pStyle w:val="TableNAm"/>
              <w:rPr>
                <w:sz w:val="22"/>
                <w:szCs w:val="22"/>
              </w:rPr>
            </w:pPr>
            <w:r>
              <w:rPr>
                <w:sz w:val="22"/>
                <w:szCs w:val="22"/>
              </w:rPr>
              <w:t>19.</w:t>
            </w:r>
          </w:p>
        </w:tc>
        <w:tc>
          <w:tcPr>
            <w:tcW w:w="4819" w:type="dxa"/>
            <w:noWrap/>
          </w:tcPr>
          <w:p>
            <w:pPr>
              <w:pStyle w:val="TableNAm"/>
              <w:rPr>
                <w:sz w:val="22"/>
                <w:szCs w:val="22"/>
              </w:rPr>
            </w:pPr>
            <w:r>
              <w:rPr>
                <w:sz w:val="22"/>
                <w:szCs w:val="22"/>
              </w:rPr>
              <w:t>Painting work</w:t>
            </w:r>
          </w:p>
        </w:tc>
      </w:tr>
      <w:tr>
        <w:trPr>
          <w:cantSplit/>
        </w:trPr>
        <w:tc>
          <w:tcPr>
            <w:tcW w:w="1276" w:type="dxa"/>
            <w:noWrap/>
          </w:tcPr>
          <w:p>
            <w:pPr>
              <w:pStyle w:val="TableNAm"/>
              <w:rPr>
                <w:sz w:val="22"/>
                <w:szCs w:val="22"/>
              </w:rPr>
            </w:pPr>
            <w:r>
              <w:rPr>
                <w:sz w:val="22"/>
                <w:szCs w:val="22"/>
              </w:rPr>
              <w:lastRenderedPageBreak/>
              <w:t>20.</w:t>
            </w:r>
          </w:p>
        </w:tc>
        <w:tc>
          <w:tcPr>
            <w:tcW w:w="4819" w:type="dxa"/>
            <w:noWrap/>
          </w:tcPr>
          <w:p>
            <w:pPr>
              <w:pStyle w:val="TableNAm"/>
              <w:rPr>
                <w:sz w:val="22"/>
                <w:szCs w:val="22"/>
              </w:rPr>
            </w:pPr>
            <w:r>
              <w:rPr>
                <w:sz w:val="22"/>
                <w:szCs w:val="22"/>
              </w:rPr>
              <w:t>Panel beating work</w:t>
            </w:r>
          </w:p>
        </w:tc>
      </w:tr>
      <w:tr>
        <w:trPr>
          <w:cantSplit/>
        </w:trPr>
        <w:tc>
          <w:tcPr>
            <w:tcW w:w="1276" w:type="dxa"/>
            <w:noWrap/>
          </w:tcPr>
          <w:p>
            <w:pPr>
              <w:pStyle w:val="TableNAm"/>
              <w:rPr>
                <w:sz w:val="22"/>
                <w:szCs w:val="22"/>
              </w:rPr>
            </w:pPr>
            <w:r>
              <w:rPr>
                <w:sz w:val="22"/>
                <w:szCs w:val="22"/>
              </w:rPr>
              <w:t>21.</w:t>
            </w:r>
          </w:p>
        </w:tc>
        <w:tc>
          <w:tcPr>
            <w:tcW w:w="4819" w:type="dxa"/>
            <w:noWrap/>
          </w:tcPr>
          <w:p>
            <w:pPr>
              <w:pStyle w:val="TableNAm"/>
              <w:rPr>
                <w:sz w:val="22"/>
                <w:szCs w:val="22"/>
              </w:rPr>
            </w:pPr>
            <w:r>
              <w:rPr>
                <w:sz w:val="22"/>
                <w:szCs w:val="22"/>
              </w:rPr>
              <w:t>Trimming work</w:t>
            </w:r>
          </w:p>
        </w:tc>
      </w:tr>
      <w:tr>
        <w:trPr>
          <w:cantSplit/>
        </w:trPr>
        <w:tc>
          <w:tcPr>
            <w:tcW w:w="1276" w:type="dxa"/>
            <w:noWrap/>
          </w:tcPr>
          <w:p>
            <w:pPr>
              <w:pStyle w:val="TableNAm"/>
              <w:rPr>
                <w:sz w:val="22"/>
                <w:szCs w:val="22"/>
              </w:rPr>
            </w:pPr>
            <w:r>
              <w:rPr>
                <w:sz w:val="22"/>
                <w:szCs w:val="22"/>
              </w:rPr>
              <w:t>22.</w:t>
            </w:r>
          </w:p>
        </w:tc>
        <w:tc>
          <w:tcPr>
            <w:tcW w:w="4819" w:type="dxa"/>
            <w:noWrap/>
          </w:tcPr>
          <w:p>
            <w:pPr>
              <w:pStyle w:val="TableNAm"/>
              <w:rPr>
                <w:sz w:val="22"/>
                <w:szCs w:val="22"/>
              </w:rPr>
            </w:pPr>
            <w:r>
              <w:rPr>
                <w:sz w:val="22"/>
                <w:szCs w:val="22"/>
              </w:rPr>
              <w:t>Tyre fitting work</w:t>
            </w:r>
          </w:p>
        </w:tc>
      </w:tr>
      <w:tr>
        <w:trPr>
          <w:cantSplit/>
        </w:trPr>
        <w:tc>
          <w:tcPr>
            <w:tcW w:w="1276" w:type="dxa"/>
            <w:tcBorders>
              <w:bottom w:val="single" w:sz="4" w:space="0" w:color="auto"/>
            </w:tcBorders>
            <w:noWrap/>
          </w:tcPr>
          <w:p>
            <w:pPr>
              <w:pStyle w:val="TableNAm"/>
              <w:rPr>
                <w:sz w:val="22"/>
                <w:szCs w:val="22"/>
              </w:rPr>
            </w:pPr>
            <w:r>
              <w:rPr>
                <w:sz w:val="22"/>
                <w:szCs w:val="22"/>
              </w:rPr>
              <w:t>23.</w:t>
            </w:r>
          </w:p>
        </w:tc>
        <w:tc>
          <w:tcPr>
            <w:tcW w:w="4819" w:type="dxa"/>
            <w:tcBorders>
              <w:bottom w:val="single" w:sz="4" w:space="0" w:color="auto"/>
            </w:tcBorders>
            <w:noWrap/>
          </w:tcPr>
          <w:p>
            <w:pPr>
              <w:pStyle w:val="TableNAm"/>
              <w:rPr>
                <w:sz w:val="22"/>
                <w:szCs w:val="22"/>
              </w:rPr>
            </w:pPr>
            <w:r>
              <w:rPr>
                <w:sz w:val="22"/>
                <w:szCs w:val="22"/>
              </w:rPr>
              <w:t>Underbody work</w:t>
            </w:r>
          </w:p>
        </w:tc>
      </w:tr>
    </w:tbl>
    <w:p>
      <w:pPr>
        <w:pStyle w:val="Footnotesection"/>
      </w:pPr>
      <w:r>
        <w:tab/>
        <w:t>[Regulation 5 inserted: SL 2021/164 r. 26.]</w:t>
      </w:r>
    </w:p>
    <w:p>
      <w:pPr>
        <w:pStyle w:val="Heading5"/>
      </w:pPr>
      <w:bookmarkStart w:id="12" w:name="_Toc106877763"/>
      <w:r>
        <w:rPr>
          <w:rStyle w:val="CharSectno"/>
        </w:rPr>
        <w:t>6</w:t>
      </w:r>
      <w:r>
        <w:t>.</w:t>
      </w:r>
      <w:r>
        <w:tab/>
        <w:t>Work that is not repair work prescribed (Act s. 5)</w:t>
      </w:r>
      <w:bookmarkEnd w:id="1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pPr>
      <w:r>
        <w:lastRenderedPageBreak/>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13" w:name="_Toc106805611"/>
      <w:bookmarkStart w:id="14" w:name="_Toc106806220"/>
      <w:bookmarkStart w:id="15" w:name="_Toc106877764"/>
      <w:r>
        <w:rPr>
          <w:rStyle w:val="CharPartNo"/>
        </w:rPr>
        <w:lastRenderedPageBreak/>
        <w:t>Part 2A</w:t>
      </w:r>
      <w:r>
        <w:rPr>
          <w:b w:val="0"/>
        </w:rPr>
        <w:t> </w:t>
      </w:r>
      <w:r>
        <w:t>—</w:t>
      </w:r>
      <w:r>
        <w:rPr>
          <w:b w:val="0"/>
        </w:rPr>
        <w:t> </w:t>
      </w:r>
      <w:r>
        <w:rPr>
          <w:rStyle w:val="CharPartText"/>
        </w:rPr>
        <w:t>Licensing of motor vehicle repair businesses</w:t>
      </w:r>
      <w:bookmarkEnd w:id="13"/>
      <w:bookmarkEnd w:id="14"/>
      <w:bookmarkEnd w:id="15"/>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16" w:name="_Toc106877765"/>
      <w:r>
        <w:rPr>
          <w:rStyle w:val="CharSectno"/>
        </w:rPr>
        <w:t>7A</w:t>
      </w:r>
      <w:r>
        <w:t>.</w:t>
      </w:r>
      <w:r>
        <w:tab/>
        <w:t>Fees for licence application (Act s. 13)</w:t>
      </w:r>
      <w:bookmarkEnd w:id="16"/>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$268.00;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797.00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957.00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1 116.00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1 276.00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1 478.00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1 564.00</w:t>
            </w:r>
          </w:p>
        </w:tc>
      </w:tr>
    </w:tbl>
    <w:p>
      <w:pPr>
        <w:pStyle w:val="Footnotesection"/>
      </w:pPr>
      <w:r>
        <w:tab/>
        <w:t>[Regulation 7A inserted: SL 2021/86 r. 51; amended: SL 2022/59 r. 28.]</w:t>
      </w:r>
    </w:p>
    <w:p>
      <w:pPr>
        <w:pStyle w:val="Ednotesection"/>
      </w:pPr>
      <w:r>
        <w:t>[</w:t>
      </w:r>
      <w:r>
        <w:rPr>
          <w:b/>
        </w:rPr>
        <w:t>7B.</w:t>
      </w:r>
      <w:r>
        <w:tab/>
        <w:t>Deleted: Gazette 18 Nov 2014 p. 4320.]</w:t>
      </w:r>
    </w:p>
    <w:p>
      <w:pPr>
        <w:pStyle w:val="Heading5"/>
        <w:spacing w:before="180"/>
      </w:pPr>
      <w:bookmarkStart w:id="17" w:name="_Toc106877766"/>
      <w:r>
        <w:rPr>
          <w:rStyle w:val="CharSectno"/>
        </w:rPr>
        <w:lastRenderedPageBreak/>
        <w:t>7C</w:t>
      </w:r>
      <w:r>
        <w:t>.</w:t>
      </w:r>
      <w:r>
        <w:tab/>
        <w:t>Duplicate business licence, fee for (Act s. 25)</w:t>
      </w:r>
      <w:bookmarkEnd w:id="17"/>
    </w:p>
    <w:p>
      <w:pPr>
        <w:pStyle w:val="Subsection"/>
        <w:spacing w:before="120"/>
      </w:pPr>
      <w:r>
        <w:tab/>
      </w:r>
      <w:r>
        <w:tab/>
        <w:t>For the purposes of the Act section 25, the prescribed fee is</w:t>
      </w:r>
      <w:bookmarkStart w:id="18" w:name="_Hlk106805745"/>
      <w:r>
        <w:t> $31.00.</w:t>
      </w:r>
      <w:bookmarkEnd w:id="18"/>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 SL 2022/59 r. 29.]</w:t>
      </w:r>
    </w:p>
    <w:p>
      <w:pPr>
        <w:pStyle w:val="Heading5"/>
      </w:pPr>
      <w:bookmarkStart w:id="19" w:name="_Toc106877767"/>
      <w:r>
        <w:rPr>
          <w:rStyle w:val="CharSectno"/>
        </w:rPr>
        <w:t>7D</w:t>
      </w:r>
      <w:r>
        <w:t>.</w:t>
      </w:r>
      <w:r>
        <w:tab/>
        <w:t>Conditions and restrictions attached to business licences (Act s. 28)</w:t>
      </w:r>
      <w:bookmarkEnd w:id="19"/>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0" w:name="_Toc106877768"/>
      <w:r>
        <w:rPr>
          <w:rStyle w:val="CharSectno"/>
        </w:rPr>
        <w:lastRenderedPageBreak/>
        <w:t>7E</w:t>
      </w:r>
      <w:r>
        <w:t>.</w:t>
      </w:r>
      <w:r>
        <w:tab/>
        <w:t>Duration of business licence (Act s. 30)</w:t>
      </w:r>
      <w:bookmarkEnd w:id="20"/>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1" w:name="_Toc106877769"/>
      <w:r>
        <w:rPr>
          <w:rStyle w:val="CharSectno"/>
        </w:rPr>
        <w:t>7F</w:t>
      </w:r>
      <w:r>
        <w:t>.</w:t>
      </w:r>
      <w:r>
        <w:tab/>
        <w:t>Fees for renewal of licence (Act s. 31)</w:t>
      </w:r>
      <w:bookmarkEnd w:id="21"/>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$259.00;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812.00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974.00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1 137.00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1 299.00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1 392.00</w:t>
            </w:r>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ind w:right="87"/>
              <w:jc w:val="right"/>
            </w:pPr>
            <w:r>
              <w:t>1 547.00</w:t>
            </w:r>
          </w:p>
        </w:tc>
      </w:tr>
    </w:tbl>
    <w:p>
      <w:pPr>
        <w:pStyle w:val="Footnotesection"/>
      </w:pPr>
      <w:r>
        <w:tab/>
        <w:t>[Regulation 7F inserted: SL 2021/86 r. 52; amended: SL 2022/59 r. 30.]</w:t>
      </w:r>
    </w:p>
    <w:p>
      <w:pPr>
        <w:pStyle w:val="Heading5"/>
      </w:pPr>
      <w:bookmarkStart w:id="22" w:name="_Toc106877770"/>
      <w:r>
        <w:rPr>
          <w:rStyle w:val="CharSectno"/>
        </w:rPr>
        <w:lastRenderedPageBreak/>
        <w:t>7G</w:t>
      </w:r>
      <w:r>
        <w:t>.</w:t>
      </w:r>
      <w:r>
        <w:tab/>
        <w:t>Change of certain information, licensee to notify Commissioner of</w:t>
      </w:r>
      <w:bookmarkEnd w:id="22"/>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3" w:name="_Toc106805618"/>
      <w:bookmarkStart w:id="24" w:name="_Toc106806227"/>
      <w:bookmarkStart w:id="25" w:name="_Toc106877771"/>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23"/>
      <w:bookmarkEnd w:id="24"/>
      <w:bookmarkEnd w:id="25"/>
    </w:p>
    <w:p>
      <w:pPr>
        <w:pStyle w:val="Heading5"/>
      </w:pPr>
      <w:bookmarkStart w:id="26" w:name="_Toc106877772"/>
      <w:r>
        <w:rPr>
          <w:rStyle w:val="CharSectno"/>
        </w:rPr>
        <w:t>7</w:t>
      </w:r>
      <w:r>
        <w:t>.</w:t>
      </w:r>
      <w:r>
        <w:tab/>
        <w:t>Repairer’s certificate, fee for (Act s. 41(2)(b))</w:t>
      </w:r>
      <w:bookmarkEnd w:id="26"/>
    </w:p>
    <w:p>
      <w:pPr>
        <w:pStyle w:val="Subsection"/>
      </w:pPr>
      <w:r>
        <w:tab/>
      </w:r>
      <w:r>
        <w:tab/>
        <w:t>For the purposes of the Act section 41(2)(b), the prescribed fee, regardless of the number of classes of repair work, is $99.00.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 SL 2022/59 r. 31.]</w:t>
      </w:r>
    </w:p>
    <w:p>
      <w:pPr>
        <w:pStyle w:val="Heading5"/>
      </w:pPr>
      <w:bookmarkStart w:id="27" w:name="_Toc106877773"/>
      <w:r>
        <w:rPr>
          <w:rStyle w:val="CharSectno"/>
        </w:rPr>
        <w:t>8</w:t>
      </w:r>
      <w:r>
        <w:t>.</w:t>
      </w:r>
      <w:r>
        <w:tab/>
        <w:t>Qualifications prescribed (Act s. 42(2)(a)(i))</w:t>
      </w:r>
      <w:bookmarkEnd w:id="27"/>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keepNext/>
      </w:pPr>
      <w:r>
        <w:lastRenderedPageBreak/>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w:t>
      </w:r>
    </w:p>
    <w:p>
      <w:pPr>
        <w:pStyle w:val="Heading2"/>
      </w:pPr>
      <w:bookmarkStart w:id="28" w:name="_Toc106805621"/>
      <w:bookmarkStart w:id="29" w:name="_Toc106806230"/>
      <w:bookmarkStart w:id="30" w:name="_Toc106877774"/>
      <w:r>
        <w:rPr>
          <w:rStyle w:val="CharPartNo"/>
        </w:rPr>
        <w:lastRenderedPageBreak/>
        <w:t>Part 3</w:t>
      </w:r>
      <w:r>
        <w:rPr>
          <w:b w:val="0"/>
        </w:rPr>
        <w:t> </w:t>
      </w:r>
      <w:r>
        <w:t>—</w:t>
      </w:r>
      <w:r>
        <w:rPr>
          <w:b w:val="0"/>
        </w:rPr>
        <w:t> </w:t>
      </w:r>
      <w:r>
        <w:rPr>
          <w:rStyle w:val="CharPartText"/>
        </w:rPr>
        <w:t>Provisions applicable to business licences and to certificates</w:t>
      </w:r>
      <w:bookmarkEnd w:id="28"/>
      <w:bookmarkEnd w:id="29"/>
      <w:bookmarkEnd w:id="30"/>
    </w:p>
    <w:p>
      <w:pPr>
        <w:pStyle w:val="Footnoteheading"/>
      </w:pPr>
      <w:r>
        <w:tab/>
        <w:t>[Heading inserted: Gazette 24 Jun 2008 p. 2820.]</w:t>
      </w:r>
    </w:p>
    <w:p>
      <w:pPr>
        <w:pStyle w:val="Heading5"/>
      </w:pPr>
      <w:bookmarkStart w:id="31" w:name="_Toc106877775"/>
      <w:r>
        <w:rPr>
          <w:rStyle w:val="CharSectno"/>
        </w:rPr>
        <w:t>9</w:t>
      </w:r>
      <w:r>
        <w:t>.</w:t>
      </w:r>
      <w:r>
        <w:tab/>
        <w:t>Particulars etc. to be recorded in register (Act s. 50(1)(a))</w:t>
      </w:r>
      <w:bookmarkEnd w:id="3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lastRenderedPageBreak/>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2" w:name="_Toc106877776"/>
      <w:r>
        <w:rPr>
          <w:rStyle w:val="CharSectno"/>
        </w:rPr>
        <w:lastRenderedPageBreak/>
        <w:t>10</w:t>
      </w:r>
      <w:r>
        <w:t>.</w:t>
      </w:r>
      <w:r>
        <w:tab/>
        <w:t>Fees for inspecting, and obtaining copies of, register (Act s. 51)</w:t>
      </w:r>
      <w:bookmarkEnd w:id="32"/>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$13.00 for the first page and $2.30 for each subsequent page;</w:t>
      </w:r>
    </w:p>
    <w:p>
      <w:pPr>
        <w:pStyle w:val="Indenta"/>
      </w:pPr>
      <w:r>
        <w:tab/>
        <w:t>(c)</w:t>
      </w:r>
      <w:r>
        <w:tab/>
        <w:t>to obtain a copy of all entries in the register — $121.00.</w:t>
      </w:r>
    </w:p>
    <w:p>
      <w:pPr>
        <w:pStyle w:val="Footnotesection"/>
        <w:spacing w:before="100"/>
        <w:ind w:left="890" w:hanging="890"/>
      </w:pPr>
      <w:r>
        <w:tab/>
        <w:t>[Regulation 10 inserted: Gazette 17 Jun 2014 p. 1972; amended: Gazette 23 Jun 2015 p. 2180; 3 Jun 2016 p. 1766; 23 Jun 2017 p. 3244; 18 Jun 2019 p. 2106; SL 2022/59 r. 32.]</w:t>
      </w:r>
    </w:p>
    <w:p>
      <w:pPr>
        <w:pStyle w:val="Heading5"/>
      </w:pPr>
      <w:bookmarkStart w:id="33" w:name="_Toc106877777"/>
      <w:r>
        <w:rPr>
          <w:rStyle w:val="CharSectno"/>
        </w:rPr>
        <w:t>11</w:t>
      </w:r>
      <w:r>
        <w:t>.</w:t>
      </w:r>
      <w:r>
        <w:tab/>
        <w:t>Certified copy of certificate, fee for (Act s. 54(1))</w:t>
      </w:r>
      <w:bookmarkEnd w:id="33"/>
    </w:p>
    <w:p>
      <w:pPr>
        <w:pStyle w:val="Subsection"/>
      </w:pPr>
      <w:r>
        <w:tab/>
      </w:r>
      <w:r>
        <w:tab/>
        <w:t>For the purposes of the Act section 54(1), the prescribed fee is $66.00.</w:t>
      </w:r>
    </w:p>
    <w:p>
      <w:pPr>
        <w:pStyle w:val="Footnotesection"/>
      </w:pPr>
      <w:r>
        <w:tab/>
        <w:t>[Regulation 11 amended: Gazette 17 Jun 2008 p. 2555; 23 Jun 2009 p. 2449; 22 Jun 2011 p. 2372; 15 Jun 2012 p. 2597; 27 Jun 2013 p. 2700; 17 Jun 2014 p. 1972; 23 Jun 2015 p. 2180; 3 Jun 2016 p. 1766; 18 Jun 2019 p. 2106; SL 2022/59 r. 33.]</w:t>
      </w:r>
    </w:p>
    <w:p>
      <w:pPr>
        <w:pStyle w:val="Heading2"/>
      </w:pPr>
      <w:bookmarkStart w:id="34" w:name="_Toc106805625"/>
      <w:bookmarkStart w:id="35" w:name="_Toc106806234"/>
      <w:bookmarkStart w:id="36" w:name="_Toc106877778"/>
      <w:r>
        <w:rPr>
          <w:rStyle w:val="CharPartNo"/>
        </w:rPr>
        <w:lastRenderedPageBreak/>
        <w:t>Part 4</w:t>
      </w:r>
      <w:r>
        <w:rPr>
          <w:b w:val="0"/>
        </w:rPr>
        <w:t> </w:t>
      </w:r>
      <w:r>
        <w:t>—</w:t>
      </w:r>
      <w:r>
        <w:rPr>
          <w:b w:val="0"/>
        </w:rPr>
        <w:t> </w:t>
      </w:r>
      <w:r>
        <w:rPr>
          <w:rStyle w:val="CharPartText"/>
        </w:rPr>
        <w:t>Miscellaneous</w:t>
      </w:r>
      <w:bookmarkEnd w:id="34"/>
      <w:bookmarkEnd w:id="35"/>
      <w:bookmarkEnd w:id="36"/>
    </w:p>
    <w:p>
      <w:pPr>
        <w:pStyle w:val="Footnoteheading"/>
        <w:spacing w:before="80"/>
      </w:pPr>
      <w:r>
        <w:tab/>
        <w:t>[Heading inserted: Gazette 24 Jun 2008 p. 2822.]</w:t>
      </w:r>
    </w:p>
    <w:p>
      <w:pPr>
        <w:pStyle w:val="Heading5"/>
        <w:spacing w:before="160"/>
      </w:pPr>
      <w:bookmarkStart w:id="37" w:name="_Toc106877779"/>
      <w:r>
        <w:rPr>
          <w:rStyle w:val="CharSectno"/>
        </w:rPr>
        <w:t>12</w:t>
      </w:r>
      <w:r>
        <w:rPr>
          <w:color w:val="000000"/>
        </w:rPr>
        <w:t>.</w:t>
      </w:r>
      <w:r>
        <w:rPr>
          <w:color w:val="000000"/>
        </w:rPr>
        <w:tab/>
        <w:t>Changes of authorised premises, fees for (Act s. 61(1)(c))</w:t>
      </w:r>
      <w:bookmarkEnd w:id="37"/>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$132.00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$132.00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 SL 2022/59 r. 34.]</w:t>
      </w:r>
    </w:p>
    <w:p>
      <w:pPr>
        <w:pStyle w:val="Ednotesection"/>
      </w:pPr>
      <w:r>
        <w:t>[</w:t>
      </w:r>
      <w:r>
        <w:rPr>
          <w:b/>
        </w:rPr>
        <w:t>12A.</w:t>
      </w:r>
      <w:r>
        <w:tab/>
        <w:t>Deleted: SL 2021/86 r. 54.]</w:t>
      </w:r>
    </w:p>
    <w:p>
      <w:pPr>
        <w:pStyle w:val="Heading5"/>
        <w:spacing w:before="160"/>
      </w:pPr>
      <w:bookmarkStart w:id="38" w:name="_Toc106877780"/>
      <w:r>
        <w:rPr>
          <w:rStyle w:val="CharSectno"/>
        </w:rPr>
        <w:t>13</w:t>
      </w:r>
      <w:r>
        <w:t>.</w:t>
      </w:r>
      <w:r>
        <w:tab/>
        <w:t>Infringement notice offences and modified penalties (Act s. 98 and 99(1))</w:t>
      </w:r>
      <w:bookmarkEnd w:id="38"/>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lastRenderedPageBreak/>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39" w:name="_Toc106877781"/>
      <w:r>
        <w:rPr>
          <w:rStyle w:val="CharSectno"/>
        </w:rPr>
        <w:t>14</w:t>
      </w:r>
      <w:r>
        <w:t>.</w:t>
      </w:r>
      <w:r>
        <w:tab/>
        <w:t>Infringement notice and withdrawal notice, forms of (Act s. 101(1) and 103(1))</w:t>
      </w:r>
      <w:bookmarkEnd w:id="39"/>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0" w:name="_Toc106877782"/>
      <w:r>
        <w:rPr>
          <w:rStyle w:val="CharSectno"/>
        </w:rPr>
        <w:t>15</w:t>
      </w:r>
      <w:r>
        <w:t>.</w:t>
      </w:r>
      <w:r>
        <w:tab/>
        <w:t>Refund of fee on withdrawal or refusal of certain applications</w:t>
      </w:r>
      <w:bookmarkEnd w:id="4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 xml:space="preserve">If the Commissioner refuses an application made under the Act section 15, 17, 19 or 31, the Commissioner must refund to the </w:t>
      </w:r>
      <w:r>
        <w:lastRenderedPageBreak/>
        <w:t>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5"/>
      </w:pPr>
      <w:bookmarkStart w:id="41" w:name="_Toc106877783"/>
      <w:r>
        <w:rPr>
          <w:rStyle w:val="CharSectno"/>
        </w:rPr>
        <w:t>16</w:t>
      </w:r>
      <w:r>
        <w:t>.</w:t>
      </w:r>
      <w:r>
        <w:tab/>
        <w:t>Transitional</w:t>
      </w:r>
      <w:bookmarkEnd w:id="41"/>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lastRenderedPageBreak/>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Ednotepart"/>
      </w:pPr>
      <w:r>
        <w:t>[Part 5 (r. 17-20) deleted: Gazette 18 Nov 2014 p. 4322.]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106805631"/>
      <w:bookmarkStart w:id="43" w:name="_Toc106806240"/>
      <w:bookmarkStart w:id="44" w:name="_Toc106877784"/>
      <w:r>
        <w:rPr>
          <w:rStyle w:val="CharSchNo"/>
        </w:rPr>
        <w:lastRenderedPageBreak/>
        <w:t>Schedule 1</w:t>
      </w:r>
      <w:r>
        <w:rPr>
          <w:rStyle w:val="CharSDivNo"/>
        </w:rPr>
        <w:t> </w:t>
      </w:r>
      <w:r>
        <w:t>—</w:t>
      </w:r>
      <w:r>
        <w:rPr>
          <w:rStyle w:val="CharSDivText"/>
        </w:rPr>
        <w:t> </w:t>
      </w:r>
      <w:r>
        <w:rPr>
          <w:rStyle w:val="CharSchText"/>
        </w:rPr>
        <w:t>Forms</w:t>
      </w:r>
      <w:bookmarkEnd w:id="42"/>
      <w:bookmarkEnd w:id="43"/>
      <w:bookmarkEnd w:id="44"/>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ScheduleHeading"/>
      </w:pPr>
      <w:bookmarkStart w:id="45" w:name="_Toc106805632"/>
      <w:bookmarkStart w:id="46" w:name="_Toc106806241"/>
      <w:bookmarkStart w:id="47" w:name="_Toc106877785"/>
      <w:r>
        <w:rPr>
          <w:rStyle w:val="CharSchNo"/>
        </w:rPr>
        <w:lastRenderedPageBreak/>
        <w:t>Schedule 2</w:t>
      </w:r>
      <w:r>
        <w:rPr>
          <w:rStyle w:val="CharSClsNo"/>
        </w:rPr>
        <w:t> </w:t>
      </w:r>
      <w:r>
        <w:t>—</w:t>
      </w:r>
      <w:r>
        <w:rPr>
          <w:rStyle w:val="CharSClsNo"/>
        </w:rPr>
        <w:t> </w:t>
      </w:r>
      <w:r>
        <w:rPr>
          <w:rStyle w:val="CharSchText"/>
        </w:rPr>
        <w:t>Qualifications prescribed</w:t>
      </w:r>
      <w:bookmarkEnd w:id="45"/>
      <w:bookmarkEnd w:id="46"/>
      <w:bookmarkEnd w:id="47"/>
    </w:p>
    <w:p>
      <w:pPr>
        <w:pStyle w:val="yShoulderClause"/>
      </w:pPr>
      <w:r>
        <w:t>[r. 8]</w:t>
      </w:r>
    </w:p>
    <w:p>
      <w:pPr>
        <w:pStyle w:val="yFootnoteheading"/>
        <w:spacing w:after="60"/>
      </w:pPr>
      <w:r>
        <w:tab/>
        <w:t>[Heading inserted: SL 2021/164 r. 33.]</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noWrap/>
          </w:tcPr>
          <w:p>
            <w:pPr>
              <w:pStyle w:val="yTableNAm"/>
              <w:rPr>
                <w:b/>
                <w:sz w:val="20"/>
              </w:rPr>
            </w:pPr>
            <w:r>
              <w:rPr>
                <w:b/>
                <w:sz w:val="20"/>
              </w:rPr>
              <w:t>Column 1</w:t>
            </w:r>
          </w:p>
          <w:p>
            <w:pPr>
              <w:pStyle w:val="yTableNAm"/>
              <w:rPr>
                <w:b/>
                <w:sz w:val="20"/>
              </w:rPr>
            </w:pPr>
            <w:r>
              <w:rPr>
                <w:b/>
                <w:sz w:val="20"/>
              </w:rPr>
              <w:t>Item</w:t>
            </w:r>
          </w:p>
        </w:tc>
        <w:tc>
          <w:tcPr>
            <w:tcW w:w="1560" w:type="dxa"/>
            <w:vMerge w:val="restart"/>
            <w:noWrap/>
          </w:tcPr>
          <w:p>
            <w:pPr>
              <w:pStyle w:val="yTableNAm"/>
              <w:rPr>
                <w:b/>
                <w:sz w:val="20"/>
              </w:rPr>
            </w:pPr>
            <w:r>
              <w:rPr>
                <w:b/>
                <w:sz w:val="20"/>
              </w:rPr>
              <w:t>Column 2</w:t>
            </w:r>
          </w:p>
          <w:p>
            <w:pPr>
              <w:pStyle w:val="yTableNAm"/>
              <w:rPr>
                <w:b/>
                <w:sz w:val="20"/>
              </w:rPr>
            </w:pPr>
            <w:r>
              <w:rPr>
                <w:b/>
                <w:sz w:val="20"/>
              </w:rPr>
              <w:t>Class of repair work</w:t>
            </w:r>
          </w:p>
        </w:tc>
        <w:tc>
          <w:tcPr>
            <w:tcW w:w="4281" w:type="dxa"/>
            <w:gridSpan w:val="2"/>
            <w:noWrap/>
          </w:tcPr>
          <w:p>
            <w:pPr>
              <w:pStyle w:val="yTableNAm"/>
              <w:rPr>
                <w:b/>
                <w:sz w:val="20"/>
              </w:rPr>
            </w:pPr>
            <w:r>
              <w:rPr>
                <w:b/>
                <w:sz w:val="20"/>
              </w:rPr>
              <w:t>Column 3</w:t>
            </w:r>
          </w:p>
          <w:p>
            <w:pPr>
              <w:pStyle w:val="yTableNAm"/>
              <w:rPr>
                <w:b/>
                <w:sz w:val="20"/>
              </w:rPr>
            </w:pPr>
            <w:r>
              <w:rPr>
                <w:b/>
                <w:sz w:val="20"/>
              </w:rPr>
              <w:t>Prescribed qualification</w:t>
            </w:r>
          </w:p>
        </w:tc>
      </w:tr>
      <w:tr>
        <w:trPr>
          <w:cantSplit/>
          <w:trHeight w:val="150"/>
          <w:tblHeader/>
        </w:trPr>
        <w:tc>
          <w:tcPr>
            <w:tcW w:w="1134" w:type="dxa"/>
            <w:vMerge/>
            <w:tcBorders>
              <w:bottom w:val="single" w:sz="4" w:space="0" w:color="auto"/>
            </w:tcBorders>
            <w:noWrap/>
          </w:tcPr>
          <w:p>
            <w:pPr>
              <w:pStyle w:val="yTableNAm"/>
              <w:rPr>
                <w:b/>
                <w:sz w:val="20"/>
              </w:rPr>
            </w:pPr>
          </w:p>
        </w:tc>
        <w:tc>
          <w:tcPr>
            <w:tcW w:w="1560" w:type="dxa"/>
            <w:vMerge/>
            <w:tcBorders>
              <w:bottom w:val="single" w:sz="4" w:space="0" w:color="auto"/>
            </w:tcBorders>
            <w:noWrap/>
          </w:tcPr>
          <w:p>
            <w:pPr>
              <w:pStyle w:val="yTableNAm"/>
              <w:rPr>
                <w:b/>
                <w:sz w:val="20"/>
              </w:rPr>
            </w:pPr>
          </w:p>
        </w:tc>
        <w:tc>
          <w:tcPr>
            <w:tcW w:w="1134" w:type="dxa"/>
            <w:tcBorders>
              <w:bottom w:val="single" w:sz="4" w:space="0" w:color="auto"/>
            </w:tcBorders>
            <w:noWrap/>
          </w:tcPr>
          <w:p>
            <w:pPr>
              <w:pStyle w:val="yTableNAm"/>
              <w:jc w:val="center"/>
              <w:rPr>
                <w:b/>
                <w:sz w:val="20"/>
              </w:rPr>
            </w:pPr>
            <w:r>
              <w:rPr>
                <w:b/>
                <w:sz w:val="20"/>
              </w:rPr>
              <w:t>Training package</w:t>
            </w:r>
          </w:p>
        </w:tc>
        <w:tc>
          <w:tcPr>
            <w:tcW w:w="3147" w:type="dxa"/>
            <w:tcBorders>
              <w:bottom w:val="single" w:sz="4" w:space="0" w:color="auto"/>
            </w:tcBorders>
            <w:noWrap/>
          </w:tcPr>
          <w:p>
            <w:pPr>
              <w:pStyle w:val="yTableNAm"/>
              <w:jc w:val="center"/>
              <w:rPr>
                <w:b/>
                <w:sz w:val="20"/>
              </w:rPr>
            </w:pPr>
            <w:r>
              <w:rPr>
                <w:b/>
                <w:sz w:val="20"/>
              </w:rPr>
              <w:t>Qualification</w:t>
            </w:r>
          </w:p>
        </w:tc>
      </w:tr>
      <w:tr>
        <w:trPr>
          <w:cantSplit/>
          <w:trHeight w:val="75"/>
        </w:trPr>
        <w:tc>
          <w:tcPr>
            <w:tcW w:w="1134" w:type="dxa"/>
            <w:tcBorders>
              <w:bottom w:val="nil"/>
            </w:tcBorders>
            <w:noWrap/>
          </w:tcPr>
          <w:p>
            <w:pPr>
              <w:pStyle w:val="yTableNAm"/>
              <w:rPr>
                <w:sz w:val="20"/>
              </w:rPr>
            </w:pPr>
            <w:r>
              <w:rPr>
                <w:sz w:val="20"/>
              </w:rPr>
              <w:t>1.</w:t>
            </w:r>
          </w:p>
        </w:tc>
        <w:tc>
          <w:tcPr>
            <w:tcW w:w="1560" w:type="dxa"/>
            <w:tcBorders>
              <w:bottom w:val="nil"/>
            </w:tcBorders>
            <w:noWrap/>
          </w:tcPr>
          <w:p>
            <w:pPr>
              <w:pStyle w:val="yTableNAm"/>
              <w:rPr>
                <w:sz w:val="20"/>
              </w:rPr>
            </w:pPr>
            <w:r>
              <w:rPr>
                <w:sz w:val="20"/>
              </w:rPr>
              <w:t>Air conditioning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noWrap/>
          </w:tcPr>
          <w:p>
            <w:pPr>
              <w:pStyle w:val="yTableNAm"/>
              <w:rPr>
                <w:sz w:val="20"/>
              </w:rPr>
            </w:pPr>
            <w:r>
              <w:rPr>
                <w:sz w:val="20"/>
              </w:rPr>
              <w:t>2.</w:t>
            </w:r>
          </w:p>
        </w:tc>
        <w:tc>
          <w:tcPr>
            <w:tcW w:w="1560"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3.</w:t>
            </w:r>
          </w:p>
        </w:tc>
        <w:tc>
          <w:tcPr>
            <w:tcW w:w="1560" w:type="dxa"/>
            <w:tcBorders>
              <w:bottom w:val="nil"/>
            </w:tcBorders>
            <w:noWrap/>
          </w:tcPr>
          <w:p>
            <w:pPr>
              <w:pStyle w:val="yTableNAm"/>
              <w:rPr>
                <w:sz w:val="20"/>
              </w:rPr>
            </w:pPr>
            <w:r>
              <w:rPr>
                <w:sz w:val="20"/>
              </w:rPr>
              <w:t>Brake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noWrap/>
          </w:tcPr>
          <w:p>
            <w:pPr>
              <w:pStyle w:val="yTableNAm"/>
              <w:rPr>
                <w:sz w:val="20"/>
              </w:rPr>
            </w:pPr>
            <w:r>
              <w:rPr>
                <w:sz w:val="20"/>
              </w:rPr>
              <w:t>4.</w:t>
            </w:r>
          </w:p>
        </w:tc>
        <w:tc>
          <w:tcPr>
            <w:tcW w:w="1560" w:type="dxa"/>
            <w:tcBorders>
              <w:bottom w:val="nil"/>
            </w:tcBorders>
            <w:noWrap/>
          </w:tcPr>
          <w:p>
            <w:pPr>
              <w:pStyle w:val="yTableNAm"/>
              <w:rPr>
                <w:sz w:val="20"/>
              </w:rPr>
            </w:pPr>
            <w:r>
              <w:rPr>
                <w:sz w:val="20"/>
              </w:rPr>
              <w:t>Cooling system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noWrap/>
          </w:tcPr>
          <w:p>
            <w:pPr>
              <w:pStyle w:val="yTableNAm"/>
              <w:rPr>
                <w:sz w:val="20"/>
              </w:rPr>
            </w:pPr>
            <w:r>
              <w:rPr>
                <w:sz w:val="20"/>
              </w:rPr>
              <w:t>5.</w:t>
            </w:r>
          </w:p>
        </w:tc>
        <w:tc>
          <w:tcPr>
            <w:tcW w:w="1560" w:type="dxa"/>
            <w:tcBorders>
              <w:bottom w:val="nil"/>
            </w:tcBorders>
            <w:noWrap/>
          </w:tcPr>
          <w:p>
            <w:pPr>
              <w:pStyle w:val="yTableNAm"/>
              <w:rPr>
                <w:sz w:val="20"/>
              </w:rPr>
            </w:pPr>
            <w:r>
              <w:rPr>
                <w:sz w:val="20"/>
              </w:rPr>
              <w:t>Diesel work</w:t>
            </w:r>
          </w:p>
        </w:tc>
        <w:tc>
          <w:tcPr>
            <w:tcW w:w="1134" w:type="dxa"/>
            <w:tcBorders>
              <w:bottom w:val="nil"/>
            </w:tcBorders>
            <w:noWrap/>
          </w:tcPr>
          <w:p>
            <w:pPr>
              <w:pStyle w:val="yTableNAm"/>
              <w:rPr>
                <w:sz w:val="20"/>
              </w:rPr>
            </w:pPr>
            <w:r>
              <w:rPr>
                <w:sz w:val="20"/>
              </w:rPr>
              <w:t>AUR</w:t>
            </w:r>
          </w:p>
        </w:tc>
        <w:tc>
          <w:tcPr>
            <w:tcW w:w="3147" w:type="dxa"/>
            <w:tcBorders>
              <w:bottom w:val="nil"/>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AUR31420</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p>
        </w:tc>
        <w:tc>
          <w:tcPr>
            <w:tcW w:w="3147" w:type="dxa"/>
            <w:tcBorders>
              <w:top w:val="nil"/>
              <w:bottom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r>
              <w:rPr>
                <w:sz w:val="20"/>
              </w:rPr>
              <w:t>6.</w:t>
            </w:r>
          </w:p>
        </w:tc>
        <w:tc>
          <w:tcPr>
            <w:tcW w:w="1560" w:type="dxa"/>
            <w:tcBorders>
              <w:top w:val="nil"/>
              <w:bottom w:val="single" w:sz="4" w:space="0" w:color="auto"/>
            </w:tcBorders>
            <w:noWrap/>
          </w:tcPr>
          <w:p>
            <w:pPr>
              <w:pStyle w:val="yTableNAm"/>
              <w:rPr>
                <w:sz w:val="20"/>
              </w:rPr>
            </w:pPr>
            <w:r>
              <w:rPr>
                <w:sz w:val="20"/>
              </w:rPr>
              <w:t>Driveline and transmission work</w:t>
            </w: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AUR31616</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bottom w:val="nil"/>
            </w:tcBorders>
            <w:noWrap/>
          </w:tcPr>
          <w:p>
            <w:pPr>
              <w:pStyle w:val="yTableNAm"/>
              <w:rPr>
                <w:sz w:val="20"/>
              </w:rPr>
            </w:pPr>
            <w:r>
              <w:rPr>
                <w:sz w:val="20"/>
              </w:rPr>
              <w:t>7.</w:t>
            </w:r>
          </w:p>
        </w:tc>
        <w:tc>
          <w:tcPr>
            <w:tcW w:w="1560" w:type="dxa"/>
            <w:tcBorders>
              <w:bottom w:val="nil"/>
            </w:tcBorders>
            <w:noWrap/>
          </w:tcPr>
          <w:p>
            <w:pPr>
              <w:pStyle w:val="yTableNAm"/>
              <w:rPr>
                <w:sz w:val="20"/>
              </w:rPr>
            </w:pPr>
            <w:r>
              <w:rPr>
                <w:sz w:val="20"/>
              </w:rPr>
              <w:t>Electrical accessory fitting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noWrap/>
          </w:tcPr>
          <w:p>
            <w:pPr>
              <w:pStyle w:val="yTableNAm"/>
              <w:rPr>
                <w:sz w:val="20"/>
              </w:rPr>
            </w:pPr>
            <w:r>
              <w:rPr>
                <w:sz w:val="20"/>
              </w:rPr>
              <w:t>8.</w:t>
            </w:r>
          </w:p>
        </w:tc>
        <w:tc>
          <w:tcPr>
            <w:tcW w:w="1560" w:type="dxa"/>
            <w:tcBorders>
              <w:bottom w:val="nil"/>
            </w:tcBorders>
            <w:noWrap/>
          </w:tcPr>
          <w:p>
            <w:pPr>
              <w:pStyle w:val="yTableNAm"/>
              <w:rPr>
                <w:sz w:val="20"/>
              </w:rPr>
            </w:pPr>
            <w:r>
              <w:rPr>
                <w:sz w:val="20"/>
              </w:rPr>
              <w:t>Electrical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noWrap/>
          </w:tcPr>
          <w:p>
            <w:pPr>
              <w:pStyle w:val="yTableNAm"/>
              <w:rPr>
                <w:sz w:val="20"/>
              </w:rPr>
            </w:pPr>
            <w:r>
              <w:rPr>
                <w:sz w:val="20"/>
              </w:rPr>
              <w:t>9.</w:t>
            </w:r>
          </w:p>
        </w:tc>
        <w:tc>
          <w:tcPr>
            <w:tcW w:w="1560" w:type="dxa"/>
            <w:tcBorders>
              <w:bottom w:val="nil"/>
            </w:tcBorders>
            <w:noWrap/>
          </w:tcPr>
          <w:p>
            <w:pPr>
              <w:pStyle w:val="yTableNAm"/>
              <w:rPr>
                <w:sz w:val="20"/>
              </w:rPr>
            </w:pPr>
            <w:r>
              <w:rPr>
                <w:sz w:val="20"/>
              </w:rPr>
              <w:t>Engine reconditioning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noWrap/>
          </w:tcPr>
          <w:p>
            <w:pPr>
              <w:pStyle w:val="yTableNAm"/>
              <w:rPr>
                <w:sz w:val="20"/>
              </w:rPr>
            </w:pPr>
            <w:r>
              <w:rPr>
                <w:sz w:val="20"/>
              </w:rPr>
              <w:t>10.</w:t>
            </w:r>
          </w:p>
        </w:tc>
        <w:tc>
          <w:tcPr>
            <w:tcW w:w="1560" w:type="dxa"/>
            <w:tcBorders>
              <w:bottom w:val="nil"/>
            </w:tcBorders>
            <w:noWrap/>
          </w:tcPr>
          <w:p>
            <w:pPr>
              <w:pStyle w:val="yTableNAm"/>
              <w:rPr>
                <w:sz w:val="20"/>
              </w:rPr>
            </w:pPr>
            <w:r>
              <w:rPr>
                <w:sz w:val="20"/>
              </w:rPr>
              <w:t>Glazing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noWrap/>
          </w:tcPr>
          <w:p>
            <w:pPr>
              <w:pStyle w:val="yTableNAm"/>
              <w:rPr>
                <w:sz w:val="20"/>
              </w:rPr>
            </w:pPr>
            <w:r>
              <w:rPr>
                <w:sz w:val="20"/>
              </w:rPr>
              <w:t>11.</w:t>
            </w:r>
          </w:p>
        </w:tc>
        <w:tc>
          <w:tcPr>
            <w:tcW w:w="1560" w:type="dxa"/>
            <w:tcBorders>
              <w:bottom w:val="nil"/>
            </w:tcBorders>
            <w:noWrap/>
          </w:tcPr>
          <w:p>
            <w:pPr>
              <w:pStyle w:val="yTableNAm"/>
              <w:rPr>
                <w:sz w:val="20"/>
              </w:rPr>
            </w:pPr>
            <w:r>
              <w:rPr>
                <w:sz w:val="20"/>
              </w:rPr>
              <w:t>Heavy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12.</w:t>
            </w:r>
          </w:p>
        </w:tc>
        <w:tc>
          <w:tcPr>
            <w:tcW w:w="1560" w:type="dxa"/>
            <w:tcBorders>
              <w:bottom w:val="nil"/>
            </w:tcBorders>
            <w:noWrap/>
          </w:tcPr>
          <w:p>
            <w:pPr>
              <w:pStyle w:val="yTableNAm"/>
              <w:rPr>
                <w:sz w:val="20"/>
              </w:rPr>
            </w:pPr>
            <w:r>
              <w:rPr>
                <w:sz w:val="20"/>
              </w:rPr>
              <w:t>Heavy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noWrap/>
          </w:tcPr>
          <w:p>
            <w:pPr>
              <w:pStyle w:val="yTableNAm"/>
              <w:rPr>
                <w:sz w:val="20"/>
              </w:rPr>
            </w:pPr>
            <w:r>
              <w:rPr>
                <w:sz w:val="20"/>
              </w:rPr>
              <w:t>13.</w:t>
            </w:r>
          </w:p>
        </w:tc>
        <w:tc>
          <w:tcPr>
            <w:tcW w:w="1560" w:type="dxa"/>
            <w:tcBorders>
              <w:bottom w:val="nil"/>
            </w:tcBorders>
            <w:noWrap/>
          </w:tcPr>
          <w:p>
            <w:pPr>
              <w:pStyle w:val="yTableNAm"/>
              <w:rPr>
                <w:sz w:val="20"/>
              </w:rPr>
            </w:pPr>
            <w:r>
              <w:rPr>
                <w:sz w:val="20"/>
              </w:rPr>
              <w:t>Light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lastRenderedPageBreak/>
              <w:t>14.</w:t>
            </w:r>
          </w:p>
        </w:tc>
        <w:tc>
          <w:tcPr>
            <w:tcW w:w="1560" w:type="dxa"/>
            <w:tcBorders>
              <w:bottom w:val="nil"/>
            </w:tcBorders>
            <w:noWrap/>
          </w:tcPr>
          <w:p>
            <w:pPr>
              <w:pStyle w:val="yTableNAm"/>
              <w:rPr>
                <w:sz w:val="20"/>
              </w:rPr>
            </w:pPr>
            <w:r>
              <w:rPr>
                <w:sz w:val="20"/>
              </w:rPr>
              <w:t>Light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noWrap/>
          </w:tcPr>
          <w:p>
            <w:pPr>
              <w:pStyle w:val="yTableNAm"/>
              <w:rPr>
                <w:sz w:val="20"/>
              </w:rPr>
            </w:pPr>
            <w:r>
              <w:rPr>
                <w:sz w:val="20"/>
              </w:rPr>
              <w:t>15.</w:t>
            </w:r>
          </w:p>
        </w:tc>
        <w:tc>
          <w:tcPr>
            <w:tcW w:w="1560" w:type="dxa"/>
            <w:tcBorders>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noWrap/>
          </w:tcPr>
          <w:p>
            <w:pPr>
              <w:pStyle w:val="yTableNAm"/>
              <w:rPr>
                <w:sz w:val="20"/>
              </w:rPr>
            </w:pPr>
            <w:r>
              <w:rPr>
                <w:sz w:val="20"/>
              </w:rPr>
              <w:t>16.</w:t>
            </w:r>
          </w:p>
        </w:tc>
        <w:tc>
          <w:tcPr>
            <w:tcW w:w="1560" w:type="dxa"/>
            <w:tcBorders>
              <w:bottom w:val="nil"/>
            </w:tcBorders>
            <w:noWrap/>
          </w:tcPr>
          <w:p>
            <w:pPr>
              <w:pStyle w:val="yTableNAm"/>
              <w:rPr>
                <w:sz w:val="20"/>
              </w:rPr>
            </w:pPr>
            <w:r>
              <w:rPr>
                <w:sz w:val="20"/>
              </w:rPr>
              <w:t>Motor cycle servicing work</w:t>
            </w:r>
          </w:p>
        </w:tc>
        <w:tc>
          <w:tcPr>
            <w:tcW w:w="1134" w:type="dxa"/>
            <w:tcBorders>
              <w:top w:val="single" w:sz="4" w:space="0" w:color="auto"/>
              <w:bottom w:val="nil"/>
            </w:tcBorders>
            <w:noWrap/>
          </w:tcPr>
          <w:p>
            <w:pPr>
              <w:pStyle w:val="yTableNAm"/>
              <w:rPr>
                <w:sz w:val="20"/>
              </w:rPr>
            </w:pPr>
            <w:r>
              <w:rPr>
                <w:sz w:val="20"/>
              </w:rPr>
              <w:t>AUR99</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17.</w:t>
            </w:r>
          </w:p>
        </w:tc>
        <w:tc>
          <w:tcPr>
            <w:tcW w:w="1560" w:type="dxa"/>
            <w:tcBorders>
              <w:bottom w:val="nil"/>
            </w:tcBorders>
            <w:noWrap/>
          </w:tcPr>
          <w:p>
            <w:pPr>
              <w:pStyle w:val="yTableNAm"/>
              <w:rPr>
                <w:sz w:val="20"/>
              </w:rPr>
            </w:pPr>
            <w:r>
              <w:rPr>
                <w:sz w:val="20"/>
              </w:rPr>
              <w:t>Motor cycle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noWrap/>
          </w:tcPr>
          <w:p>
            <w:pPr>
              <w:pStyle w:val="yTableNAm"/>
              <w:rPr>
                <w:sz w:val="20"/>
              </w:rPr>
            </w:pPr>
            <w:r>
              <w:rPr>
                <w:sz w:val="20"/>
              </w:rPr>
              <w:lastRenderedPageBreak/>
              <w:t>18.</w:t>
            </w:r>
          </w:p>
        </w:tc>
        <w:tc>
          <w:tcPr>
            <w:tcW w:w="1560" w:type="dxa"/>
            <w:tcBorders>
              <w:bottom w:val="nil"/>
            </w:tcBorders>
            <w:noWrap/>
          </w:tcPr>
          <w:p>
            <w:pPr>
              <w:pStyle w:val="yTableNAm"/>
              <w:rPr>
                <w:sz w:val="20"/>
              </w:rPr>
            </w:pPr>
            <w:r>
              <w:rPr>
                <w:sz w:val="20"/>
              </w:rPr>
              <w:t>Painting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noWrap/>
          </w:tcPr>
          <w:p>
            <w:pPr>
              <w:pStyle w:val="yTableNAm"/>
              <w:rPr>
                <w:sz w:val="20"/>
              </w:rPr>
            </w:pPr>
            <w:r>
              <w:rPr>
                <w:sz w:val="20"/>
              </w:rPr>
              <w:t>19.</w:t>
            </w:r>
          </w:p>
        </w:tc>
        <w:tc>
          <w:tcPr>
            <w:tcW w:w="1560" w:type="dxa"/>
            <w:tcBorders>
              <w:bottom w:val="nil"/>
            </w:tcBorders>
            <w:noWrap/>
          </w:tcPr>
          <w:p>
            <w:pPr>
              <w:pStyle w:val="yTableNAm"/>
              <w:rPr>
                <w:sz w:val="20"/>
              </w:rPr>
            </w:pPr>
            <w:r>
              <w:rPr>
                <w:sz w:val="20"/>
              </w:rPr>
              <w:t>Panel beating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20.</w:t>
            </w:r>
          </w:p>
        </w:tc>
        <w:tc>
          <w:tcPr>
            <w:tcW w:w="1560" w:type="dxa"/>
            <w:tcBorders>
              <w:bottom w:val="nil"/>
            </w:tcBorders>
            <w:noWrap/>
          </w:tcPr>
          <w:p>
            <w:pPr>
              <w:pStyle w:val="yTableNAm"/>
              <w:rPr>
                <w:sz w:val="20"/>
              </w:rPr>
            </w:pPr>
            <w:r>
              <w:rPr>
                <w:sz w:val="20"/>
              </w:rPr>
              <w:t>Trimming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top w:val="single" w:sz="4" w:space="0" w:color="auto"/>
              <w:bottom w:val="nil"/>
            </w:tcBorders>
            <w:noWrap/>
          </w:tcPr>
          <w:p>
            <w:pPr>
              <w:pStyle w:val="yTableNAm"/>
              <w:rPr>
                <w:sz w:val="20"/>
              </w:rPr>
            </w:pPr>
            <w:r>
              <w:rPr>
                <w:sz w:val="20"/>
              </w:rPr>
              <w:t>21.</w:t>
            </w:r>
          </w:p>
        </w:tc>
        <w:tc>
          <w:tcPr>
            <w:tcW w:w="1560" w:type="dxa"/>
            <w:tcBorders>
              <w:top w:val="single" w:sz="4" w:space="0" w:color="auto"/>
              <w:bottom w:val="nil"/>
            </w:tcBorders>
            <w:noWrap/>
          </w:tcPr>
          <w:p>
            <w:pPr>
              <w:pStyle w:val="yTableNAm"/>
              <w:rPr>
                <w:sz w:val="20"/>
              </w:rPr>
            </w:pPr>
            <w:r>
              <w:rPr>
                <w:sz w:val="20"/>
              </w:rPr>
              <w:t>Tyre fitting work</w:t>
            </w:r>
          </w:p>
        </w:tc>
        <w:tc>
          <w:tcPr>
            <w:tcW w:w="1134" w:type="dxa"/>
            <w:tcBorders>
              <w:top w:val="single" w:sz="4" w:space="0" w:color="auto"/>
              <w:bottom w:val="nil"/>
            </w:tcBorders>
            <w:noWrap/>
          </w:tcPr>
          <w:p>
            <w:pPr>
              <w:pStyle w:val="yTableNAm"/>
              <w:rPr>
                <w:sz w:val="20"/>
              </w:rPr>
            </w:pPr>
            <w:r>
              <w:rPr>
                <w:sz w:val="20"/>
              </w:rPr>
              <w:t>AUR</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p>
        </w:tc>
        <w:tc>
          <w:tcPr>
            <w:tcW w:w="1560" w:type="dxa"/>
            <w:tcBorders>
              <w:top w:val="nil"/>
            </w:tcBorders>
            <w:noWrap/>
          </w:tcPr>
          <w:p>
            <w:pPr>
              <w:pStyle w:val="yTableNAm"/>
              <w:rPr>
                <w:sz w:val="20"/>
              </w:rPr>
            </w:pPr>
          </w:p>
        </w:tc>
        <w:tc>
          <w:tcPr>
            <w:tcW w:w="1134" w:type="dxa"/>
            <w:tcBorders>
              <w:top w:val="nil"/>
            </w:tcBorders>
            <w:noWrap/>
          </w:tcPr>
          <w:p>
            <w:pPr>
              <w:pStyle w:val="yTableNAm"/>
              <w:rPr>
                <w:sz w:val="20"/>
              </w:rPr>
            </w:pPr>
          </w:p>
        </w:tc>
        <w:tc>
          <w:tcPr>
            <w:tcW w:w="3147" w:type="dxa"/>
            <w:tcBorders>
              <w:top w:val="nil"/>
            </w:tcBorders>
            <w:noWrap/>
          </w:tcPr>
          <w:p>
            <w:pPr>
              <w:pStyle w:val="yTableNAm"/>
              <w:rPr>
                <w:sz w:val="20"/>
              </w:rPr>
            </w:pPr>
            <w:r>
              <w:rPr>
                <w:i/>
                <w:sz w:val="20"/>
              </w:rPr>
              <w:t>Code:</w:t>
            </w:r>
            <w:r>
              <w:rPr>
                <w:sz w:val="20"/>
              </w:rPr>
              <w:t xml:space="preserve"> AUR21920</w:t>
            </w:r>
          </w:p>
          <w:p>
            <w:pPr>
              <w:pStyle w:val="yTableNAm"/>
              <w:rPr>
                <w:i/>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r>
              <w:rPr>
                <w:sz w:val="20"/>
              </w:rPr>
              <w:lastRenderedPageBreak/>
              <w:t>22.</w:t>
            </w:r>
          </w:p>
        </w:tc>
        <w:tc>
          <w:tcPr>
            <w:tcW w:w="1560" w:type="dxa"/>
            <w:tcBorders>
              <w:top w:val="nil"/>
            </w:tcBorders>
            <w:noWrap/>
          </w:tcPr>
          <w:p>
            <w:pPr>
              <w:pStyle w:val="yTableNAm"/>
              <w:rPr>
                <w:sz w:val="20"/>
              </w:rPr>
            </w:pPr>
            <w:r>
              <w:rPr>
                <w:sz w:val="20"/>
              </w:rPr>
              <w:t>Underbody work</w:t>
            </w:r>
          </w:p>
        </w:tc>
        <w:tc>
          <w:tcPr>
            <w:tcW w:w="1134" w:type="dxa"/>
            <w:tcBorders>
              <w:top w:val="nil"/>
            </w:tcBorders>
            <w:noWrap/>
          </w:tcPr>
          <w:p>
            <w:pPr>
              <w:pStyle w:val="yTableNAm"/>
              <w:rPr>
                <w:sz w:val="20"/>
              </w:rPr>
            </w:pPr>
            <w:r>
              <w:rPr>
                <w:sz w:val="20"/>
              </w:rPr>
              <w:t>AUR</w:t>
            </w:r>
          </w:p>
        </w:tc>
        <w:tc>
          <w:tcPr>
            <w:tcW w:w="3147" w:type="dxa"/>
            <w:tcBorders>
              <w:top w:val="nil"/>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SL 2021/164 r.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9" w:name="_Toc106805633"/>
      <w:bookmarkStart w:id="50" w:name="_Toc106806242"/>
      <w:bookmarkStart w:id="51" w:name="_Toc106877786"/>
      <w:r>
        <w:lastRenderedPageBreak/>
        <w:t>Notes</w:t>
      </w:r>
      <w:bookmarkEnd w:id="49"/>
      <w:bookmarkEnd w:id="50"/>
      <w:bookmarkEnd w:id="51"/>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52" w:name="_Toc106877787"/>
      <w:r>
        <w:t>Compilation table</w:t>
      </w:r>
      <w:bookmarkEnd w:id="5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lastRenderedPageBreak/>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lastRenderedPageBreak/>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2022</w:t>
            </w:r>
            <w:r>
              <w:t xml:space="preserve"> Pt. 14</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54" w:name="_Toc106805636"/>
      <w:bookmarkStart w:id="55" w:name="_Toc106806244"/>
      <w:bookmarkStart w:id="56" w:name="_Toc106877788"/>
      <w:r>
        <w:rPr>
          <w:sz w:val="28"/>
        </w:rPr>
        <w:lastRenderedPageBreak/>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amendment regulations</w:t>
      </w:r>
      <w:r>
        <w:tab/>
        <w:t>16(1)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commencement</w:t>
      </w:r>
      <w:r>
        <w:tab/>
        <w:t>16(1)</w:t>
      </w:r>
    </w:p>
    <w:p>
      <w:pPr>
        <w:pStyle w:val="DefinedTerms"/>
      </w:pPr>
      <w:r>
        <w:t>cooling system work</w:t>
      </w:r>
      <w:r>
        <w:tab/>
        <w:t>3(1)</w:t>
      </w:r>
    </w:p>
    <w:p>
      <w:pPr>
        <w:pStyle w:val="DefinedTerms"/>
      </w:pPr>
      <w:r>
        <w:t>diesel work</w:t>
      </w:r>
      <w:r>
        <w:tab/>
        <w:t>3(1)</w:t>
      </w:r>
    </w:p>
    <w:p>
      <w:pPr>
        <w:pStyle w:val="DefinedTerms"/>
      </w:pPr>
      <w:r>
        <w:t>driveline</w:t>
      </w:r>
      <w:r>
        <w:tab/>
        <w:t>3(1)</w:t>
      </w:r>
    </w:p>
    <w:p>
      <w:pPr>
        <w:pStyle w:val="DefinedTerms"/>
      </w:pPr>
      <w:r>
        <w:t>driveline and transmission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locksmith work</w:t>
      </w:r>
      <w:r>
        <w:tab/>
        <w:t>3(1)</w:t>
      </w:r>
    </w:p>
    <w:p>
      <w:pPr>
        <w:pStyle w:val="DefinedTerms"/>
      </w:pPr>
      <w:r>
        <w:t>mechanical accessory</w:t>
      </w:r>
      <w:r>
        <w:tab/>
        <w:t>3(1)</w:t>
      </w:r>
    </w:p>
    <w:p>
      <w:pPr>
        <w:pStyle w:val="DefinedTerms"/>
      </w:pPr>
      <w:r>
        <w:lastRenderedPageBreak/>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other qualification</w:t>
      </w:r>
      <w:r>
        <w:tab/>
        <w:t>16(4)</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prescribed qualification</w:t>
      </w:r>
      <w:r>
        <w:tab/>
        <w:t>16(3)</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trimming work</w:t>
      </w:r>
      <w:r>
        <w:tab/>
        <w:t>3(1)</w:t>
      </w:r>
    </w:p>
    <w:p>
      <w:pPr>
        <w:pStyle w:val="DefinedTerms"/>
      </w:pPr>
      <w:r>
        <w:t>tyre fitting work</w:t>
      </w:r>
      <w:r>
        <w:tab/>
        <w:t>3(1)</w:t>
      </w:r>
    </w:p>
    <w:p>
      <w:pPr>
        <w:pStyle w:val="DefinedTerms"/>
      </w:pPr>
      <w:r>
        <w:t>underbody work</w:t>
      </w:r>
      <w:r>
        <w:tab/>
        <w:t>3(1)</w:t>
      </w:r>
    </w:p>
    <w:p>
      <w:pPr>
        <w:pStyle w:val="DefinedTerms"/>
      </w:pPr>
      <w:r>
        <w:t>vintage vehicle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11"/>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11213</Words>
  <Characters>56295</Characters>
  <Application>Microsoft Office Word</Application>
  <DocSecurity>0</DocSecurity>
  <Lines>2345</Lines>
  <Paragraphs>1607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2007 - 03-p0-00</dc:title>
  <dc:subject/>
  <dc:creator/>
  <cp:keywords/>
  <dc:description/>
  <cp:lastModifiedBy>Master Repository Process</cp:lastModifiedBy>
  <cp:revision>4</cp:revision>
  <cp:lastPrinted>2015-07-16T07:35:00Z</cp:lastPrinted>
  <dcterms:created xsi:type="dcterms:W3CDTF">2022-06-30T02:24:00Z</dcterms:created>
  <dcterms:modified xsi:type="dcterms:W3CDTF">2022-06-30T02:25:00Z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03-p0-00</vt:lpwstr>
  </property>
  <property fmtid="{D5CDD505-2E9C-101B-9397-08002B2CF9AE}" pid="9" name="CommencementDate">
    <vt:lpwstr>20220701</vt:lpwstr>
  </property>
</Properties>
</file>