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_Toc107396823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_Toc107396824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_Toc107396825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certain Acts</w:t>
      </w:r>
      <w:r>
        <w:tab/>
      </w:r>
      <w:r>
        <w:fldChar w:fldCharType="begin"/>
      </w:r>
      <w:r>
        <w:instrText xml:space="preserve"> PAGEREF _Toc107396826 \h </w:instrText>
      </w:r>
      <w:r>
        <w:fldChar w:fldCharType="separate"/>
      </w:r>
      <w:r>
        <w:t>3</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_Toc107396827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Children’s Court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constitution</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_Toc107396830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of Court</w:t>
      </w:r>
      <w:r>
        <w:tab/>
      </w:r>
      <w:r>
        <w:fldChar w:fldCharType="begin"/>
      </w:r>
      <w:r>
        <w:instrText xml:space="preserve"> PAGEREF _Toc107396831 \h </w:instrText>
      </w:r>
      <w:r>
        <w:fldChar w:fldCharType="separate"/>
      </w:r>
      <w:r>
        <w:t>5</w:t>
      </w:r>
      <w:r>
        <w:fldChar w:fldCharType="end"/>
      </w:r>
    </w:p>
    <w:p>
      <w:pPr>
        <w:pStyle w:val="TOC8"/>
        <w:rPr>
          <w:rFonts w:asciiTheme="minorHAnsi" w:eastAsiaTheme="minorEastAsia" w:hAnsiTheme="minorHAnsi" w:cstheme="minorBidi"/>
          <w:szCs w:val="22"/>
        </w:rPr>
      </w:pPr>
      <w:r>
        <w:t>6A.</w:t>
      </w:r>
      <w:r>
        <w:tab/>
        <w:t>Protection of judicial officers</w:t>
      </w:r>
      <w:r>
        <w:tab/>
      </w:r>
      <w:r>
        <w:fldChar w:fldCharType="begin"/>
      </w:r>
      <w:r>
        <w:instrText xml:space="preserve"> PAGEREF _Toc107396832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Judges and magistrates</w:t>
      </w:r>
    </w:p>
    <w:p>
      <w:pPr>
        <w:pStyle w:val="TOC8"/>
        <w:rPr>
          <w:rFonts w:asciiTheme="minorHAnsi" w:eastAsiaTheme="minorEastAsia" w:hAnsiTheme="minorHAnsi" w:cstheme="minorBidi"/>
          <w:szCs w:val="22"/>
        </w:rPr>
      </w:pPr>
      <w:r>
        <w:t>7</w:t>
      </w:r>
      <w:r>
        <w:rPr>
          <w:snapToGrid w:val="0"/>
        </w:rPr>
        <w:t>.</w:t>
      </w:r>
      <w:r>
        <w:rPr>
          <w:snapToGrid w:val="0"/>
        </w:rPr>
        <w:tab/>
        <w:t>Appointment, terms, conditions etc. of judges</w:t>
      </w:r>
      <w:r>
        <w:tab/>
      </w:r>
      <w:r>
        <w:fldChar w:fldCharType="begin"/>
      </w:r>
      <w:r>
        <w:instrText xml:space="preserve"> PAGEREF _Toc107396834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_Toc107396835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Absence etc. of President</w:t>
      </w:r>
      <w:r>
        <w:tab/>
      </w:r>
      <w:r>
        <w:fldChar w:fldCharType="begin"/>
      </w:r>
      <w:r>
        <w:instrText xml:space="preserve"> PAGEREF _Toc107396836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judge</w:t>
      </w:r>
      <w:r>
        <w:tab/>
      </w:r>
      <w:r>
        <w:fldChar w:fldCharType="begin"/>
      </w:r>
      <w:r>
        <w:instrText xml:space="preserve"> PAGEREF _Toc107396837 \h </w:instrText>
      </w:r>
      <w:r>
        <w:fldChar w:fldCharType="separate"/>
      </w:r>
      <w:r>
        <w:t>8</w:t>
      </w:r>
      <w:r>
        <w:fldChar w:fldCharType="end"/>
      </w:r>
    </w:p>
    <w:p>
      <w:pPr>
        <w:pStyle w:val="TOC8"/>
        <w:rPr>
          <w:rFonts w:asciiTheme="minorHAnsi" w:eastAsiaTheme="minorEastAsia" w:hAnsiTheme="minorHAnsi" w:cstheme="minorBidi"/>
          <w:szCs w:val="22"/>
        </w:rPr>
      </w:pPr>
      <w:r>
        <w:t>10.</w:t>
      </w:r>
      <w:r>
        <w:tab/>
        <w:t>Appointment of magistrates</w:t>
      </w:r>
      <w:r>
        <w:tab/>
      </w:r>
      <w:r>
        <w:fldChar w:fldCharType="begin"/>
      </w:r>
      <w:r>
        <w:instrText xml:space="preserve"> PAGEREF _Toc107396838 \h </w:instrText>
      </w:r>
      <w:r>
        <w:fldChar w:fldCharType="separate"/>
      </w:r>
      <w:r>
        <w:t>9</w:t>
      </w:r>
      <w:r>
        <w:fldChar w:fldCharType="end"/>
      </w:r>
    </w:p>
    <w:p>
      <w:pPr>
        <w:pStyle w:val="TOC8"/>
        <w:rPr>
          <w:rFonts w:asciiTheme="minorHAnsi" w:eastAsiaTheme="minorEastAsia" w:hAnsiTheme="minorHAnsi" w:cstheme="minorBidi"/>
          <w:szCs w:val="22"/>
        </w:rPr>
      </w:pPr>
      <w:r>
        <w:t>11.</w:t>
      </w:r>
      <w:r>
        <w:tab/>
        <w:t>Work of magistrates appointed to both Magistrates Court and Children’s Court</w:t>
      </w:r>
      <w:r>
        <w:tab/>
      </w:r>
      <w:r>
        <w:fldChar w:fldCharType="begin"/>
      </w:r>
      <w:r>
        <w:instrText xml:space="preserve"> PAGEREF _Toc107396839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Oath or affirmation of office</w:t>
      </w:r>
      <w:r>
        <w:tab/>
      </w:r>
      <w:r>
        <w:fldChar w:fldCharType="begin"/>
      </w:r>
      <w:r>
        <w:instrText xml:space="preserve"> PAGEREF _Toc107396840 \h </w:instrText>
      </w:r>
      <w:r>
        <w:fldChar w:fldCharType="separate"/>
      </w:r>
      <w:r>
        <w:t>13</w:t>
      </w:r>
      <w:r>
        <w:fldChar w:fldCharType="end"/>
      </w:r>
    </w:p>
    <w:p>
      <w:pPr>
        <w:pStyle w:val="TOC8"/>
        <w:rPr>
          <w:rFonts w:asciiTheme="minorHAnsi" w:eastAsiaTheme="minorEastAsia" w:hAnsiTheme="minorHAnsi" w:cstheme="minorBidi"/>
          <w:szCs w:val="22"/>
        </w:rPr>
      </w:pPr>
      <w:r>
        <w:t>12A.</w:t>
      </w:r>
      <w:r>
        <w:tab/>
        <w:t>President may assign duties to magistrates</w:t>
      </w:r>
      <w:r>
        <w:tab/>
      </w:r>
      <w:r>
        <w:fldChar w:fldCharType="begin"/>
      </w:r>
      <w:r>
        <w:instrText xml:space="preserve"> PAGEREF _Toc107396841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Sittings of the Court</w:t>
      </w:r>
    </w:p>
    <w:p>
      <w:pPr>
        <w:pStyle w:val="TOC8"/>
        <w:rPr>
          <w:rFonts w:asciiTheme="minorHAnsi" w:eastAsiaTheme="minorEastAsia" w:hAnsiTheme="minorHAnsi" w:cstheme="minorBidi"/>
          <w:szCs w:val="22"/>
        </w:rPr>
      </w:pPr>
      <w:r>
        <w:t>13.</w:t>
      </w:r>
      <w:r>
        <w:tab/>
        <w:t>Where and when Court operates</w:t>
      </w:r>
      <w:r>
        <w:tab/>
      </w:r>
      <w:r>
        <w:fldChar w:fldCharType="begin"/>
      </w:r>
      <w:r>
        <w:instrText xml:space="preserve"> PAGEREF _Toc107396843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sit in chambers</w:t>
      </w:r>
      <w:r>
        <w:tab/>
      </w:r>
      <w:r>
        <w:fldChar w:fldCharType="begin"/>
      </w:r>
      <w:r>
        <w:instrText xml:space="preserve"> PAGEREF _Toc107396844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Police officers to attend Court</w:t>
      </w:r>
      <w:r>
        <w:tab/>
      </w:r>
      <w:r>
        <w:fldChar w:fldCharType="begin"/>
      </w:r>
      <w:r>
        <w:instrText xml:space="preserve"> PAGEREF _Toc107396845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Officers of the Court</w:t>
      </w:r>
    </w:p>
    <w:p>
      <w:pPr>
        <w:pStyle w:val="TOC8"/>
        <w:rPr>
          <w:rFonts w:asciiTheme="minorHAnsi" w:eastAsiaTheme="minorEastAsia" w:hAnsiTheme="minorHAnsi" w:cstheme="minorBidi"/>
          <w:szCs w:val="22"/>
        </w:rPr>
      </w:pPr>
      <w:r>
        <w:t>16.</w:t>
      </w:r>
      <w:r>
        <w:tab/>
        <w:t>Appointment of registrars etc.</w:t>
      </w:r>
      <w:r>
        <w:tab/>
      </w:r>
      <w:r>
        <w:fldChar w:fldCharType="begin"/>
      </w:r>
      <w:r>
        <w:instrText xml:space="preserve"> PAGEREF _Toc107396847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Duties of </w:t>
      </w:r>
      <w:r>
        <w:t>registrar</w:t>
      </w:r>
      <w:r>
        <w:tab/>
      </w:r>
      <w:r>
        <w:fldChar w:fldCharType="begin"/>
      </w:r>
      <w:r>
        <w:instrText xml:space="preserve"> PAGEREF _Toc107396848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Power of </w:t>
      </w:r>
      <w:r>
        <w:t>registrars</w:t>
      </w:r>
      <w:r>
        <w:rPr>
          <w:snapToGrid w:val="0"/>
        </w:rPr>
        <w:t xml:space="preserve"> to administer oaths etc.</w:t>
      </w:r>
      <w:r>
        <w:tab/>
      </w:r>
      <w:r>
        <w:fldChar w:fldCharType="begin"/>
      </w:r>
      <w:r>
        <w:instrText xml:space="preserve"> PAGEREF _Toc107396849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Court</w:t>
      </w:r>
    </w:p>
    <w:p>
      <w:pPr>
        <w:pStyle w:val="TOC8"/>
        <w:rPr>
          <w:rFonts w:asciiTheme="minorHAnsi" w:eastAsiaTheme="minorEastAsia" w:hAnsiTheme="minorHAnsi" w:cstheme="minorBidi"/>
          <w:szCs w:val="22"/>
        </w:rPr>
      </w:pPr>
      <w:r>
        <w:t>19</w:t>
      </w:r>
      <w:r>
        <w:rPr>
          <w:snapToGrid w:val="0"/>
        </w:rPr>
        <w:t>.</w:t>
      </w:r>
      <w:r>
        <w:rPr>
          <w:snapToGrid w:val="0"/>
        </w:rPr>
        <w:tab/>
        <w:t>Criminal jurisdiction as regards children</w:t>
      </w:r>
      <w:r>
        <w:tab/>
      </w:r>
      <w:r>
        <w:fldChar w:fldCharType="begin"/>
      </w:r>
      <w:r>
        <w:instrText xml:space="preserve"> PAGEREF _Toc107396851 \h </w:instrText>
      </w:r>
      <w:r>
        <w:fldChar w:fldCharType="separate"/>
      </w:r>
      <w:r>
        <w:t>18</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Application of sections 19B to 19E</w:t>
      </w:r>
      <w:r>
        <w:tab/>
      </w:r>
      <w:r>
        <w:fldChar w:fldCharType="begin"/>
      </w:r>
      <w:r>
        <w:instrText xml:space="preserve"> PAGEREF _Toc107396852 \h </w:instrText>
      </w:r>
      <w:r>
        <w:fldChar w:fldCharType="separate"/>
      </w:r>
      <w:r>
        <w:t>19</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Jurisdiction and procedure for charges of indictable offences</w:t>
      </w:r>
      <w:r>
        <w:tab/>
      </w:r>
      <w:r>
        <w:fldChar w:fldCharType="begin"/>
      </w:r>
      <w:r>
        <w:instrText xml:space="preserve"> PAGEREF _Toc107396853 \h </w:instrText>
      </w:r>
      <w:r>
        <w:fldChar w:fldCharType="separate"/>
      </w:r>
      <w:r>
        <w:t>19</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Court may transfer charge to Magistrates Court where child and adult charged with same offence</w:t>
      </w:r>
      <w:r>
        <w:tab/>
      </w:r>
      <w:r>
        <w:fldChar w:fldCharType="begin"/>
      </w:r>
      <w:r>
        <w:instrText xml:space="preserve"> PAGEREF _Toc107396854 \h </w:instrText>
      </w:r>
      <w:r>
        <w:fldChar w:fldCharType="separate"/>
      </w:r>
      <w:r>
        <w:t>22</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Court may transfer charge to Magistrates Court where accused has turned 18</w:t>
      </w:r>
      <w:r>
        <w:tab/>
      </w:r>
      <w:r>
        <w:fldChar w:fldCharType="begin"/>
      </w:r>
      <w:r>
        <w:instrText xml:space="preserve"> PAGEREF _Toc107396855 \h </w:instrText>
      </w:r>
      <w:r>
        <w:fldChar w:fldCharType="separate"/>
      </w:r>
      <w:r>
        <w:t>23</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Procedure for charges of Commonwealth indictable offences</w:t>
      </w:r>
      <w:r>
        <w:tab/>
      </w:r>
      <w:r>
        <w:fldChar w:fldCharType="begin"/>
      </w:r>
      <w:r>
        <w:instrText xml:space="preserve"> PAGEREF _Toc107396856 \h </w:instrText>
      </w:r>
      <w:r>
        <w:fldChar w:fldCharType="separate"/>
      </w:r>
      <w:r>
        <w:t>23</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Rules</w:t>
      </w:r>
      <w:r>
        <w:tab/>
      </w:r>
      <w:r>
        <w:fldChar w:fldCharType="begin"/>
      </w:r>
      <w:r>
        <w:instrText xml:space="preserve"> PAGEREF _Toc107396857 \h </w:instrText>
      </w:r>
      <w:r>
        <w:fldChar w:fldCharType="separate"/>
      </w:r>
      <w:r>
        <w:t>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Non</w:t>
      </w:r>
      <w:r>
        <w:rPr>
          <w:snapToGrid w:val="0"/>
        </w:rPr>
        <w:noBreakHyphen/>
        <w:t>criminal jurisdiction as regards children</w:t>
      </w:r>
      <w:r>
        <w:tab/>
      </w:r>
      <w:r>
        <w:fldChar w:fldCharType="begin"/>
      </w:r>
      <w:r>
        <w:instrText xml:space="preserve"> PAGEREF _Toc107396858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Limitations on exercise of certain jurisdiction</w:t>
      </w:r>
      <w:r>
        <w:tab/>
      </w:r>
      <w:r>
        <w:fldChar w:fldCharType="begin"/>
      </w:r>
      <w:r>
        <w:instrText xml:space="preserve"> PAGEREF _Toc107396859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President may extend powers of magistrate</w:t>
      </w:r>
      <w:r>
        <w:tab/>
      </w:r>
      <w:r>
        <w:fldChar w:fldCharType="begin"/>
      </w:r>
      <w:r>
        <w:instrText xml:space="preserve"> PAGEREF _Toc107396860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Court may require attendance of parent or guardian</w:t>
      </w:r>
      <w:r>
        <w:tab/>
      </w:r>
      <w:r>
        <w:fldChar w:fldCharType="begin"/>
      </w:r>
      <w:r>
        <w:instrText xml:space="preserve"> PAGEREF _Toc107396861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orders may be set aside</w:t>
      </w:r>
      <w:r>
        <w:tab/>
      </w:r>
      <w:r>
        <w:fldChar w:fldCharType="begin"/>
      </w:r>
      <w:r>
        <w:instrText xml:space="preserve"> PAGEREF _Toc107396862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re</w:t>
      </w:r>
      <w:r>
        <w:rPr>
          <w:snapToGrid w:val="0"/>
        </w:rPr>
        <w:noBreakHyphen/>
        <w:t>hear proceedings</w:t>
      </w:r>
      <w:r>
        <w:tab/>
      </w:r>
      <w:r>
        <w:fldChar w:fldCharType="begin"/>
      </w:r>
      <w:r>
        <w:instrText xml:space="preserve"> PAGEREF _Toc107396863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Witnesses and contempt</w:t>
      </w:r>
      <w:r>
        <w:tab/>
      </w:r>
      <w:r>
        <w:fldChar w:fldCharType="begin"/>
      </w:r>
      <w:r>
        <w:instrText xml:space="preserve"> PAGEREF _Toc107396864 \h </w:instrText>
      </w:r>
      <w:r>
        <w:fldChar w:fldCharType="separate"/>
      </w:r>
      <w:r>
        <w:t>29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Transfer of complaint to court of </w:t>
      </w:r>
      <w:r>
        <w:t>competent jurisdiction</w:t>
      </w:r>
      <w:r>
        <w:tab/>
      </w:r>
      <w:r>
        <w:fldChar w:fldCharType="begin"/>
      </w:r>
      <w:r>
        <w:instrText xml:space="preserve"> PAGEREF _Toc107396865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Procedure of the Court</w:t>
      </w:r>
    </w:p>
    <w:p>
      <w:pPr>
        <w:pStyle w:val="TOC8"/>
        <w:rPr>
          <w:rFonts w:asciiTheme="minorHAnsi" w:eastAsiaTheme="minorEastAsia" w:hAnsiTheme="minorHAnsi" w:cstheme="minorBidi"/>
          <w:szCs w:val="22"/>
        </w:rPr>
      </w:pPr>
      <w:r>
        <w:t>31</w:t>
      </w:r>
      <w:r>
        <w:rPr>
          <w:snapToGrid w:val="0"/>
        </w:rPr>
        <w:t>.</w:t>
      </w:r>
      <w:r>
        <w:rPr>
          <w:snapToGrid w:val="0"/>
        </w:rPr>
        <w:tab/>
        <w:t>Exclusion of persons from hearing</w:t>
      </w:r>
      <w:r>
        <w:tab/>
      </w:r>
      <w:r>
        <w:fldChar w:fldCharType="begin"/>
      </w:r>
      <w:r>
        <w:instrText xml:space="preserve"> PAGEREF _Toc107396867 \h </w:instrText>
      </w:r>
      <w:r>
        <w:fldChar w:fldCharType="separate"/>
      </w:r>
      <w:r>
        <w:t>32</w:t>
      </w:r>
      <w:r>
        <w:fldChar w:fldCharType="end"/>
      </w:r>
    </w:p>
    <w:p>
      <w:pPr>
        <w:pStyle w:val="TOC8"/>
        <w:rPr>
          <w:rFonts w:asciiTheme="minorHAnsi" w:eastAsiaTheme="minorEastAsia" w:hAnsiTheme="minorHAnsi" w:cstheme="minorBidi"/>
          <w:szCs w:val="22"/>
        </w:rPr>
      </w:pPr>
      <w:r>
        <w:t>33.</w:t>
      </w:r>
      <w:r>
        <w:tab/>
        <w:t>CEOs or officers may take part in proceedings</w:t>
      </w:r>
      <w:r>
        <w:tab/>
      </w:r>
      <w:r>
        <w:fldChar w:fldCharType="begin"/>
      </w:r>
      <w:r>
        <w:instrText xml:space="preserve"> PAGEREF _Toc107396868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Court must explain proceedings</w:t>
      </w:r>
      <w:r>
        <w:tab/>
      </w:r>
      <w:r>
        <w:fldChar w:fldCharType="begin"/>
      </w:r>
      <w:r>
        <w:instrText xml:space="preserve"> PAGEREF _Toc107396869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reports of proceedings</w:t>
      </w:r>
      <w:r>
        <w:tab/>
      </w:r>
      <w:r>
        <w:fldChar w:fldCharType="begin"/>
      </w:r>
      <w:r>
        <w:instrText xml:space="preserve"> PAGEREF _Toc107396870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Disclosure of convictions, orders etc. restricted</w:t>
      </w:r>
      <w:r>
        <w:tab/>
      </w:r>
      <w:r>
        <w:fldChar w:fldCharType="begin"/>
      </w:r>
      <w:r>
        <w:instrText xml:space="preserve"> PAGEREF _Toc107396871 \h </w:instrText>
      </w:r>
      <w:r>
        <w:fldChar w:fldCharType="separate"/>
      </w:r>
      <w:r>
        <w:t>35</w:t>
      </w:r>
      <w:r>
        <w:fldChar w:fldCharType="end"/>
      </w:r>
    </w:p>
    <w:p>
      <w:pPr>
        <w:pStyle w:val="TOC8"/>
        <w:rPr>
          <w:rFonts w:asciiTheme="minorHAnsi" w:eastAsiaTheme="minorEastAsia" w:hAnsiTheme="minorHAnsi" w:cstheme="minorBidi"/>
          <w:szCs w:val="22"/>
        </w:rPr>
      </w:pPr>
      <w:r>
        <w:t>36AA.</w:t>
      </w:r>
      <w:r>
        <w:tab/>
        <w:t>Disclosure for certain research purposes</w:t>
      </w:r>
      <w:r>
        <w:tab/>
      </w:r>
      <w:r>
        <w:fldChar w:fldCharType="begin"/>
      </w:r>
      <w:r>
        <w:instrText xml:space="preserve"> PAGEREF _Toc107396872 \h </w:instrText>
      </w:r>
      <w:r>
        <w:fldChar w:fldCharType="separate"/>
      </w:r>
      <w:r>
        <w:t>35</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Supreme Court may allow publication etc.</w:t>
      </w:r>
      <w:r>
        <w:tab/>
      </w:r>
      <w:r>
        <w:fldChar w:fldCharType="begin"/>
      </w:r>
      <w:r>
        <w:instrText xml:space="preserve"> PAGEREF _Toc107396873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Practice and procedure</w:t>
      </w:r>
      <w:r>
        <w:tab/>
      </w:r>
      <w:r>
        <w:fldChar w:fldCharType="begin"/>
      </w:r>
      <w:r>
        <w:instrText xml:space="preserve"> PAGEREF _Toc107396874 \h </w:instrText>
      </w:r>
      <w:r>
        <w:fldChar w:fldCharType="separate"/>
      </w:r>
      <w:r>
        <w:t>38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Rules of court</w:t>
      </w:r>
      <w:r>
        <w:tab/>
      </w:r>
      <w:r>
        <w:fldChar w:fldCharType="begin"/>
      </w:r>
      <w:r>
        <w:instrText xml:space="preserve"> PAGEREF _Toc107396875 \h </w:instrText>
      </w:r>
      <w:r>
        <w:fldChar w:fldCharType="separate"/>
      </w:r>
      <w:r>
        <w:t>38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Mode of enforcing orders by Court</w:t>
      </w:r>
      <w:r>
        <w:tab/>
      </w:r>
      <w:r>
        <w:fldChar w:fldCharType="begin"/>
      </w:r>
      <w:r>
        <w:instrText xml:space="preserve"> PAGEREF _Toc107396876 \h </w:instrText>
      </w:r>
      <w:r>
        <w:fldChar w:fldCharType="separate"/>
      </w:r>
      <w:r>
        <w:t>39</w:t>
      </w:r>
      <w:r>
        <w:fldChar w:fldCharType="end"/>
      </w:r>
    </w:p>
    <w:p>
      <w:pPr>
        <w:pStyle w:val="TOC8"/>
        <w:rPr>
          <w:rFonts w:asciiTheme="minorHAnsi" w:eastAsiaTheme="minorEastAsia" w:hAnsiTheme="minorHAnsi" w:cstheme="minorBidi"/>
          <w:szCs w:val="22"/>
        </w:rPr>
      </w:pPr>
      <w:r>
        <w:t>39A.</w:t>
      </w:r>
      <w:r>
        <w:tab/>
        <w:t>Judgments, enforcement of</w:t>
      </w:r>
      <w:r>
        <w:tab/>
      </w:r>
      <w:r>
        <w:fldChar w:fldCharType="begin"/>
      </w:r>
      <w:r>
        <w:instrText xml:space="preserve"> PAGEREF _Toc107396877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Review and appeal</w:t>
      </w:r>
    </w:p>
    <w:p>
      <w:pPr>
        <w:pStyle w:val="TOC8"/>
        <w:rPr>
          <w:rFonts w:asciiTheme="minorHAnsi" w:eastAsiaTheme="minorEastAsia" w:hAnsiTheme="minorHAnsi" w:cstheme="minorBidi"/>
          <w:szCs w:val="22"/>
        </w:rPr>
      </w:pPr>
      <w:r>
        <w:t>40</w:t>
      </w:r>
      <w:r>
        <w:rPr>
          <w:snapToGrid w:val="0"/>
        </w:rPr>
        <w:t>.</w:t>
      </w:r>
      <w:r>
        <w:rPr>
          <w:snapToGrid w:val="0"/>
        </w:rPr>
        <w:tab/>
        <w:t>Review by President of certain sentences</w:t>
      </w:r>
      <w:r>
        <w:tab/>
      </w:r>
      <w:r>
        <w:fldChar w:fldCharType="begin"/>
      </w:r>
      <w:r>
        <w:instrText xml:space="preserve"> PAGEREF _Toc107396879 \h </w:instrText>
      </w:r>
      <w:r>
        <w:fldChar w:fldCharType="separate"/>
      </w:r>
      <w:r>
        <w:t>40</w:t>
      </w:r>
      <w:r>
        <w:fldChar w:fldCharType="end"/>
      </w:r>
    </w:p>
    <w:p>
      <w:pPr>
        <w:pStyle w:val="TOC8"/>
        <w:rPr>
          <w:rFonts w:asciiTheme="minorHAnsi" w:eastAsiaTheme="minorEastAsia" w:hAnsiTheme="minorHAnsi" w:cstheme="minorBidi"/>
          <w:szCs w:val="22"/>
        </w:rPr>
      </w:pPr>
      <w:r>
        <w:t>41.</w:t>
      </w:r>
      <w:r>
        <w:tab/>
        <w:t>Appeals against decisions of magistrates etc.</w:t>
      </w:r>
      <w:r>
        <w:tab/>
      </w:r>
      <w:r>
        <w:fldChar w:fldCharType="begin"/>
      </w:r>
      <w:r>
        <w:instrText xml:space="preserve"> PAGEREF _Toc107396880 \h </w:instrText>
      </w:r>
      <w:r>
        <w:fldChar w:fldCharType="separate"/>
      </w:r>
      <w:r>
        <w:t>41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Appeal against certain other orders</w:t>
      </w:r>
      <w:r>
        <w:tab/>
      </w:r>
      <w:r>
        <w:fldChar w:fldCharType="begin"/>
      </w:r>
      <w:r>
        <w:instrText xml:space="preserve"> PAGEREF _Toc107396881 \h </w:instrText>
      </w:r>
      <w:r>
        <w:fldChar w:fldCharType="separate"/>
      </w:r>
      <w:r>
        <w:t>42</w:t>
      </w:r>
      <w:r>
        <w:fldChar w:fldCharType="end"/>
      </w:r>
    </w:p>
    <w:p>
      <w:pPr>
        <w:pStyle w:val="TOC8"/>
        <w:rPr>
          <w:rFonts w:asciiTheme="minorHAnsi" w:eastAsiaTheme="minorEastAsia" w:hAnsiTheme="minorHAnsi" w:cstheme="minorBidi"/>
          <w:szCs w:val="22"/>
        </w:rPr>
      </w:pPr>
      <w:r>
        <w:t>42A.</w:t>
      </w:r>
      <w:r>
        <w:tab/>
        <w:t>Appeals from judges’ decisions in criminal matters</w:t>
      </w:r>
      <w:r>
        <w:tab/>
      </w:r>
      <w:r>
        <w:fldChar w:fldCharType="begin"/>
      </w:r>
      <w:r>
        <w:instrText xml:space="preserve"> PAGEREF _Toc107396882 \h </w:instrText>
      </w:r>
      <w:r>
        <w:fldChar w:fldCharType="separate"/>
      </w:r>
      <w:r>
        <w:t>42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Appeals to </w:t>
      </w:r>
      <w:r>
        <w:t>Court of Appeal</w:t>
      </w:r>
      <w:r>
        <w:tab/>
      </w:r>
      <w:r>
        <w:fldChar w:fldCharType="begin"/>
      </w:r>
      <w:r>
        <w:instrText xml:space="preserve"> PAGEREF _Toc107396883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rPr>
          <w:snapToGrid w:val="0"/>
        </w:rPr>
        <w:t>.</w:t>
      </w:r>
      <w:r>
        <w:rPr>
          <w:snapToGrid w:val="0"/>
        </w:rPr>
        <w:tab/>
        <w:t>Forms of proceedings</w:t>
      </w:r>
      <w:r>
        <w:tab/>
      </w:r>
      <w:r>
        <w:fldChar w:fldCharType="begin"/>
      </w:r>
      <w:r>
        <w:instrText xml:space="preserve"> PAGEREF _Toc107396885 \h </w:instrText>
      </w:r>
      <w:r>
        <w:fldChar w:fldCharType="separate"/>
      </w:r>
      <w:r>
        <w:t>45</w:t>
      </w:r>
      <w:r>
        <w:fldChar w:fldCharType="end"/>
      </w:r>
    </w:p>
    <w:p>
      <w:pPr>
        <w:pStyle w:val="TOC8"/>
        <w:rPr>
          <w:rFonts w:asciiTheme="minorHAnsi" w:eastAsiaTheme="minorEastAsia" w:hAnsiTheme="minorHAnsi" w:cstheme="minorBidi"/>
          <w:szCs w:val="22"/>
        </w:rPr>
      </w:pPr>
      <w:r>
        <w:t>51A.</w:t>
      </w:r>
      <w:r>
        <w:tab/>
        <w:t>Court’s records, access to</w:t>
      </w:r>
      <w:r>
        <w:tab/>
      </w:r>
      <w:r>
        <w:fldChar w:fldCharType="begin"/>
      </w:r>
      <w:r>
        <w:instrText xml:space="preserve"> PAGEREF _Toc107396886 \h </w:instrText>
      </w:r>
      <w:r>
        <w:fldChar w:fldCharType="separate"/>
      </w:r>
      <w:r>
        <w:t>45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_Toc107396887 \h </w:instrText>
      </w:r>
      <w:r>
        <w:fldChar w:fldCharType="separate"/>
      </w:r>
      <w:r>
        <w:t>47</w:t>
      </w:r>
      <w:r>
        <w:fldChar w:fldCharType="end"/>
      </w:r>
    </w:p>
    <w:p>
      <w:pPr>
        <w:pStyle w:val="TOC8"/>
        <w:rPr>
          <w:rFonts w:asciiTheme="minorHAnsi" w:eastAsiaTheme="minorEastAsia" w:hAnsiTheme="minorHAnsi" w:cstheme="minorBidi"/>
          <w:szCs w:val="22"/>
        </w:rPr>
      </w:pPr>
      <w:r>
        <w:t>53.</w:t>
      </w:r>
      <w:r>
        <w:tab/>
        <w:t>Fees, regulations may prescribe</w:t>
      </w:r>
      <w:r>
        <w:tab/>
      </w:r>
      <w:r>
        <w:fldChar w:fldCharType="begin"/>
      </w:r>
      <w:r>
        <w:instrText xml:space="preserve"> PAGEREF _Toc107396888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for </w:t>
      </w:r>
      <w:r>
        <w:rPr>
          <w:i/>
        </w:rPr>
        <w:t>Courts Legislation Amendment (Magistrates) Act 2022</w:t>
      </w:r>
    </w:p>
    <w:p>
      <w:pPr>
        <w:pStyle w:val="TOC8"/>
        <w:rPr>
          <w:rFonts w:asciiTheme="minorHAnsi" w:eastAsiaTheme="minorEastAsia" w:hAnsiTheme="minorHAnsi" w:cstheme="minorBidi"/>
          <w:szCs w:val="22"/>
        </w:rPr>
      </w:pPr>
      <w:r>
        <w:t>54.</w:t>
      </w:r>
      <w:r>
        <w:tab/>
        <w:t xml:space="preserve">Magistrates performing Children’s Court functions before commencement of </w:t>
      </w:r>
      <w:r>
        <w:rPr>
          <w:i/>
        </w:rPr>
        <w:t>Courts Legislation Amendment (Magistrates) Act 2022</w:t>
      </w:r>
      <w:r>
        <w:tab/>
      </w:r>
      <w:r>
        <w:fldChar w:fldCharType="begin"/>
      </w:r>
      <w:r>
        <w:instrText xml:space="preserve"> PAGEREF _Toc107396890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_Toc107396893 \h </w:instrText>
      </w:r>
      <w:r>
        <w:fldChar w:fldCharType="separate"/>
      </w:r>
      <w:r>
        <w:t>51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_Toc107396894 \h </w:instrText>
      </w:r>
      <w:r>
        <w:fldChar w:fldCharType="separate"/>
      </w:r>
      <w:r>
        <w:t>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_Toc107396895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An Act to establish the Children’s Court of Western Australia and for related purposes.</w:t>
      </w:r>
    </w:p>
    <w:p>
      <w:pPr>
        <w:pStyle w:val="Heading2"/>
      </w:pPr>
      <w:bookmarkStart w:id="3" w:name="_Toc107320041"/>
      <w:bookmarkStart w:id="4" w:name="_Toc107320240"/>
      <w:bookmarkStart w:id="5" w:name="_Toc10739682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spacing w:before="180"/>
        <w:rPr>
          <w:snapToGrid w:val="0"/>
        </w:rPr>
      </w:pPr>
      <w:bookmarkStart w:id="6" w:name="_Toc107396823"/>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w:t>
      </w:r>
    </w:p>
    <w:p>
      <w:pPr>
        <w:pStyle w:val="Footnotesection"/>
      </w:pPr>
      <w:r>
        <w:tab/>
        <w:t>[Section 1 amended: No. 15 of 1991 s. 4.]</w:t>
      </w:r>
    </w:p>
    <w:p>
      <w:pPr>
        <w:pStyle w:val="Heading5"/>
        <w:spacing w:before="180"/>
        <w:rPr>
          <w:snapToGrid w:val="0"/>
        </w:rPr>
      </w:pPr>
      <w:bookmarkStart w:id="7" w:name="_Toc107396824"/>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such day as is or such days as are respectively fixed by proclamation.</w:t>
      </w:r>
    </w:p>
    <w:p>
      <w:pPr>
        <w:pStyle w:val="Heading5"/>
        <w:spacing w:before="180"/>
        <w:rPr>
          <w:snapToGrid w:val="0"/>
        </w:rPr>
      </w:pPr>
      <w:bookmarkStart w:id="8" w:name="_Toc107396825"/>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tab/>
      </w:r>
      <w:r>
        <w:rPr>
          <w:rStyle w:val="CharDefText"/>
        </w:rPr>
        <w:t>Chief Magistrate</w:t>
      </w:r>
      <w:r>
        <w:t xml:space="preserve"> means the Chief Magistrate of the Magistrates Court;</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Indenta"/>
      </w:pPr>
      <w:r>
        <w:tab/>
        <w:t>(c)</w:t>
      </w:r>
      <w:r>
        <w:tab/>
        <w:t>a person dealt with under section 19(2), (2AA) or (2AB);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lastRenderedPageBreak/>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No. 15 of 1991 s. 5; No. 14 of 1992 s. 4(3); No. 31 of 1993 s. 27; No. 65 of 2003 s. 107(2), (3); No. 74 of 2003 s. 35; No. 34 of 2004 s. 251; No. 45 of 2004 s. 29; No. 59 of 2004 s. 60 and 73; No. 65 of 2006 s. 55; No. 21 of 2008 s. 643(2)</w:t>
      </w:r>
      <w:r>
        <w:noBreakHyphen/>
        <w:t>(4); No. 59 of 2010 s. 42; No. 47 of 2020 s. 6; No. 2 of 2022 s. 4; No. 9 of 2022 s. 424.]</w:t>
      </w:r>
    </w:p>
    <w:p>
      <w:pPr>
        <w:pStyle w:val="Heading5"/>
      </w:pPr>
      <w:bookmarkStart w:id="9" w:name="_Toc107396826"/>
      <w:r>
        <w:rPr>
          <w:rStyle w:val="CharSectno"/>
        </w:rPr>
        <w:t>4</w:t>
      </w:r>
      <w:r>
        <w:t>.</w:t>
      </w:r>
      <w:r>
        <w:tab/>
        <w:t>Application of certain Acts</w:t>
      </w:r>
      <w:bookmarkEnd w:id="9"/>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No. 59 of 2004 s. 61; amended: No. 84 of 2004 s. 18.]</w:t>
      </w:r>
    </w:p>
    <w:p>
      <w:pPr>
        <w:pStyle w:val="Heading5"/>
      </w:pPr>
      <w:bookmarkStart w:id="10" w:name="_Toc107396827"/>
      <w:r>
        <w:rPr>
          <w:rStyle w:val="CharSectno"/>
        </w:rPr>
        <w:lastRenderedPageBreak/>
        <w:t>5A</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20 of 2013 s. 33.]</w:t>
      </w:r>
    </w:p>
    <w:p>
      <w:pPr>
        <w:pStyle w:val="Heading2"/>
      </w:pPr>
      <w:bookmarkStart w:id="11" w:name="_Toc107320047"/>
      <w:bookmarkStart w:id="12" w:name="_Toc107320246"/>
      <w:bookmarkStart w:id="13" w:name="_Toc107396828"/>
      <w:r>
        <w:rPr>
          <w:rStyle w:val="CharPartNo"/>
        </w:rPr>
        <w:lastRenderedPageBreak/>
        <w:t>Part 2</w:t>
      </w:r>
      <w:r>
        <w:t> — </w:t>
      </w:r>
      <w:r>
        <w:rPr>
          <w:rStyle w:val="CharPartText"/>
        </w:rPr>
        <w:t>Children’s Court of Western Australia</w:t>
      </w:r>
      <w:bookmarkEnd w:id="11"/>
      <w:bookmarkEnd w:id="12"/>
      <w:bookmarkEnd w:id="13"/>
    </w:p>
    <w:p>
      <w:pPr>
        <w:pStyle w:val="Heading3"/>
        <w:rPr>
          <w:snapToGrid w:val="0"/>
        </w:rPr>
      </w:pPr>
      <w:bookmarkStart w:id="14" w:name="_Toc107320048"/>
      <w:bookmarkStart w:id="15" w:name="_Toc107320247"/>
      <w:bookmarkStart w:id="16" w:name="_Toc107396829"/>
      <w:r>
        <w:rPr>
          <w:rStyle w:val="CharDivNo"/>
        </w:rPr>
        <w:t>Division 1</w:t>
      </w:r>
      <w:r>
        <w:rPr>
          <w:snapToGrid w:val="0"/>
        </w:rPr>
        <w:t> — </w:t>
      </w:r>
      <w:r>
        <w:rPr>
          <w:rStyle w:val="CharDivText"/>
        </w:rPr>
        <w:t>Establishment and constitution</w:t>
      </w:r>
      <w:bookmarkEnd w:id="14"/>
      <w:bookmarkEnd w:id="15"/>
      <w:bookmarkEnd w:id="16"/>
    </w:p>
    <w:p>
      <w:pPr>
        <w:pStyle w:val="Heading5"/>
        <w:rPr>
          <w:snapToGrid w:val="0"/>
        </w:rPr>
      </w:pPr>
      <w:bookmarkStart w:id="17" w:name="_Toc107396830"/>
      <w:r>
        <w:rPr>
          <w:rStyle w:val="CharSectno"/>
        </w:rPr>
        <w:t>5</w:t>
      </w:r>
      <w:r>
        <w:rPr>
          <w:snapToGrid w:val="0"/>
        </w:rPr>
        <w:t>.</w:t>
      </w:r>
      <w:r>
        <w:rPr>
          <w:snapToGrid w:val="0"/>
        </w:rPr>
        <w:tab/>
        <w:t>Establishment of Court</w:t>
      </w:r>
      <w:bookmarkEnd w:id="17"/>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8" w:name="_Toc107396831"/>
      <w:r>
        <w:rPr>
          <w:rStyle w:val="CharSectno"/>
        </w:rPr>
        <w:t>6</w:t>
      </w:r>
      <w:r>
        <w:rPr>
          <w:snapToGrid w:val="0"/>
        </w:rPr>
        <w:t>.</w:t>
      </w:r>
      <w:r>
        <w:rPr>
          <w:snapToGrid w:val="0"/>
        </w:rPr>
        <w:tab/>
        <w:t>Constitution of Court</w:t>
      </w:r>
      <w:bookmarkEnd w:id="18"/>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lastRenderedPageBreak/>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No. 59 of 2004 s. 73.]</w:t>
      </w:r>
    </w:p>
    <w:p>
      <w:pPr>
        <w:pStyle w:val="Heading5"/>
      </w:pPr>
      <w:bookmarkStart w:id="19" w:name="_Toc107396832"/>
      <w:r>
        <w:rPr>
          <w:rStyle w:val="CharSectno"/>
        </w:rPr>
        <w:t>6A</w:t>
      </w:r>
      <w:r>
        <w:t>.</w:t>
      </w:r>
      <w:r>
        <w:tab/>
        <w:t>Protection of judicial officers</w:t>
      </w:r>
      <w:bookmarkEnd w:id="19"/>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No. 59 of 2004 s. 62.]</w:t>
      </w:r>
    </w:p>
    <w:p>
      <w:pPr>
        <w:pStyle w:val="Heading3"/>
      </w:pPr>
      <w:bookmarkStart w:id="20" w:name="_Toc107320052"/>
      <w:bookmarkStart w:id="21" w:name="_Toc107320251"/>
      <w:bookmarkStart w:id="22" w:name="_Toc107396833"/>
      <w:r>
        <w:rPr>
          <w:rStyle w:val="CharDivNo"/>
        </w:rPr>
        <w:lastRenderedPageBreak/>
        <w:t>Division 2</w:t>
      </w:r>
      <w:r>
        <w:t> — </w:t>
      </w:r>
      <w:r>
        <w:rPr>
          <w:rStyle w:val="CharDivText"/>
        </w:rPr>
        <w:t>Judges and magistrates</w:t>
      </w:r>
      <w:bookmarkEnd w:id="20"/>
      <w:bookmarkEnd w:id="21"/>
      <w:bookmarkEnd w:id="22"/>
    </w:p>
    <w:p>
      <w:pPr>
        <w:pStyle w:val="Footnoteheading"/>
      </w:pPr>
      <w:r>
        <w:tab/>
        <w:t>[Heading inserted: No. 2 of 2022 s. 5.]</w:t>
      </w:r>
    </w:p>
    <w:p>
      <w:pPr>
        <w:pStyle w:val="Heading5"/>
        <w:spacing w:before="240"/>
        <w:rPr>
          <w:snapToGrid w:val="0"/>
        </w:rPr>
      </w:pPr>
      <w:bookmarkStart w:id="23" w:name="_Toc107396834"/>
      <w:r>
        <w:rPr>
          <w:rStyle w:val="CharSectno"/>
        </w:rPr>
        <w:t>7</w:t>
      </w:r>
      <w:r>
        <w:rPr>
          <w:snapToGrid w:val="0"/>
        </w:rPr>
        <w:t>.</w:t>
      </w:r>
      <w:r>
        <w:rPr>
          <w:snapToGrid w:val="0"/>
        </w:rPr>
        <w:tab/>
        <w:t>Appointment, terms, conditions etc. of judges</w:t>
      </w:r>
      <w:bookmarkEnd w:id="23"/>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is a lawyer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1</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lastRenderedPageBreak/>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No. 31 of 1993 s. 28; No. 65 of 2003 s. 107(4); </w:t>
      </w:r>
      <w:r>
        <w:rPr>
          <w:spacing w:val="-6"/>
        </w:rPr>
        <w:t>No. 34 of 2004 s. </w:t>
      </w:r>
      <w:r>
        <w:t>251; No. 59 of 2004 s. 73; No. 21 of 2008 s. 643(5); No. 9 of 2022 s. 424.]</w:t>
      </w:r>
    </w:p>
    <w:p>
      <w:pPr>
        <w:pStyle w:val="Heading5"/>
        <w:rPr>
          <w:snapToGrid w:val="0"/>
        </w:rPr>
      </w:pPr>
      <w:bookmarkStart w:id="24" w:name="_Toc107396835"/>
      <w:r>
        <w:rPr>
          <w:rStyle w:val="CharSectno"/>
        </w:rPr>
        <w:t>8</w:t>
      </w:r>
      <w:r>
        <w:rPr>
          <w:snapToGrid w:val="0"/>
        </w:rPr>
        <w:t>.</w:t>
      </w:r>
      <w:r>
        <w:rPr>
          <w:snapToGrid w:val="0"/>
        </w:rPr>
        <w:tab/>
        <w:t>Tenure of office</w:t>
      </w:r>
      <w:bookmarkEnd w:id="24"/>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5" w:name="_Toc107396836"/>
      <w:r>
        <w:rPr>
          <w:rStyle w:val="CharSectno"/>
        </w:rPr>
        <w:t>8A</w:t>
      </w:r>
      <w:r>
        <w:rPr>
          <w:snapToGrid w:val="0"/>
        </w:rPr>
        <w:t>.</w:t>
      </w:r>
      <w:r>
        <w:rPr>
          <w:snapToGrid w:val="0"/>
        </w:rPr>
        <w:tab/>
        <w:t>Absence etc. of President</w:t>
      </w:r>
      <w:bookmarkEnd w:id="2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No. 15 of 1991 s. 7.]</w:t>
      </w:r>
    </w:p>
    <w:p>
      <w:pPr>
        <w:pStyle w:val="Heading5"/>
        <w:rPr>
          <w:snapToGrid w:val="0"/>
        </w:rPr>
      </w:pPr>
      <w:bookmarkStart w:id="26" w:name="_Toc107396837"/>
      <w:r>
        <w:rPr>
          <w:rStyle w:val="CharSectno"/>
        </w:rPr>
        <w:t>9</w:t>
      </w:r>
      <w:r>
        <w:rPr>
          <w:snapToGrid w:val="0"/>
        </w:rPr>
        <w:t>.</w:t>
      </w:r>
      <w:r>
        <w:rPr>
          <w:snapToGrid w:val="0"/>
        </w:rPr>
        <w:tab/>
        <w:t>Acting judge</w:t>
      </w:r>
      <w:bookmarkEnd w:id="2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lastRenderedPageBreak/>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27" w:name="_Toc107396838"/>
      <w:r>
        <w:rPr>
          <w:rStyle w:val="CharSectno"/>
        </w:rPr>
        <w:t>10</w:t>
      </w:r>
      <w:r>
        <w:t>.</w:t>
      </w:r>
      <w:r>
        <w:tab/>
        <w:t>Appointment of magistrates</w:t>
      </w:r>
      <w:bookmarkEnd w:id="27"/>
    </w:p>
    <w:p>
      <w:pPr>
        <w:pStyle w:val="Subsection"/>
        <w:spacing w:before="180"/>
      </w:pPr>
      <w:r>
        <w:tab/>
        <w:t>(1)</w:t>
      </w:r>
      <w:r>
        <w:tab/>
        <w:t>The Governor may appoint a person who is qualified to be appointed as a magistrate of the Magistrates Court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lastRenderedPageBreak/>
        <w:tab/>
        <w:t>(4)</w:t>
      </w:r>
      <w:r>
        <w:tab/>
        <w:t>A magistrate of the Magistrates Court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(other than in Schedule 1 clause 12(6) and (7) of that Act) to “the Court” were a reference to “the Children’s Court”; and</w:t>
      </w:r>
    </w:p>
    <w:p>
      <w:pPr>
        <w:pStyle w:val="Indenta"/>
      </w:pPr>
      <w:r>
        <w:tab/>
        <w:t>(b)</w:t>
      </w:r>
      <w:r>
        <w:tab/>
        <w:t>each reference in those provisions (other than in Schedule 1 clause 12(6) and (7) of that Act) to “magistrate” were a reference to “magistrate of the Children’s Court”; and</w:t>
      </w:r>
    </w:p>
    <w:p>
      <w:pPr>
        <w:pStyle w:val="Indenta"/>
      </w:pPr>
      <w:r>
        <w:tab/>
        <w:t>(c)</w:t>
      </w:r>
      <w:r>
        <w:tab/>
        <w:t>the reference in section 6(5) of that Act to section 37 of that Act were a reference to section 6A of this Act; and</w:t>
      </w:r>
    </w:p>
    <w:p>
      <w:pPr>
        <w:pStyle w:val="Indenta"/>
      </w:pPr>
      <w:r>
        <w:tab/>
        <w:t>(d)</w:t>
      </w:r>
      <w:r>
        <w:tab/>
        <w:t>the reference in Schedule 1 clause 14(1)(c) of that Act to section 25(3) of that Act included a reference to section 12A(4) of this Act; and</w:t>
      </w:r>
    </w:p>
    <w:p>
      <w:pPr>
        <w:pStyle w:val="Indenta"/>
      </w:pPr>
      <w:r>
        <w:tab/>
        <w:t>(e)</w:t>
      </w:r>
      <w:r>
        <w:tab/>
        <w:t>the reference in Schedule 1 clause 14(2)(b) of that Act to consulting the Chief Magistrate were a reference to consulting the Chief Magistrate and the President.</w:t>
      </w:r>
    </w:p>
    <w:p>
      <w:pPr>
        <w:pStyle w:val="Footnotesection"/>
        <w:ind w:left="890" w:hanging="890"/>
      </w:pPr>
      <w:r>
        <w:tab/>
        <w:t>[Section 10 inserted: No. 59 of 2004 s. 63; amended: No. 7 of 2008 s. 149; No. 2 of 2022 s. 6.]</w:t>
      </w:r>
    </w:p>
    <w:p>
      <w:pPr>
        <w:pStyle w:val="Footnotesection"/>
        <w:ind w:left="890" w:hanging="890"/>
      </w:pPr>
      <w:r>
        <w:tab/>
        <w:t>[Section 10. Modifications to be applied in order to give effect to Cross-border Justice Act 2008: section altered 1 Dec 2009. See endnote 1M.]</w:t>
      </w:r>
    </w:p>
    <w:p>
      <w:pPr>
        <w:pStyle w:val="Heading5"/>
      </w:pPr>
      <w:bookmarkStart w:id="28" w:name="_Toc107396839"/>
      <w:r>
        <w:rPr>
          <w:rStyle w:val="CharSectno"/>
        </w:rPr>
        <w:t>11</w:t>
      </w:r>
      <w:r>
        <w:t>.</w:t>
      </w:r>
      <w:r>
        <w:tab/>
        <w:t>Work of magistrates appointed to both Magistrates Court and Children’s Court</w:t>
      </w:r>
      <w:bookmarkEnd w:id="28"/>
    </w:p>
    <w:p>
      <w:pPr>
        <w:pStyle w:val="Subsection"/>
      </w:pPr>
      <w:r>
        <w:tab/>
        <w:t>(1)</w:t>
      </w:r>
      <w:r>
        <w:tab/>
        <w:t xml:space="preserve">In this section — </w:t>
      </w:r>
    </w:p>
    <w:p>
      <w:pPr>
        <w:pStyle w:val="Defstart"/>
      </w:pPr>
      <w:r>
        <w:tab/>
      </w:r>
      <w:r>
        <w:rPr>
          <w:rStyle w:val="CharDefText"/>
        </w:rPr>
        <w:t>Children’s Court functions</w:t>
      </w:r>
      <w:r>
        <w:t xml:space="preserve"> means functions of a magistrate of the Court;</w:t>
      </w:r>
    </w:p>
    <w:p>
      <w:pPr>
        <w:pStyle w:val="Defstart"/>
      </w:pPr>
      <w:r>
        <w:lastRenderedPageBreak/>
        <w:tab/>
      </w:r>
      <w:r>
        <w:rPr>
          <w:rStyle w:val="CharDefText"/>
        </w:rPr>
        <w:t>dually appointed magistrate</w:t>
      </w:r>
      <w:r>
        <w:t xml:space="preserve"> means a person who holds office both as a magistrate of the Magistrates Court and as a magistrate of the Court.</w:t>
      </w:r>
    </w:p>
    <w:p>
      <w:pPr>
        <w:pStyle w:val="Subsection"/>
      </w:pPr>
      <w:r>
        <w:tab/>
        <w:t>(2)</w:t>
      </w:r>
      <w:r>
        <w:tab/>
        <w:t xml:space="preserve">The President may, by written notice, inform the Chief Magistrate that the President considers that, to deal with the workload of the Court, it is necessary or desirable for a particular dually appointed magistrate for the time being to perform Children’s Court functions — </w:t>
      </w:r>
    </w:p>
    <w:p>
      <w:pPr>
        <w:pStyle w:val="Indenta"/>
      </w:pPr>
      <w:r>
        <w:tab/>
        <w:t>(a)</w:t>
      </w:r>
      <w:r>
        <w:tab/>
        <w:t>on a full</w:t>
      </w:r>
      <w:r>
        <w:noBreakHyphen/>
        <w:t>time basis; or</w:t>
      </w:r>
    </w:p>
    <w:p>
      <w:pPr>
        <w:pStyle w:val="Indenta"/>
      </w:pPr>
      <w:r>
        <w:tab/>
        <w:t>(b)</w:t>
      </w:r>
      <w:r>
        <w:tab/>
        <w:t>on a part</w:t>
      </w:r>
      <w:r>
        <w:noBreakHyphen/>
        <w:t>time basis as specified in the notice.</w:t>
      </w:r>
    </w:p>
    <w:p>
      <w:pPr>
        <w:pStyle w:val="Subsection"/>
      </w:pPr>
      <w:r>
        <w:tab/>
        <w:t>(3)</w:t>
      </w:r>
      <w:r>
        <w:tab/>
        <w:t xml:space="preserve">If the President gives a notice under subsection (2) in relation to a dually appointed magistrate — </w:t>
      </w:r>
    </w:p>
    <w:p>
      <w:pPr>
        <w:pStyle w:val="Indenta"/>
      </w:pPr>
      <w:r>
        <w:tab/>
        <w:t>(a)</w:t>
      </w:r>
      <w:r>
        <w:tab/>
        <w:t>the Chief Magistrate may consent, or refuse to consent, to the magistrate for the time being performing Children’s Court functions on the basis specified in the notice; and</w:t>
      </w:r>
    </w:p>
    <w:p>
      <w:pPr>
        <w:pStyle w:val="Indenta"/>
      </w:pPr>
      <w:r>
        <w:tab/>
        <w:t>(b)</w:t>
      </w:r>
      <w:r>
        <w:tab/>
        <w:t xml:space="preserve">if the Chief Magistrate consents — the Chief Magistrate must, in giving any directions to the magistrate under the </w:t>
      </w:r>
      <w:r>
        <w:rPr>
          <w:i/>
        </w:rPr>
        <w:t>Magistrates Court Act 2004</w:t>
      </w:r>
      <w:r>
        <w:t xml:space="preserve"> section 25, take into account that for the time being the magistrate is required to perform Children’s Court functions on the basis specified in the notice.</w:t>
      </w:r>
    </w:p>
    <w:p>
      <w:pPr>
        <w:pStyle w:val="Subsection"/>
      </w:pPr>
      <w:r>
        <w:tab/>
        <w:t>(4)</w:t>
      </w:r>
      <w:r>
        <w:tab/>
        <w:t>If a particular dually appointed magistrate has performed Children’s Court functions on a full</w:t>
      </w:r>
      <w:r>
        <w:noBreakHyphen/>
        <w:t>time or part</w:t>
      </w:r>
      <w:r>
        <w:noBreakHyphen/>
        <w:t xml:space="preserve">time basis or has been the subject of a notice under subsection (2), the President may, by written notice, inform the Chief Magistrate — </w:t>
      </w:r>
    </w:p>
    <w:p>
      <w:pPr>
        <w:pStyle w:val="Indenta"/>
      </w:pPr>
      <w:r>
        <w:tab/>
        <w:t>(a)</w:t>
      </w:r>
      <w:r>
        <w:tab/>
        <w:t>that the President considers that, to deal with the workload of the Court, it is not necessary or desirable for the magistrate for the time being to perform Children’s Court functions at all; or</w:t>
      </w:r>
    </w:p>
    <w:p>
      <w:pPr>
        <w:pStyle w:val="Indenta"/>
        <w:keepNext/>
      </w:pPr>
      <w:r>
        <w:lastRenderedPageBreak/>
        <w:tab/>
        <w:t>(b)</w:t>
      </w:r>
      <w:r>
        <w:tab/>
        <w:t xml:space="preserve">that the President considers that, to deal with the workload of the Court — </w:t>
      </w:r>
    </w:p>
    <w:p>
      <w:pPr>
        <w:pStyle w:val="Indenti"/>
      </w:pPr>
      <w:r>
        <w:tab/>
        <w:t>(i)</w:t>
      </w:r>
      <w:r>
        <w:tab/>
        <w:t>it is not necessary or desirable for the magistrate for the time being to perform Children’s Court functions on the basis that previously applied; and</w:t>
      </w:r>
    </w:p>
    <w:p>
      <w:pPr>
        <w:pStyle w:val="Indenti"/>
      </w:pPr>
      <w:r>
        <w:tab/>
        <w:t>(ii)</w:t>
      </w:r>
      <w:r>
        <w:tab/>
        <w:t>it is necessary or desirable that the magistrate should instead for the time being perform Children’s Court functions on a part</w:t>
      </w:r>
      <w:r>
        <w:noBreakHyphen/>
        <w:t>time basis as specified in the notice (which must, in the case of a magistrate who previously performed those functions on a part</w:t>
      </w:r>
      <w:r>
        <w:noBreakHyphen/>
        <w:t>time basis or was the subject of a notice under subsection (2)(b), be a reduced part</w:t>
      </w:r>
      <w:r>
        <w:noBreakHyphen/>
        <w:t>time basis).</w:t>
      </w:r>
    </w:p>
    <w:p>
      <w:pPr>
        <w:pStyle w:val="Subsection"/>
      </w:pPr>
      <w:r>
        <w:tab/>
        <w:t>(5)</w:t>
      </w:r>
      <w:r>
        <w:tab/>
        <w:t xml:space="preserve">If the President gives a notice under subsection (4) in relation to a dually appointed magistrate, the Chief Magistrate must, in giving directions to the magistrate under the </w:t>
      </w:r>
      <w:r>
        <w:rPr>
          <w:i/>
        </w:rPr>
        <w:t xml:space="preserve">Magistrates Court Act 2004 </w:t>
      </w:r>
      <w:r>
        <w:t xml:space="preserve">section 25, take into account — </w:t>
      </w:r>
    </w:p>
    <w:p>
      <w:pPr>
        <w:pStyle w:val="Indenta"/>
      </w:pPr>
      <w:r>
        <w:tab/>
        <w:t>(a)</w:t>
      </w:r>
      <w:r>
        <w:tab/>
        <w:t>in the case of a notice under subsection (4)(a) — that for the time being the magistrate is not required to perform Children’s Court functions; or</w:t>
      </w:r>
    </w:p>
    <w:p>
      <w:pPr>
        <w:pStyle w:val="Indenta"/>
      </w:pPr>
      <w:r>
        <w:tab/>
        <w:t>(b)</w:t>
      </w:r>
      <w:r>
        <w:tab/>
        <w:t>in the case of a notice under subsection (4)(b) — that for the time being the magistrate is required to perform Children’s Court functions on the specified part</w:t>
      </w:r>
      <w:r>
        <w:noBreakHyphen/>
        <w:t>time basis and not otherwise.</w:t>
      </w:r>
    </w:p>
    <w:p>
      <w:pPr>
        <w:pStyle w:val="Subsection"/>
      </w:pPr>
      <w:r>
        <w:tab/>
        <w:t>(6)</w:t>
      </w:r>
      <w:r>
        <w:tab/>
        <w:t>In determining whether to give a notice under subsection (2) or (4) in relation to a dually appointed magistrate, the President has absolute discretion and is not required to take into account the seniority or length of service of the magistrate or any other matter.</w:t>
      </w:r>
    </w:p>
    <w:p>
      <w:pPr>
        <w:pStyle w:val="Subsection"/>
      </w:pPr>
      <w:r>
        <w:tab/>
        <w:t>(7)</w:t>
      </w:r>
      <w:r>
        <w:tab/>
        <w:t>A notice under this section in relation to a magistrate is subject to any subsequent notice under this section in relation to the magistrate.</w:t>
      </w:r>
    </w:p>
    <w:p>
      <w:pPr>
        <w:pStyle w:val="Footnotesection"/>
        <w:ind w:left="890" w:hanging="890"/>
      </w:pPr>
      <w:r>
        <w:tab/>
        <w:t>[Section 11 inserted: No. 2 of 2022 s. 7.]</w:t>
      </w:r>
    </w:p>
    <w:p>
      <w:pPr>
        <w:pStyle w:val="Heading5"/>
        <w:spacing w:before="240"/>
        <w:rPr>
          <w:snapToGrid w:val="0"/>
        </w:rPr>
      </w:pPr>
      <w:bookmarkStart w:id="29" w:name="_Toc107396840"/>
      <w:r>
        <w:rPr>
          <w:rStyle w:val="CharSectno"/>
        </w:rPr>
        <w:lastRenderedPageBreak/>
        <w:t>12</w:t>
      </w:r>
      <w:r>
        <w:rPr>
          <w:snapToGrid w:val="0"/>
        </w:rPr>
        <w:t>.</w:t>
      </w:r>
      <w:r>
        <w:rPr>
          <w:snapToGrid w:val="0"/>
        </w:rPr>
        <w:tab/>
        <w:t>Oath or affirmation of office</w:t>
      </w:r>
      <w:bookmarkEnd w:id="29"/>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Subsection"/>
        <w:widowControl w:val="0"/>
      </w:pPr>
      <w:r>
        <w:tab/>
        <w:t>(2)</w:t>
      </w:r>
      <w:r>
        <w:tab/>
        <w:t>An oath or affirmation referred to in subsection (1) may be taken at a place outside the State.</w:t>
      </w:r>
    </w:p>
    <w:p>
      <w:pPr>
        <w:pStyle w:val="Footnotesection"/>
        <w:keepLines w:val="0"/>
        <w:spacing w:before="80"/>
        <w:ind w:left="890" w:hanging="890"/>
      </w:pPr>
      <w:r>
        <w:tab/>
        <w:t>[Section 12 amended: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5"/>
      </w:pPr>
      <w:bookmarkStart w:id="30" w:name="_Toc107396841"/>
      <w:r>
        <w:rPr>
          <w:rStyle w:val="CharSectno"/>
        </w:rPr>
        <w:t>12A</w:t>
      </w:r>
      <w:r>
        <w:t>.</w:t>
      </w:r>
      <w:r>
        <w:tab/>
        <w:t>President may assign duties to magistrates</w:t>
      </w:r>
      <w:bookmarkEnd w:id="30"/>
    </w:p>
    <w:p>
      <w:pPr>
        <w:pStyle w:val="Subsection"/>
      </w:pPr>
      <w:r>
        <w:tab/>
        <w:t>(1)</w:t>
      </w:r>
      <w:r>
        <w:tab/>
        <w:t xml:space="preserve">The President, by directions given from time to time to a person who is a magistrate, may — </w:t>
      </w:r>
    </w:p>
    <w:p>
      <w:pPr>
        <w:pStyle w:val="Indenta"/>
      </w:pPr>
      <w:r>
        <w:tab/>
        <w:t>(a)</w:t>
      </w:r>
      <w:r>
        <w:tab/>
        <w:t>specify which case or cases, or class or classes of case, the person is to deal with; and</w:t>
      </w:r>
    </w:p>
    <w:p>
      <w:pPr>
        <w:pStyle w:val="Indenta"/>
      </w:pPr>
      <w:r>
        <w:tab/>
        <w:t>(b)</w:t>
      </w:r>
      <w:r>
        <w:tab/>
        <w:t>specify which administrative duties the person is to perform for the time being; and</w:t>
      </w:r>
    </w:p>
    <w:p>
      <w:pPr>
        <w:pStyle w:val="Indenta"/>
      </w:pPr>
      <w:r>
        <w:tab/>
        <w:t>(c)</w:t>
      </w:r>
      <w:r>
        <w:tab/>
        <w:t>specify where, when and at what times to deal with those cases or perform those duties.</w:t>
      </w:r>
    </w:p>
    <w:p>
      <w:pPr>
        <w:pStyle w:val="Subsection"/>
      </w:pPr>
      <w:r>
        <w:tab/>
        <w:t>(2)</w:t>
      </w:r>
      <w:r>
        <w:tab/>
        <w:t>A direction given under subsection (1) must relate only to the person’s functions as a magistrate of the Court.</w:t>
      </w:r>
    </w:p>
    <w:p>
      <w:pPr>
        <w:pStyle w:val="Subsection"/>
      </w:pPr>
      <w:r>
        <w:lastRenderedPageBreak/>
        <w:tab/>
        <w:t>(3)</w:t>
      </w:r>
      <w:r>
        <w:tab/>
        <w:t>A direction given to a magistrate under subsection (1) does not limit the functions of the magistrate.</w:t>
      </w:r>
    </w:p>
    <w:p>
      <w:pPr>
        <w:pStyle w:val="Subsection"/>
      </w:pPr>
      <w:r>
        <w:tab/>
        <w:t>(4)</w:t>
      </w:r>
      <w:r>
        <w:tab/>
        <w:t>A magistrate must comply with a direction given under subsection (1).</w:t>
      </w:r>
    </w:p>
    <w:p>
      <w:pPr>
        <w:pStyle w:val="Subsection"/>
      </w:pPr>
      <w:r>
        <w:tab/>
        <w:t>(5)</w:t>
      </w:r>
      <w:r>
        <w:tab/>
        <w:t>A contravention of subsection (4) is not an offence.</w:t>
      </w:r>
    </w:p>
    <w:p>
      <w:pPr>
        <w:pStyle w:val="Subsection"/>
      </w:pPr>
      <w:r>
        <w:tab/>
        <w:t>(6)</w:t>
      </w:r>
      <w:r>
        <w:tab/>
        <w:t xml:space="preserve">The Chief Magistrate is not entitled, under the </w:t>
      </w:r>
      <w:r>
        <w:rPr>
          <w:i/>
        </w:rPr>
        <w:t>Magistrates Court Act 2004</w:t>
      </w:r>
      <w:r>
        <w:t xml:space="preserve"> or any other law, to direct a person to perform functions as a magistrate of the Court or in relation to the performance of those functions.</w:t>
      </w:r>
    </w:p>
    <w:p>
      <w:pPr>
        <w:pStyle w:val="Footnotesection"/>
        <w:ind w:left="890" w:hanging="890"/>
      </w:pPr>
      <w:r>
        <w:tab/>
        <w:t>[Section 12A inserted: No. 2 of 2022 s. 8.]</w:t>
      </w:r>
    </w:p>
    <w:p>
      <w:pPr>
        <w:pStyle w:val="Heading3"/>
        <w:spacing w:before="200"/>
      </w:pPr>
      <w:bookmarkStart w:id="31" w:name="_Toc107320061"/>
      <w:bookmarkStart w:id="32" w:name="_Toc107320260"/>
      <w:bookmarkStart w:id="33" w:name="_Toc107396842"/>
      <w:r>
        <w:rPr>
          <w:rStyle w:val="CharDivNo"/>
        </w:rPr>
        <w:t>Division 3</w:t>
      </w:r>
      <w:r>
        <w:rPr>
          <w:snapToGrid w:val="0"/>
        </w:rPr>
        <w:t> — </w:t>
      </w:r>
      <w:r>
        <w:rPr>
          <w:rStyle w:val="CharDivText"/>
        </w:rPr>
        <w:t>Sittings of the Court</w:t>
      </w:r>
      <w:bookmarkEnd w:id="31"/>
      <w:bookmarkEnd w:id="32"/>
      <w:bookmarkEnd w:id="33"/>
    </w:p>
    <w:p>
      <w:pPr>
        <w:pStyle w:val="Heading5"/>
        <w:spacing w:before="180"/>
      </w:pPr>
      <w:bookmarkStart w:id="34" w:name="_Toc107396843"/>
      <w:r>
        <w:rPr>
          <w:rStyle w:val="CharSectno"/>
        </w:rPr>
        <w:t>13</w:t>
      </w:r>
      <w:r>
        <w:t>.</w:t>
      </w:r>
      <w:r>
        <w:tab/>
        <w:t>Where and when Court operates</w:t>
      </w:r>
      <w:bookmarkEnd w:id="34"/>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The President may direct a judge, magistrate or JP to sit at any place where the Court has a registry and may direct concurrent </w:t>
      </w:r>
      <w:r>
        <w:rPr>
          <w:snapToGrid w:val="0"/>
        </w:rPr>
        <w:lastRenderedPageBreak/>
        <w:t>sittings of the Court at the same place for the prompt disposal of the Court’s functions.</w:t>
      </w:r>
    </w:p>
    <w:p>
      <w:pPr>
        <w:pStyle w:val="Footnotesection"/>
        <w:keepLines w:val="0"/>
        <w:spacing w:before="100"/>
        <w:ind w:left="890" w:hanging="890"/>
      </w:pPr>
      <w:r>
        <w:tab/>
        <w:t>[Section 13 inserted: No. 59 of 2004 s. 66; amended: No. 7 of 2008 s. 151.]</w:t>
      </w:r>
    </w:p>
    <w:p>
      <w:pPr>
        <w:pStyle w:val="Heading5"/>
        <w:spacing w:before="180"/>
        <w:rPr>
          <w:snapToGrid w:val="0"/>
        </w:rPr>
      </w:pPr>
      <w:bookmarkStart w:id="35" w:name="_Toc107396844"/>
      <w:r>
        <w:rPr>
          <w:rStyle w:val="CharSectno"/>
        </w:rPr>
        <w:t>14</w:t>
      </w:r>
      <w:r>
        <w:rPr>
          <w:snapToGrid w:val="0"/>
        </w:rPr>
        <w:t>.</w:t>
      </w:r>
      <w:r>
        <w:rPr>
          <w:snapToGrid w:val="0"/>
        </w:rPr>
        <w:tab/>
        <w:t>Power to sit in chambers</w:t>
      </w:r>
      <w:bookmarkEnd w:id="35"/>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No. 59 of 2004 s. 73.]</w:t>
      </w:r>
    </w:p>
    <w:p>
      <w:pPr>
        <w:pStyle w:val="Heading5"/>
        <w:rPr>
          <w:snapToGrid w:val="0"/>
        </w:rPr>
      </w:pPr>
      <w:bookmarkStart w:id="36" w:name="_Toc107396845"/>
      <w:r>
        <w:rPr>
          <w:rStyle w:val="CharSectno"/>
        </w:rPr>
        <w:t>15</w:t>
      </w:r>
      <w:r>
        <w:rPr>
          <w:snapToGrid w:val="0"/>
        </w:rPr>
        <w:t>.</w:t>
      </w:r>
      <w:r>
        <w:rPr>
          <w:snapToGrid w:val="0"/>
        </w:rPr>
        <w:tab/>
        <w:t>Police officers to attend Court</w:t>
      </w:r>
      <w:bookmarkEnd w:id="36"/>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No. 59 of 2004 s. 73.]</w:t>
      </w:r>
    </w:p>
    <w:p>
      <w:pPr>
        <w:pStyle w:val="Heading3"/>
      </w:pPr>
      <w:bookmarkStart w:id="37" w:name="_Toc107320065"/>
      <w:bookmarkStart w:id="38" w:name="_Toc107320264"/>
      <w:bookmarkStart w:id="39" w:name="_Toc107396846"/>
      <w:r>
        <w:rPr>
          <w:rStyle w:val="CharDivNo"/>
        </w:rPr>
        <w:t>Division 4</w:t>
      </w:r>
      <w:r>
        <w:rPr>
          <w:snapToGrid w:val="0"/>
        </w:rPr>
        <w:t> — </w:t>
      </w:r>
      <w:r>
        <w:rPr>
          <w:rStyle w:val="CharDivText"/>
        </w:rPr>
        <w:t>Officers of the Court</w:t>
      </w:r>
      <w:bookmarkEnd w:id="37"/>
      <w:bookmarkEnd w:id="38"/>
      <w:bookmarkEnd w:id="39"/>
    </w:p>
    <w:p>
      <w:pPr>
        <w:pStyle w:val="Heading5"/>
      </w:pPr>
      <w:bookmarkStart w:id="40" w:name="_Toc107396847"/>
      <w:r>
        <w:rPr>
          <w:rStyle w:val="CharSectno"/>
        </w:rPr>
        <w:t>16</w:t>
      </w:r>
      <w:r>
        <w:t>.</w:t>
      </w:r>
      <w:r>
        <w:tab/>
        <w:t>Appointment of registrars etc.</w:t>
      </w:r>
      <w:bookmarkEnd w:id="40"/>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lastRenderedPageBreak/>
        <w:tab/>
        <w:t>(4)</w:t>
      </w:r>
      <w:r>
        <w:tab/>
        <w:t xml:space="preserve">Section 26(7) to (8b) of the </w:t>
      </w:r>
      <w:r>
        <w:rPr>
          <w:i/>
          <w:iCs/>
        </w:rPr>
        <w:t>Magistrates Court Act 2004</w:t>
      </w:r>
      <w:r>
        <w:t xml:space="preserve"> applies as if — </w:t>
      </w:r>
    </w:p>
    <w:p>
      <w:pPr>
        <w:pStyle w:val="Indenta"/>
      </w:pPr>
      <w:r>
        <w:tab/>
        <w:t>(a)</w:t>
      </w:r>
      <w:r>
        <w:tab/>
        <w:t>each reference to the Magistrates Court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No. 59 of 2004 s. 67; amended: No. 7 of 2008 s. 152.]</w:t>
      </w:r>
    </w:p>
    <w:p>
      <w:pPr>
        <w:pStyle w:val="Heading5"/>
        <w:rPr>
          <w:snapToGrid w:val="0"/>
        </w:rPr>
      </w:pPr>
      <w:bookmarkStart w:id="41" w:name="_Toc107396848"/>
      <w:r>
        <w:rPr>
          <w:rStyle w:val="CharSectno"/>
        </w:rPr>
        <w:t>17</w:t>
      </w:r>
      <w:r>
        <w:rPr>
          <w:snapToGrid w:val="0"/>
        </w:rPr>
        <w:t>.</w:t>
      </w:r>
      <w:r>
        <w:rPr>
          <w:snapToGrid w:val="0"/>
        </w:rPr>
        <w:tab/>
        <w:t xml:space="preserve">Duties of </w:t>
      </w:r>
      <w:r>
        <w:t>registrar</w:t>
      </w:r>
      <w:bookmarkEnd w:id="41"/>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 xml:space="preserve">take charge of and keep an account of all court fees and fines payable or paid into the Court at that place and of </w:t>
      </w:r>
      <w:r>
        <w:rPr>
          <w:snapToGrid w:val="0"/>
        </w:rPr>
        <w:lastRenderedPageBreak/>
        <w:t>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No. 59 of 2004 s. 73; No. 77 of 2006 Sch. 1 cl. 24.]</w:t>
      </w:r>
    </w:p>
    <w:p>
      <w:pPr>
        <w:pStyle w:val="Heading5"/>
        <w:rPr>
          <w:snapToGrid w:val="0"/>
        </w:rPr>
      </w:pPr>
      <w:bookmarkStart w:id="42" w:name="_Toc107396849"/>
      <w:r>
        <w:rPr>
          <w:rStyle w:val="CharSectno"/>
        </w:rPr>
        <w:t>18</w:t>
      </w:r>
      <w:r>
        <w:rPr>
          <w:snapToGrid w:val="0"/>
        </w:rPr>
        <w:t>.</w:t>
      </w:r>
      <w:r>
        <w:rPr>
          <w:snapToGrid w:val="0"/>
        </w:rPr>
        <w:tab/>
        <w:t xml:space="preserve">Power of </w:t>
      </w:r>
      <w:r>
        <w:t>registrars</w:t>
      </w:r>
      <w:r>
        <w:rPr>
          <w:snapToGrid w:val="0"/>
        </w:rPr>
        <w:t xml:space="preserve"> to administer oaths etc.</w:t>
      </w:r>
      <w:bookmarkEnd w:id="42"/>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No. 59 of 2004 s. 73; No. 24 of 2005 s. 15.]</w:t>
      </w:r>
    </w:p>
    <w:p>
      <w:pPr>
        <w:pStyle w:val="Heading2"/>
      </w:pPr>
      <w:bookmarkStart w:id="43" w:name="_Toc107320069"/>
      <w:bookmarkStart w:id="44" w:name="_Toc107320268"/>
      <w:bookmarkStart w:id="45" w:name="_Toc107396850"/>
      <w:r>
        <w:rPr>
          <w:rStyle w:val="CharPartNo"/>
        </w:rPr>
        <w:lastRenderedPageBreak/>
        <w:t>Part 3</w:t>
      </w:r>
      <w:r>
        <w:rPr>
          <w:rStyle w:val="CharDivNo"/>
        </w:rPr>
        <w:t> </w:t>
      </w:r>
      <w:r>
        <w:t>—</w:t>
      </w:r>
      <w:r>
        <w:rPr>
          <w:rStyle w:val="CharDivText"/>
        </w:rPr>
        <w:t> </w:t>
      </w:r>
      <w:r>
        <w:rPr>
          <w:rStyle w:val="CharPartText"/>
        </w:rPr>
        <w:t>Jurisdiction of the Court</w:t>
      </w:r>
      <w:bookmarkEnd w:id="43"/>
      <w:bookmarkEnd w:id="44"/>
      <w:bookmarkEnd w:id="45"/>
    </w:p>
    <w:p>
      <w:pPr>
        <w:pStyle w:val="Heading5"/>
        <w:spacing w:before="180"/>
        <w:rPr>
          <w:snapToGrid w:val="0"/>
        </w:rPr>
      </w:pPr>
      <w:bookmarkStart w:id="46" w:name="_Toc107396851"/>
      <w:r>
        <w:rPr>
          <w:rStyle w:val="CharSectno"/>
        </w:rPr>
        <w:t>19</w:t>
      </w:r>
      <w:r>
        <w:rPr>
          <w:snapToGrid w:val="0"/>
        </w:rPr>
        <w:t>.</w:t>
      </w:r>
      <w:r>
        <w:rPr>
          <w:snapToGrid w:val="0"/>
        </w:rPr>
        <w:tab/>
        <w:t>Criminal jurisdiction as regards children</w:t>
      </w:r>
      <w:bookmarkEnd w:id="46"/>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pPr>
      <w:r>
        <w:tab/>
        <w:t>(2AA)</w:t>
      </w:r>
      <w:r>
        <w:tab/>
        <w:t>Despite any uncertainty as to the age of the person charged at the time the offence is alleged to have been committed, the Court has jurisdiction for the purposes of subsection (1) if the charge alleges that the offence was committed by a person who might have been a child.</w:t>
      </w:r>
    </w:p>
    <w:p>
      <w:pPr>
        <w:pStyle w:val="Subsection"/>
      </w:pPr>
      <w:r>
        <w:tab/>
        <w:t>(2AB)</w:t>
      </w:r>
      <w:r>
        <w:tab/>
        <w:t>The Court retains the jurisdiction referred to in subsection (2AA) despite any evidence produced in proceedings in respect of the offence that the person had reached 18 years of age at the time the offence is alleged to have been committed.</w:t>
      </w:r>
    </w:p>
    <w:p>
      <w:pPr>
        <w:pStyle w:val="Subsection"/>
        <w:spacing w:before="120"/>
        <w:rPr>
          <w:snapToGrid w:val="0"/>
        </w:rPr>
      </w:pPr>
      <w:r>
        <w:rPr>
          <w:snapToGrid w:val="0"/>
        </w:rPr>
        <w:tab/>
        <w:t>(2a)</w:t>
      </w:r>
      <w:r>
        <w:rPr>
          <w:snapToGrid w:val="0"/>
        </w:rPr>
        <w:tab/>
        <w:t xml:space="preserve">In </w:t>
      </w:r>
      <w:r>
        <w:t xml:space="preserve">subsection (2) and (2AB), </w:t>
      </w:r>
      <w:r>
        <w:rPr>
          <w:snapToGrid w:val="0"/>
        </w:rPr>
        <w:t>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w:t>
      </w:r>
      <w:r>
        <w:rPr>
          <w:snapToGrid w:val="0"/>
        </w:rPr>
        <w:lastRenderedPageBreak/>
        <w:t>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No. 15 of 1991 s. 10; No. 104 of 1994 s. 224; No. 78 of 1995 s. 12; No. 27 of 2004 s. 14(3); No. 59 of 2004 s. 68 and 73; No. 84 of 2004 s. 80; No. 47 of 2020 s. 7.]</w:t>
      </w:r>
    </w:p>
    <w:p>
      <w:pPr>
        <w:pStyle w:val="Heading5"/>
        <w:rPr>
          <w:snapToGrid w:val="0"/>
        </w:rPr>
      </w:pPr>
      <w:bookmarkStart w:id="47" w:name="_Toc107396852"/>
      <w:r>
        <w:rPr>
          <w:rStyle w:val="CharSectno"/>
        </w:rPr>
        <w:t>19A</w:t>
      </w:r>
      <w:r>
        <w:rPr>
          <w:snapToGrid w:val="0"/>
        </w:rPr>
        <w:t>.</w:t>
      </w:r>
      <w:r>
        <w:rPr>
          <w:snapToGrid w:val="0"/>
        </w:rPr>
        <w:tab/>
        <w:t>Application of sections 19B to 19E</w:t>
      </w:r>
      <w:bookmarkEnd w:id="47"/>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No. 15 of 1991 s. 11.]</w:t>
      </w:r>
    </w:p>
    <w:p>
      <w:pPr>
        <w:pStyle w:val="Heading5"/>
        <w:rPr>
          <w:snapToGrid w:val="0"/>
        </w:rPr>
      </w:pPr>
      <w:bookmarkStart w:id="48" w:name="_Toc107396853"/>
      <w:r>
        <w:rPr>
          <w:rStyle w:val="CharSectno"/>
        </w:rPr>
        <w:t>19B</w:t>
      </w:r>
      <w:r>
        <w:rPr>
          <w:snapToGrid w:val="0"/>
        </w:rPr>
        <w:t>.</w:t>
      </w:r>
      <w:r>
        <w:rPr>
          <w:snapToGrid w:val="0"/>
        </w:rPr>
        <w:tab/>
        <w:t>Jurisdiction and procedure for charges of indictable offences</w:t>
      </w:r>
      <w:bookmarkEnd w:id="48"/>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keepNext/>
      </w:pPr>
      <w:r>
        <w:lastRenderedPageBreak/>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lastRenderedPageBreak/>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No. 15 of 1991 s. 11; amended: No. 71 of 2000 s. 40; No. 65 of 2003 s. 122(2); No. 4 of 2004 s. 58; No. 59 of 2004 s. 69 and 73; No. 84 of 2004 s. 13, 18 and 80.]</w:t>
      </w:r>
    </w:p>
    <w:p>
      <w:pPr>
        <w:pStyle w:val="Heading5"/>
        <w:rPr>
          <w:snapToGrid w:val="0"/>
        </w:rPr>
      </w:pPr>
      <w:bookmarkStart w:id="49" w:name="_Toc107396854"/>
      <w:r>
        <w:rPr>
          <w:rStyle w:val="CharSectno"/>
        </w:rPr>
        <w:lastRenderedPageBreak/>
        <w:t>19C</w:t>
      </w:r>
      <w:r>
        <w:rPr>
          <w:snapToGrid w:val="0"/>
        </w:rPr>
        <w:t>.</w:t>
      </w:r>
      <w:r>
        <w:rPr>
          <w:snapToGrid w:val="0"/>
        </w:rPr>
        <w:tab/>
        <w:t>Court may transfer charge to Magistrates Court where child and adult charged with same offence</w:t>
      </w:r>
      <w:bookmarkEnd w:id="49"/>
    </w:p>
    <w:p>
      <w:pPr>
        <w:pStyle w:val="Subsection"/>
        <w:keepNext/>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 xml:space="preserve">For the purposes of subsection (1), the Court may adjourn the hearing of the charge of the indictable offence until proceedings </w:t>
      </w:r>
      <w:r>
        <w:rPr>
          <w:snapToGrid w:val="0"/>
        </w:rPr>
        <w:lastRenderedPageBreak/>
        <w:t>against the adult are at a stage where the Court can be satisfied about any of the matters in that subsection.</w:t>
      </w:r>
    </w:p>
    <w:p>
      <w:pPr>
        <w:pStyle w:val="Footnotesection"/>
        <w:ind w:left="890" w:hanging="890"/>
      </w:pPr>
      <w:r>
        <w:tab/>
        <w:t>[Section 19C inserted: No. 15 of 1991 s. 11; amended: No. 27 of 2002 s. 23; No. 4 of 2004 s. 58; No. 59 of 2004 s. 73; No. 84 of 2004 s. 18 and 80.]</w:t>
      </w:r>
    </w:p>
    <w:p>
      <w:pPr>
        <w:pStyle w:val="Heading5"/>
        <w:widowControl w:val="0"/>
        <w:rPr>
          <w:snapToGrid w:val="0"/>
        </w:rPr>
      </w:pPr>
      <w:bookmarkStart w:id="50" w:name="_Toc107396855"/>
      <w:r>
        <w:rPr>
          <w:rStyle w:val="CharSectno"/>
        </w:rPr>
        <w:t>19D</w:t>
      </w:r>
      <w:r>
        <w:rPr>
          <w:snapToGrid w:val="0"/>
        </w:rPr>
        <w:t>.</w:t>
      </w:r>
      <w:r>
        <w:rPr>
          <w:snapToGrid w:val="0"/>
        </w:rPr>
        <w:tab/>
        <w:t>Court may transfer charge to Magistrates Court where accused has turned 18</w:t>
      </w:r>
      <w:bookmarkEnd w:id="50"/>
    </w:p>
    <w:p>
      <w:pPr>
        <w:pStyle w:val="Subsection"/>
        <w:keepNext/>
        <w:keepLines/>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No. 15 of 1991 s. 11; amended: No. 59 of 2004 s. 73; No. 84 of 2004 s. 80.]</w:t>
      </w:r>
    </w:p>
    <w:p>
      <w:pPr>
        <w:pStyle w:val="Heading5"/>
        <w:spacing w:before="180"/>
        <w:rPr>
          <w:snapToGrid w:val="0"/>
        </w:rPr>
      </w:pPr>
      <w:bookmarkStart w:id="51" w:name="_Toc107396856"/>
      <w:r>
        <w:rPr>
          <w:rStyle w:val="CharSectno"/>
        </w:rPr>
        <w:t>19E</w:t>
      </w:r>
      <w:r>
        <w:rPr>
          <w:snapToGrid w:val="0"/>
        </w:rPr>
        <w:t>.</w:t>
      </w:r>
      <w:r>
        <w:rPr>
          <w:snapToGrid w:val="0"/>
        </w:rPr>
        <w:tab/>
        <w:t>Procedure for charges of Commonwealth indictable offences</w:t>
      </w:r>
      <w:bookmarkEnd w:id="51"/>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No. 15 of 1991 s. 11; amended: No. 65 of 2003 s. 122(3); No. 84 of 2004 s. 80.]</w:t>
      </w:r>
    </w:p>
    <w:p>
      <w:pPr>
        <w:pStyle w:val="Heading5"/>
        <w:keepNext w:val="0"/>
        <w:keepLines w:val="0"/>
        <w:widowControl w:val="0"/>
        <w:spacing w:before="180"/>
        <w:rPr>
          <w:snapToGrid w:val="0"/>
        </w:rPr>
      </w:pPr>
      <w:bookmarkStart w:id="52" w:name="_Toc107396857"/>
      <w:r>
        <w:rPr>
          <w:rStyle w:val="CharSectno"/>
        </w:rPr>
        <w:lastRenderedPageBreak/>
        <w:t>19F</w:t>
      </w:r>
      <w:r>
        <w:rPr>
          <w:snapToGrid w:val="0"/>
        </w:rPr>
        <w:t>.</w:t>
      </w:r>
      <w:r>
        <w:rPr>
          <w:snapToGrid w:val="0"/>
        </w:rPr>
        <w:tab/>
        <w:t>Rules</w:t>
      </w:r>
      <w:bookmarkEnd w:id="52"/>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No. 15 of 1991 s. 11.]</w:t>
      </w:r>
    </w:p>
    <w:p>
      <w:pPr>
        <w:pStyle w:val="Heading5"/>
        <w:rPr>
          <w:snapToGrid w:val="0"/>
        </w:rPr>
      </w:pPr>
      <w:bookmarkStart w:id="53" w:name="_Toc107396858"/>
      <w:r>
        <w:rPr>
          <w:rStyle w:val="CharSectno"/>
        </w:rPr>
        <w:t>20</w:t>
      </w:r>
      <w:r>
        <w:rPr>
          <w:snapToGrid w:val="0"/>
        </w:rPr>
        <w:t>.</w:t>
      </w:r>
      <w:r>
        <w:rPr>
          <w:snapToGrid w:val="0"/>
        </w:rPr>
        <w:tab/>
        <w:t>Non</w:t>
      </w:r>
      <w:r>
        <w:rPr>
          <w:snapToGrid w:val="0"/>
        </w:rPr>
        <w:noBreakHyphen/>
        <w:t>criminal jurisdiction as regards children</w:t>
      </w:r>
      <w:bookmarkEnd w:id="53"/>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under section 334 of the</w:t>
      </w:r>
      <w:r>
        <w:rPr>
          <w:i/>
        </w:rPr>
        <w:t xml:space="preserve"> Health (Miscellaneous Provisions) Act 1911</w:t>
      </w:r>
      <w:r>
        <w:t>.</w:t>
      </w:r>
    </w:p>
    <w:p>
      <w:pPr>
        <w:pStyle w:val="Ednotepara"/>
        <w:rPr>
          <w:snapToGrid w:val="0"/>
        </w:rPr>
      </w:pPr>
      <w:r>
        <w:tab/>
        <w:t>[(e)</w:t>
      </w:r>
      <w:r>
        <w:tab/>
        <w:t>deleted]</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w:t>
      </w:r>
      <w:r>
        <w:lastRenderedPageBreak/>
        <w:t>section 8(2)(a)(ii) while he or she was under 18 years of age.</w:t>
      </w:r>
    </w:p>
    <w:p>
      <w:pPr>
        <w:pStyle w:val="Footnotesection"/>
        <w:ind w:left="890" w:hanging="890"/>
      </w:pPr>
      <w:r>
        <w:tab/>
        <w:t xml:space="preserve">[Section 20 amended: No. 19 of 1997 s. 81; No. 15 of 1998 s. 9; No. 36 of 1999 s. 247; </w:t>
      </w:r>
      <w:r>
        <w:rPr>
          <w:spacing w:val="-6"/>
        </w:rPr>
        <w:t>No. 34 of 2004 s. </w:t>
      </w:r>
      <w:r>
        <w:t>251; No. 84 of 2004 s. 14 and 80; No. 14 of 2008 s. 43(2); No. 59 of 2010 s. 43; No. 14 of 2013 s. 7; No. 23 of 2015 s. 14; No. 19 of 2016 s. 101.]</w:t>
      </w:r>
    </w:p>
    <w:p>
      <w:pPr>
        <w:pStyle w:val="Heading5"/>
        <w:spacing w:before="180"/>
        <w:rPr>
          <w:snapToGrid w:val="0"/>
        </w:rPr>
      </w:pPr>
      <w:bookmarkStart w:id="54" w:name="_Toc107396859"/>
      <w:r>
        <w:rPr>
          <w:rStyle w:val="CharSectno"/>
        </w:rPr>
        <w:t>21</w:t>
      </w:r>
      <w:r>
        <w:rPr>
          <w:snapToGrid w:val="0"/>
        </w:rPr>
        <w:t>.</w:t>
      </w:r>
      <w:r>
        <w:rPr>
          <w:snapToGrid w:val="0"/>
        </w:rPr>
        <w:tab/>
        <w:t>Limitations on exercise of certain jurisdiction</w:t>
      </w:r>
      <w:bookmarkEnd w:id="54"/>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 xml:space="preserve">When the Court constituted by or so as to include a magistrate finds a child guilty of an offence and convicts the child but considers that it does not have sufficient power to sentence or </w:t>
      </w:r>
      <w:r>
        <w:rPr>
          <w:snapToGrid w:val="0"/>
        </w:rPr>
        <w:lastRenderedPageBreak/>
        <w:t>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No. 78 of 1995 s. 12; No. 59 of 2004 s. 73; No. 5 of 2008 s. 4.]</w:t>
      </w:r>
    </w:p>
    <w:p>
      <w:pPr>
        <w:pStyle w:val="Heading5"/>
        <w:rPr>
          <w:snapToGrid w:val="0"/>
        </w:rPr>
      </w:pPr>
      <w:bookmarkStart w:id="55" w:name="_Toc107396860"/>
      <w:r>
        <w:rPr>
          <w:rStyle w:val="CharSectno"/>
        </w:rPr>
        <w:t>22</w:t>
      </w:r>
      <w:r>
        <w:rPr>
          <w:snapToGrid w:val="0"/>
        </w:rPr>
        <w:t>.</w:t>
      </w:r>
      <w:r>
        <w:rPr>
          <w:snapToGrid w:val="0"/>
        </w:rPr>
        <w:tab/>
        <w:t>President may extend powers of magistrate</w:t>
      </w:r>
      <w:bookmarkEnd w:id="55"/>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No. 84 of 2004 s. 80.]</w:t>
      </w:r>
    </w:p>
    <w:p>
      <w:pPr>
        <w:pStyle w:val="Heading5"/>
        <w:rPr>
          <w:snapToGrid w:val="0"/>
        </w:rPr>
      </w:pPr>
      <w:bookmarkStart w:id="56" w:name="_Toc107396861"/>
      <w:r>
        <w:rPr>
          <w:rStyle w:val="CharSectno"/>
        </w:rPr>
        <w:t>23</w:t>
      </w:r>
      <w:r>
        <w:rPr>
          <w:snapToGrid w:val="0"/>
        </w:rPr>
        <w:t>.</w:t>
      </w:r>
      <w:r>
        <w:rPr>
          <w:snapToGrid w:val="0"/>
        </w:rPr>
        <w:tab/>
        <w:t>Court may require attendance of parent or guardian</w:t>
      </w:r>
      <w:bookmarkEnd w:id="56"/>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lastRenderedPageBreak/>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No. 104 of 1994 s. 225.]</w:t>
      </w:r>
    </w:p>
    <w:p>
      <w:pPr>
        <w:pStyle w:val="Ednotesection"/>
      </w:pPr>
      <w:r>
        <w:t>[</w:t>
      </w:r>
      <w:r>
        <w:rPr>
          <w:b/>
        </w:rPr>
        <w:t>24.</w:t>
      </w:r>
      <w:r>
        <w:tab/>
        <w:t>Deleted: No. 23 of 2015 s. 15.]</w:t>
      </w:r>
    </w:p>
    <w:p>
      <w:pPr>
        <w:pStyle w:val="Ednotesection"/>
      </w:pPr>
      <w:r>
        <w:t>[</w:t>
      </w:r>
      <w:r>
        <w:rPr>
          <w:b/>
        </w:rPr>
        <w:t>25</w:t>
      </w:r>
      <w:r>
        <w:rPr>
          <w:b/>
        </w:rPr>
        <w:noBreakHyphen/>
        <w:t>26.</w:t>
      </w:r>
      <w:r>
        <w:tab/>
        <w:t>Deleted: No. 104 of 1994 s. 226.]</w:t>
      </w:r>
    </w:p>
    <w:p>
      <w:pPr>
        <w:pStyle w:val="Heading5"/>
        <w:rPr>
          <w:snapToGrid w:val="0"/>
        </w:rPr>
      </w:pPr>
      <w:bookmarkStart w:id="57" w:name="_Toc107396862"/>
      <w:r>
        <w:rPr>
          <w:rStyle w:val="CharSectno"/>
        </w:rPr>
        <w:lastRenderedPageBreak/>
        <w:t>27</w:t>
      </w:r>
      <w:r>
        <w:rPr>
          <w:snapToGrid w:val="0"/>
        </w:rPr>
        <w:t>.</w:t>
      </w:r>
      <w:r>
        <w:rPr>
          <w:snapToGrid w:val="0"/>
        </w:rPr>
        <w:tab/>
        <w:t>Certain orders may be set aside</w:t>
      </w:r>
      <w:bookmarkEnd w:id="57"/>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No. 84 of 2004 s. 80.]</w:t>
      </w:r>
    </w:p>
    <w:p>
      <w:pPr>
        <w:pStyle w:val="Heading5"/>
        <w:rPr>
          <w:snapToGrid w:val="0"/>
        </w:rPr>
      </w:pPr>
      <w:bookmarkStart w:id="58" w:name="_Toc107396863"/>
      <w:r>
        <w:rPr>
          <w:rStyle w:val="CharSectno"/>
        </w:rPr>
        <w:t>28</w:t>
      </w:r>
      <w:r>
        <w:rPr>
          <w:snapToGrid w:val="0"/>
        </w:rPr>
        <w:t>.</w:t>
      </w:r>
      <w:r>
        <w:rPr>
          <w:snapToGrid w:val="0"/>
        </w:rPr>
        <w:tab/>
        <w:t>Court may re</w:t>
      </w:r>
      <w:r>
        <w:rPr>
          <w:snapToGrid w:val="0"/>
        </w:rPr>
        <w:noBreakHyphen/>
        <w:t>hear proceedings</w:t>
      </w:r>
      <w:bookmarkEnd w:id="58"/>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lastRenderedPageBreak/>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No. 31 of 1993 s. 29; No. 104 of 1994 s. 227; No. 57 of 1997 s. 31; </w:t>
      </w:r>
      <w:r>
        <w:rPr>
          <w:spacing w:val="-6"/>
        </w:rPr>
        <w:t>No. 34 of 2004 s. </w:t>
      </w:r>
      <w:r>
        <w:t>251; No. 59 of 2004 s. 73; No. 84 of 2004 s. 80; No. 65 of 2006 s. 56.]</w:t>
      </w:r>
    </w:p>
    <w:p>
      <w:pPr>
        <w:pStyle w:val="Heading5"/>
        <w:rPr>
          <w:snapToGrid w:val="0"/>
        </w:rPr>
      </w:pPr>
      <w:bookmarkStart w:id="59" w:name="_Toc107396864"/>
      <w:r>
        <w:rPr>
          <w:rStyle w:val="CharSectno"/>
        </w:rPr>
        <w:t>29</w:t>
      </w:r>
      <w:r>
        <w:rPr>
          <w:snapToGrid w:val="0"/>
        </w:rPr>
        <w:t>.</w:t>
      </w:r>
      <w:r>
        <w:rPr>
          <w:snapToGrid w:val="0"/>
        </w:rPr>
        <w:tab/>
        <w:t>Witnesses and contempt</w:t>
      </w:r>
      <w:bookmarkEnd w:id="59"/>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lastRenderedPageBreak/>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No. 59 of 2004 s. 73; No. 7 of 2008 s. 153.]</w:t>
      </w:r>
    </w:p>
    <w:p>
      <w:pPr>
        <w:pStyle w:val="Heading5"/>
        <w:rPr>
          <w:snapToGrid w:val="0"/>
        </w:rPr>
      </w:pPr>
      <w:bookmarkStart w:id="60" w:name="_Toc107396865"/>
      <w:r>
        <w:rPr>
          <w:rStyle w:val="CharSectno"/>
        </w:rPr>
        <w:t>30</w:t>
      </w:r>
      <w:r>
        <w:rPr>
          <w:snapToGrid w:val="0"/>
        </w:rPr>
        <w:t>.</w:t>
      </w:r>
      <w:r>
        <w:rPr>
          <w:snapToGrid w:val="0"/>
        </w:rPr>
        <w:tab/>
        <w:t xml:space="preserve">Transfer of complaint to court of </w:t>
      </w:r>
      <w:r>
        <w:t>competent jurisdiction</w:t>
      </w:r>
      <w:bookmarkEnd w:id="60"/>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lastRenderedPageBreak/>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No. 15 of 1991 s. 13; No. 27 of 2002 s. 24; No. 59 of 2004 s. 73; No. 84 of 2004 s. 80.]</w:t>
      </w:r>
    </w:p>
    <w:p>
      <w:pPr>
        <w:pStyle w:val="Heading2"/>
      </w:pPr>
      <w:bookmarkStart w:id="61" w:name="_Toc107320085"/>
      <w:bookmarkStart w:id="62" w:name="_Toc107320284"/>
      <w:bookmarkStart w:id="63" w:name="_Toc107396866"/>
      <w:r>
        <w:rPr>
          <w:rStyle w:val="CharPartNo"/>
        </w:rPr>
        <w:lastRenderedPageBreak/>
        <w:t>Part 4</w:t>
      </w:r>
      <w:r>
        <w:rPr>
          <w:rStyle w:val="CharDivNo"/>
        </w:rPr>
        <w:t> </w:t>
      </w:r>
      <w:r>
        <w:t>—</w:t>
      </w:r>
      <w:r>
        <w:rPr>
          <w:rStyle w:val="CharDivText"/>
        </w:rPr>
        <w:t> </w:t>
      </w:r>
      <w:r>
        <w:rPr>
          <w:rStyle w:val="CharPartText"/>
        </w:rPr>
        <w:t>Procedure of the Court</w:t>
      </w:r>
      <w:bookmarkEnd w:id="61"/>
      <w:bookmarkEnd w:id="62"/>
      <w:bookmarkEnd w:id="63"/>
    </w:p>
    <w:p>
      <w:pPr>
        <w:pStyle w:val="Heading5"/>
        <w:rPr>
          <w:snapToGrid w:val="0"/>
        </w:rPr>
      </w:pPr>
      <w:bookmarkStart w:id="64" w:name="_Toc107396867"/>
      <w:r>
        <w:rPr>
          <w:rStyle w:val="CharSectno"/>
        </w:rPr>
        <w:t>31</w:t>
      </w:r>
      <w:r>
        <w:rPr>
          <w:snapToGrid w:val="0"/>
        </w:rPr>
        <w:t>.</w:t>
      </w:r>
      <w:r>
        <w:rPr>
          <w:snapToGrid w:val="0"/>
        </w:rPr>
        <w:tab/>
        <w:t>Exclusion of persons from hearing</w:t>
      </w:r>
      <w:bookmarkEnd w:id="64"/>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No. 84 of 2004 s. 18.]</w:t>
      </w:r>
    </w:p>
    <w:p>
      <w:pPr>
        <w:pStyle w:val="Heading5"/>
      </w:pPr>
      <w:bookmarkStart w:id="65" w:name="_Toc107396868"/>
      <w:r>
        <w:rPr>
          <w:rStyle w:val="CharSectno"/>
        </w:rPr>
        <w:t>33</w:t>
      </w:r>
      <w:r>
        <w:t>.</w:t>
      </w:r>
      <w:r>
        <w:tab/>
        <w:t>CEOs or officers may take part in proceedings</w:t>
      </w:r>
      <w:bookmarkEnd w:id="65"/>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w:t>
      </w:r>
      <w:r>
        <w:rPr>
          <w:spacing w:val="-6"/>
        </w:rPr>
        <w:t>No. 34 of 2004 s. </w:t>
      </w:r>
      <w:r>
        <w:t>251; amended: No. 65 of 2006 s. 57; No. 2 of 2008 s. 57.]</w:t>
      </w:r>
    </w:p>
    <w:p>
      <w:pPr>
        <w:pStyle w:val="Heading5"/>
        <w:rPr>
          <w:snapToGrid w:val="0"/>
        </w:rPr>
      </w:pPr>
      <w:bookmarkStart w:id="66" w:name="_Toc107396869"/>
      <w:r>
        <w:rPr>
          <w:rStyle w:val="CharSectno"/>
        </w:rPr>
        <w:lastRenderedPageBreak/>
        <w:t>34</w:t>
      </w:r>
      <w:r>
        <w:rPr>
          <w:snapToGrid w:val="0"/>
        </w:rPr>
        <w:t>.</w:t>
      </w:r>
      <w:r>
        <w:rPr>
          <w:snapToGrid w:val="0"/>
        </w:rPr>
        <w:tab/>
        <w:t>Court must explain proceedings</w:t>
      </w:r>
      <w:bookmarkEnd w:id="66"/>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No. 104 of 1994 s. 228.]</w:t>
      </w:r>
    </w:p>
    <w:p>
      <w:pPr>
        <w:pStyle w:val="Heading5"/>
        <w:rPr>
          <w:snapToGrid w:val="0"/>
        </w:rPr>
      </w:pPr>
      <w:bookmarkStart w:id="67" w:name="_Toc107396870"/>
      <w:r>
        <w:rPr>
          <w:rStyle w:val="CharSectno"/>
        </w:rPr>
        <w:t>35</w:t>
      </w:r>
      <w:r>
        <w:rPr>
          <w:snapToGrid w:val="0"/>
        </w:rPr>
        <w:t>.</w:t>
      </w:r>
      <w:r>
        <w:rPr>
          <w:snapToGrid w:val="0"/>
        </w:rPr>
        <w:tab/>
        <w:t>Restrictions on reports of proceedings</w:t>
      </w:r>
      <w:bookmarkEnd w:id="67"/>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 xml:space="preserve">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w:t>
      </w:r>
      <w:r>
        <w:rPr>
          <w:snapToGrid w:val="0"/>
        </w:rPr>
        <w:lastRenderedPageBreak/>
        <w:t>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No. 15 of 1991 s. 15 and 17(2); No. 14 of 1992 s. 6(8); No. 59 of 2010 s. 44; No. 26 of 2011 s. 4.]</w:t>
      </w:r>
    </w:p>
    <w:p>
      <w:pPr>
        <w:pStyle w:val="Heading5"/>
        <w:keepNext w:val="0"/>
        <w:keepLines w:val="0"/>
        <w:pageBreakBefore/>
        <w:widowControl w:val="0"/>
        <w:spacing w:before="0"/>
        <w:rPr>
          <w:snapToGrid w:val="0"/>
        </w:rPr>
      </w:pPr>
      <w:bookmarkStart w:id="68" w:name="_Toc107396871"/>
      <w:r>
        <w:rPr>
          <w:rStyle w:val="CharSectno"/>
        </w:rPr>
        <w:lastRenderedPageBreak/>
        <w:t>36</w:t>
      </w:r>
      <w:r>
        <w:rPr>
          <w:snapToGrid w:val="0"/>
        </w:rPr>
        <w:t>.</w:t>
      </w:r>
      <w:r>
        <w:rPr>
          <w:snapToGrid w:val="0"/>
        </w:rPr>
        <w:tab/>
        <w:t>Disclosure of convictions, orders etc. restricted</w:t>
      </w:r>
      <w:bookmarkEnd w:id="68"/>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Ednotepara"/>
        <w:rPr>
          <w:snapToGrid w:val="0"/>
        </w:rPr>
      </w:pPr>
      <w:r>
        <w:tab/>
        <w:t>[(ab)</w:t>
      </w:r>
      <w:r>
        <w:tab/>
        <w:t>deleted]</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No. 15 of 1991 s. 16 and 17(3); No. 57 of 1997 s. 31; </w:t>
      </w:r>
      <w:r>
        <w:rPr>
          <w:spacing w:val="-6"/>
        </w:rPr>
        <w:t>No. 34 of 2004 s. </w:t>
      </w:r>
      <w:r>
        <w:t>251; No. 84 of 2004 s. 80; No. 14 of 2008 s. 43(4); No. 59 of 2010 s. 45; No. 26 of 2011 s. 5; No. 23 of 2015 s. 16.]</w:t>
      </w:r>
    </w:p>
    <w:p>
      <w:pPr>
        <w:pStyle w:val="Heading5"/>
      </w:pPr>
      <w:bookmarkStart w:id="69" w:name="_Toc107396872"/>
      <w:r>
        <w:rPr>
          <w:rStyle w:val="CharSectno"/>
        </w:rPr>
        <w:t>36AA</w:t>
      </w:r>
      <w:r>
        <w:t>.</w:t>
      </w:r>
      <w:r>
        <w:tab/>
        <w:t>Disclosure for certain research purposes</w:t>
      </w:r>
      <w:bookmarkEnd w:id="69"/>
    </w:p>
    <w:p>
      <w:pPr>
        <w:pStyle w:val="Subsection"/>
      </w:pPr>
      <w:r>
        <w:tab/>
        <w:t>(1)</w:t>
      </w:r>
      <w:r>
        <w:tab/>
        <w:t xml:space="preserve">Where — </w:t>
      </w:r>
    </w:p>
    <w:p>
      <w:pPr>
        <w:pStyle w:val="Indenta"/>
      </w:pPr>
      <w:r>
        <w:tab/>
        <w:t>(a)</w:t>
      </w:r>
      <w:r>
        <w:tab/>
        <w:t>a charge against a child is dismissed by the Court; or</w:t>
      </w:r>
    </w:p>
    <w:p>
      <w:pPr>
        <w:pStyle w:val="Indenta"/>
      </w:pPr>
      <w:r>
        <w:lastRenderedPageBreak/>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(Miscellaneous Provisions)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lastRenderedPageBreak/>
        <w:tab/>
        <w:t>(c)</w:t>
      </w:r>
      <w:r>
        <w:tab/>
        <w:t>the disclosure is not to be regarded as a breach of professional ethics or standards or as unprofessional conduct.</w:t>
      </w:r>
    </w:p>
    <w:p>
      <w:pPr>
        <w:pStyle w:val="Footnotesection"/>
      </w:pPr>
      <w:r>
        <w:tab/>
        <w:t>[Section 36AA inserted: No. 26 of  2011 s. 6; amended: No. 19 of 2016 s. 101.]</w:t>
      </w:r>
    </w:p>
    <w:p>
      <w:pPr>
        <w:pStyle w:val="Heading5"/>
        <w:rPr>
          <w:snapToGrid w:val="0"/>
        </w:rPr>
      </w:pPr>
      <w:bookmarkStart w:id="70" w:name="_Toc107396873"/>
      <w:r>
        <w:rPr>
          <w:rStyle w:val="CharSectno"/>
        </w:rPr>
        <w:t>36A</w:t>
      </w:r>
      <w:r>
        <w:rPr>
          <w:snapToGrid w:val="0"/>
        </w:rPr>
        <w:t>.</w:t>
      </w:r>
      <w:r>
        <w:rPr>
          <w:snapToGrid w:val="0"/>
        </w:rPr>
        <w:tab/>
        <w:t>Supreme Court may allow publication etc.</w:t>
      </w:r>
      <w:bookmarkEnd w:id="70"/>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lastRenderedPageBreak/>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No. 15 of 1991 s. 17(1).]</w:t>
      </w:r>
    </w:p>
    <w:p>
      <w:pPr>
        <w:pStyle w:val="Heading5"/>
        <w:rPr>
          <w:snapToGrid w:val="0"/>
        </w:rPr>
      </w:pPr>
      <w:bookmarkStart w:id="71" w:name="_Toc107396874"/>
      <w:r>
        <w:rPr>
          <w:rStyle w:val="CharSectno"/>
        </w:rPr>
        <w:t>37</w:t>
      </w:r>
      <w:r>
        <w:rPr>
          <w:snapToGrid w:val="0"/>
        </w:rPr>
        <w:t>.</w:t>
      </w:r>
      <w:r>
        <w:rPr>
          <w:snapToGrid w:val="0"/>
        </w:rPr>
        <w:tab/>
        <w:t>Practice and procedure</w:t>
      </w:r>
      <w:bookmarkEnd w:id="71"/>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w:t>
      </w:r>
      <w:r>
        <w:rPr>
          <w:spacing w:val="-6"/>
        </w:rPr>
        <w:t>No. 34 of 2004 s. </w:t>
      </w:r>
      <w:r>
        <w:t>251; No. 59 of 2004 s. 73; No. 84 of 2004 s. 18.]</w:t>
      </w:r>
    </w:p>
    <w:p>
      <w:pPr>
        <w:pStyle w:val="Heading5"/>
        <w:rPr>
          <w:snapToGrid w:val="0"/>
        </w:rPr>
      </w:pPr>
      <w:bookmarkStart w:id="72" w:name="_Toc107396875"/>
      <w:r>
        <w:rPr>
          <w:rStyle w:val="CharSectno"/>
        </w:rPr>
        <w:t>38</w:t>
      </w:r>
      <w:r>
        <w:rPr>
          <w:snapToGrid w:val="0"/>
        </w:rPr>
        <w:t>.</w:t>
      </w:r>
      <w:r>
        <w:rPr>
          <w:snapToGrid w:val="0"/>
        </w:rPr>
        <w:tab/>
        <w:t>Rules of court</w:t>
      </w:r>
      <w:bookmarkEnd w:id="72"/>
    </w:p>
    <w:p>
      <w:pPr>
        <w:pStyle w:val="Subsection"/>
        <w:rPr>
          <w:snapToGrid w:val="0"/>
        </w:rPr>
      </w:pPr>
      <w:r>
        <w:rPr>
          <w:snapToGrid w:val="0"/>
        </w:rPr>
        <w:tab/>
      </w:r>
      <w:r>
        <w:rPr>
          <w:snapToGrid w:val="0"/>
        </w:rPr>
        <w:tab/>
        <w:t xml:space="preserve">The judge, or if there is more than one judge a majority of the judges, may make rules for regulating and prescribing the </w:t>
      </w:r>
      <w:r>
        <w:rPr>
          <w:snapToGrid w:val="0"/>
        </w:rPr>
        <w:lastRenderedPageBreak/>
        <w:t>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73" w:name="_Toc107396876"/>
      <w:r>
        <w:rPr>
          <w:rStyle w:val="CharSectno"/>
        </w:rPr>
        <w:t>39</w:t>
      </w:r>
      <w:r>
        <w:rPr>
          <w:snapToGrid w:val="0"/>
        </w:rPr>
        <w:t>.</w:t>
      </w:r>
      <w:r>
        <w:rPr>
          <w:snapToGrid w:val="0"/>
        </w:rPr>
        <w:tab/>
        <w:t>Mode of enforcing orders by Court</w:t>
      </w:r>
      <w:bookmarkEnd w:id="73"/>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74" w:name="_Toc107396877"/>
      <w:r>
        <w:rPr>
          <w:rStyle w:val="CharSectno"/>
        </w:rPr>
        <w:t>39A</w:t>
      </w:r>
      <w:r>
        <w:t>.</w:t>
      </w:r>
      <w:r>
        <w:tab/>
        <w:t>Judgments, enforcement of</w:t>
      </w:r>
      <w:bookmarkEnd w:id="74"/>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No. 5 of 2008 s. 5.]</w:t>
      </w:r>
    </w:p>
    <w:p>
      <w:pPr>
        <w:pStyle w:val="Heading2"/>
      </w:pPr>
      <w:bookmarkStart w:id="75" w:name="_Toc107320097"/>
      <w:bookmarkStart w:id="76" w:name="_Toc107320296"/>
      <w:bookmarkStart w:id="77" w:name="_Toc107396878"/>
      <w:r>
        <w:rPr>
          <w:rStyle w:val="CharPartNo"/>
        </w:rPr>
        <w:lastRenderedPageBreak/>
        <w:t>Part 5</w:t>
      </w:r>
      <w:r>
        <w:rPr>
          <w:rStyle w:val="CharDivNo"/>
        </w:rPr>
        <w:t> </w:t>
      </w:r>
      <w:r>
        <w:t>—</w:t>
      </w:r>
      <w:r>
        <w:rPr>
          <w:rStyle w:val="CharDivText"/>
        </w:rPr>
        <w:t> </w:t>
      </w:r>
      <w:r>
        <w:rPr>
          <w:rStyle w:val="CharPartText"/>
        </w:rPr>
        <w:t>Review and appeal</w:t>
      </w:r>
      <w:bookmarkEnd w:id="75"/>
      <w:bookmarkEnd w:id="76"/>
      <w:bookmarkEnd w:id="77"/>
    </w:p>
    <w:p>
      <w:pPr>
        <w:pStyle w:val="Heading5"/>
        <w:rPr>
          <w:snapToGrid w:val="0"/>
        </w:rPr>
      </w:pPr>
      <w:bookmarkStart w:id="78" w:name="_Toc107396879"/>
      <w:r>
        <w:rPr>
          <w:rStyle w:val="CharSectno"/>
        </w:rPr>
        <w:t>40</w:t>
      </w:r>
      <w:r>
        <w:rPr>
          <w:snapToGrid w:val="0"/>
        </w:rPr>
        <w:t>.</w:t>
      </w:r>
      <w:r>
        <w:rPr>
          <w:snapToGrid w:val="0"/>
        </w:rPr>
        <w:tab/>
        <w:t>Review by President of certain sentences</w:t>
      </w:r>
      <w:bookmarkEnd w:id="78"/>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 xml:space="preserve">child </w:t>
      </w:r>
      <w:r>
        <w:rPr>
          <w:snapToGrid w:val="0"/>
        </w:rPr>
        <w:t xml:space="preserve">is proved and makes an order against or in relation to the </w:t>
      </w:r>
      <w:r>
        <w:t>child</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child</w:t>
      </w:r>
      <w:r>
        <w:rPr>
          <w:snapToGrid w:val="0"/>
        </w:rPr>
        <w:t>, within one month after the date of the order;</w:t>
      </w:r>
    </w:p>
    <w:p>
      <w:pPr>
        <w:pStyle w:val="Indenta"/>
        <w:rPr>
          <w:snapToGrid w:val="0"/>
        </w:rPr>
      </w:pPr>
      <w:r>
        <w:rPr>
          <w:snapToGrid w:val="0"/>
        </w:rPr>
        <w:tab/>
        <w:t>(b)</w:t>
      </w:r>
      <w:r>
        <w:rPr>
          <w:snapToGrid w:val="0"/>
        </w:rPr>
        <w:tab/>
      </w:r>
      <w:r>
        <w:t>by</w:t>
      </w:r>
      <w:r>
        <w:rPr>
          <w:snapToGrid w:val="0"/>
        </w:rPr>
        <w:t xml:space="preserve">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lastRenderedPageBreak/>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No. 33 of 1989 s. 18; No. 31 of 1993 s. 31; </w:t>
      </w:r>
      <w:r>
        <w:rPr>
          <w:spacing w:val="-6"/>
        </w:rPr>
        <w:t>No. 34 of 2004 s. </w:t>
      </w:r>
      <w:r>
        <w:t>251; No. 45 of 2004 s. 29; No. 65 of 2006 s. 58; No. 5 of 2008 s. 6; No. 14 of 2008 s. 43(5); No. 23 of 2015 s. 17.]</w:t>
      </w:r>
    </w:p>
    <w:p>
      <w:pPr>
        <w:pStyle w:val="Heading5"/>
      </w:pPr>
      <w:bookmarkStart w:id="79" w:name="_Toc107396880"/>
      <w:r>
        <w:rPr>
          <w:rStyle w:val="CharSectno"/>
        </w:rPr>
        <w:t>41</w:t>
      </w:r>
      <w:r>
        <w:t>.</w:t>
      </w:r>
      <w:r>
        <w:tab/>
        <w:t>Appeals against decisions of magistrates etc.</w:t>
      </w:r>
      <w:bookmarkEnd w:id="79"/>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No. 84 of 2004 s. 15.]</w:t>
      </w:r>
    </w:p>
    <w:p>
      <w:pPr>
        <w:pStyle w:val="Heading5"/>
        <w:rPr>
          <w:snapToGrid w:val="0"/>
        </w:rPr>
      </w:pPr>
      <w:bookmarkStart w:id="80" w:name="_Toc107396881"/>
      <w:r>
        <w:rPr>
          <w:rStyle w:val="CharSectno"/>
        </w:rPr>
        <w:lastRenderedPageBreak/>
        <w:t>42</w:t>
      </w:r>
      <w:r>
        <w:rPr>
          <w:snapToGrid w:val="0"/>
        </w:rPr>
        <w:t>.</w:t>
      </w:r>
      <w:r>
        <w:rPr>
          <w:snapToGrid w:val="0"/>
        </w:rPr>
        <w:tab/>
        <w:t>Appeal against certain other orders</w:t>
      </w:r>
      <w:bookmarkEnd w:id="80"/>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No. 33 of 1989 s. 18; amended: No. 31 of 1993 s. 32; No. 57 of 1997 s. 31; No. 34 of 2004 s. 251; No. 59 of 2004 s. 73; No. 84 of 2004 s. 18.]</w:t>
      </w:r>
    </w:p>
    <w:p>
      <w:pPr>
        <w:pStyle w:val="Heading5"/>
        <w:spacing w:before="180"/>
      </w:pPr>
      <w:bookmarkStart w:id="81" w:name="_Toc107396882"/>
      <w:r>
        <w:rPr>
          <w:rStyle w:val="CharSectno"/>
        </w:rPr>
        <w:t>42A</w:t>
      </w:r>
      <w:r>
        <w:t>.</w:t>
      </w:r>
      <w:r>
        <w:tab/>
        <w:t>Appeals from judges’ decisions in criminal matters</w:t>
      </w:r>
      <w:bookmarkEnd w:id="81"/>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w:t>
      </w:r>
      <w:r>
        <w:lastRenderedPageBreak/>
        <w:t xml:space="preserve">Act) in a trial by a judge alone under the </w:t>
      </w:r>
      <w:r>
        <w:rPr>
          <w:i/>
        </w:rPr>
        <w:t>Criminal Procedure Act 2004</w:t>
      </w:r>
      <w:r>
        <w:t>.</w:t>
      </w:r>
    </w:p>
    <w:p>
      <w:pPr>
        <w:pStyle w:val="Footnotesection"/>
        <w:ind w:left="890" w:hanging="890"/>
      </w:pPr>
      <w:r>
        <w:tab/>
        <w:t>[Section 42A inserted: No. 84 of 2004 s. 16.]</w:t>
      </w:r>
    </w:p>
    <w:p>
      <w:pPr>
        <w:pStyle w:val="Heading5"/>
        <w:rPr>
          <w:snapToGrid w:val="0"/>
        </w:rPr>
      </w:pPr>
      <w:bookmarkStart w:id="82" w:name="_Toc107396883"/>
      <w:r>
        <w:rPr>
          <w:rStyle w:val="CharSectno"/>
        </w:rPr>
        <w:t>43</w:t>
      </w:r>
      <w:r>
        <w:rPr>
          <w:snapToGrid w:val="0"/>
        </w:rPr>
        <w:t>.</w:t>
      </w:r>
      <w:r>
        <w:rPr>
          <w:snapToGrid w:val="0"/>
        </w:rPr>
        <w:tab/>
        <w:t xml:space="preserve">Appeals to </w:t>
      </w:r>
      <w:r>
        <w:t>Court of Appeal</w:t>
      </w:r>
      <w:bookmarkEnd w:id="82"/>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lastRenderedPageBreak/>
        <w:tab/>
        <w:t>(c)</w:t>
      </w:r>
      <w:r>
        <w:tab/>
        <w:t>if it sets aside the judge’s finding, order or other decision, may order the application concerned be dealt with again.</w:t>
      </w:r>
    </w:p>
    <w:p>
      <w:pPr>
        <w:pStyle w:val="Footnotesection"/>
      </w:pPr>
      <w:r>
        <w:tab/>
        <w:t xml:space="preserve">[Section 43 amended: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No. 53 of 2000 s. 3.]</w:t>
      </w:r>
    </w:p>
    <w:p>
      <w:pPr>
        <w:pStyle w:val="Heading2"/>
      </w:pPr>
      <w:bookmarkStart w:id="83" w:name="_Toc107320103"/>
      <w:bookmarkStart w:id="84" w:name="_Toc107320302"/>
      <w:bookmarkStart w:id="85" w:name="_Toc107396884"/>
      <w:r>
        <w:rPr>
          <w:rStyle w:val="CharPartNo"/>
        </w:rPr>
        <w:lastRenderedPageBreak/>
        <w:t>Part 7</w:t>
      </w:r>
      <w:r>
        <w:rPr>
          <w:rStyle w:val="CharDivNo"/>
        </w:rPr>
        <w:t> </w:t>
      </w:r>
      <w:r>
        <w:t>—</w:t>
      </w:r>
      <w:r>
        <w:rPr>
          <w:rStyle w:val="CharDivText"/>
        </w:rPr>
        <w:t> </w:t>
      </w:r>
      <w:r>
        <w:rPr>
          <w:rStyle w:val="CharPartText"/>
        </w:rPr>
        <w:t>Miscellaneous</w:t>
      </w:r>
      <w:bookmarkEnd w:id="83"/>
      <w:bookmarkEnd w:id="84"/>
      <w:bookmarkEnd w:id="85"/>
    </w:p>
    <w:p>
      <w:pPr>
        <w:pStyle w:val="Heading5"/>
        <w:rPr>
          <w:snapToGrid w:val="0"/>
        </w:rPr>
      </w:pPr>
      <w:bookmarkStart w:id="86" w:name="_Toc107396885"/>
      <w:r>
        <w:rPr>
          <w:rStyle w:val="CharSectno"/>
        </w:rPr>
        <w:t>51</w:t>
      </w:r>
      <w:r>
        <w:rPr>
          <w:snapToGrid w:val="0"/>
        </w:rPr>
        <w:t>.</w:t>
      </w:r>
      <w:r>
        <w:rPr>
          <w:snapToGrid w:val="0"/>
        </w:rPr>
        <w:tab/>
        <w:t>Forms of proceedings</w:t>
      </w:r>
      <w:bookmarkEnd w:id="86"/>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No. 84 of 2004 s. 80.]</w:t>
      </w:r>
    </w:p>
    <w:p>
      <w:pPr>
        <w:pStyle w:val="Heading5"/>
      </w:pPr>
      <w:bookmarkStart w:id="87" w:name="_Toc107396886"/>
      <w:r>
        <w:rPr>
          <w:rStyle w:val="CharSectno"/>
        </w:rPr>
        <w:t>51A</w:t>
      </w:r>
      <w:r>
        <w:t>.</w:t>
      </w:r>
      <w:r>
        <w:tab/>
        <w:t>Court’s records, access to</w:t>
      </w:r>
      <w:bookmarkEnd w:id="87"/>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lastRenderedPageBreak/>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CEO as defined in the </w:t>
      </w:r>
      <w:r>
        <w:rPr>
          <w:i/>
          <w:iCs/>
        </w:rPr>
        <w:t>Road Traffic (Administration) Act 2008</w:t>
      </w:r>
      <w:r>
        <w:t xml:space="preserve"> section 4;</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lastRenderedPageBreak/>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No. 59 of 2004 s. 71; amended: No. 8 of 2012 s. 56; No. 35 of 2014 s. 39).]</w:t>
      </w:r>
    </w:p>
    <w:p>
      <w:pPr>
        <w:pStyle w:val="Heading5"/>
        <w:rPr>
          <w:snapToGrid w:val="0"/>
        </w:rPr>
      </w:pPr>
      <w:bookmarkStart w:id="88" w:name="_Toc107396887"/>
      <w:r>
        <w:rPr>
          <w:rStyle w:val="CharSectno"/>
        </w:rPr>
        <w:t>52</w:t>
      </w:r>
      <w:r>
        <w:rPr>
          <w:snapToGrid w:val="0"/>
        </w:rPr>
        <w:t>.</w:t>
      </w:r>
      <w:r>
        <w:rPr>
          <w:snapToGrid w:val="0"/>
        </w:rPr>
        <w:tab/>
        <w:t>Regulations</w:t>
      </w:r>
      <w:bookmarkEnd w:id="8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9" w:name="_Toc107396888"/>
      <w:r>
        <w:rPr>
          <w:rStyle w:val="CharSectno"/>
        </w:rPr>
        <w:t>53</w:t>
      </w:r>
      <w:r>
        <w:t>.</w:t>
      </w:r>
      <w:r>
        <w:tab/>
        <w:t>Fees, regulations may prescribe</w:t>
      </w:r>
      <w:bookmarkEnd w:id="89"/>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lastRenderedPageBreak/>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No. 59 of 2004 s. 72; amended: No. 77 of 2006 s. 4.]</w:t>
      </w:r>
    </w:p>
    <w:p>
      <w:pPr>
        <w:pStyle w:val="Heading2"/>
      </w:pPr>
      <w:bookmarkStart w:id="90" w:name="_Toc107320108"/>
      <w:bookmarkStart w:id="91" w:name="_Toc107320307"/>
      <w:bookmarkStart w:id="92" w:name="_Toc107396889"/>
      <w:r>
        <w:rPr>
          <w:rStyle w:val="CharPartNo"/>
        </w:rPr>
        <w:lastRenderedPageBreak/>
        <w:t>Part 8</w:t>
      </w:r>
      <w:r>
        <w:rPr>
          <w:rStyle w:val="CharDivNo"/>
        </w:rPr>
        <w:t> </w:t>
      </w:r>
      <w:r>
        <w:t>—</w:t>
      </w:r>
      <w:r>
        <w:rPr>
          <w:rStyle w:val="CharDivText"/>
        </w:rPr>
        <w:t> </w:t>
      </w:r>
      <w:r>
        <w:rPr>
          <w:rStyle w:val="CharPartText"/>
        </w:rPr>
        <w:t xml:space="preserve">Transitional provisions for </w:t>
      </w:r>
      <w:r>
        <w:rPr>
          <w:rStyle w:val="CharPartText"/>
          <w:i/>
        </w:rPr>
        <w:t>Courts Legislation Amendment (Magistrates) Act 2022</w:t>
      </w:r>
      <w:bookmarkEnd w:id="90"/>
      <w:bookmarkEnd w:id="91"/>
      <w:bookmarkEnd w:id="92"/>
    </w:p>
    <w:p>
      <w:pPr>
        <w:pStyle w:val="Footnoteheading"/>
      </w:pPr>
      <w:r>
        <w:tab/>
        <w:t>[Heading inserted: No. 2 of 2022 s. 9.]</w:t>
      </w:r>
    </w:p>
    <w:p>
      <w:pPr>
        <w:pStyle w:val="Heading5"/>
      </w:pPr>
      <w:bookmarkStart w:id="93" w:name="_Toc107396890"/>
      <w:r>
        <w:rPr>
          <w:rStyle w:val="CharSectno"/>
        </w:rPr>
        <w:t>54</w:t>
      </w:r>
      <w:r>
        <w:t>.</w:t>
      </w:r>
      <w:r>
        <w:tab/>
        <w:t xml:space="preserve">Magistrates performing Children’s Court functions before commencement of </w:t>
      </w:r>
      <w:r>
        <w:rPr>
          <w:i/>
        </w:rPr>
        <w:t>Courts Legislation Amendment (Magistrates) Act 2022</w:t>
      </w:r>
      <w:bookmarkEnd w:id="93"/>
    </w:p>
    <w:p>
      <w:pPr>
        <w:pStyle w:val="Subsection"/>
      </w:pPr>
      <w:r>
        <w:tab/>
        <w:t>(1)</w:t>
      </w:r>
      <w:r>
        <w:tab/>
        <w:t xml:space="preserve">In this section — </w:t>
      </w:r>
    </w:p>
    <w:p>
      <w:pPr>
        <w:pStyle w:val="Defstart"/>
      </w:pPr>
      <w:r>
        <w:tab/>
      </w:r>
      <w:r>
        <w:rPr>
          <w:rStyle w:val="CharDefText"/>
        </w:rPr>
        <w:t>Children’s Court functions</w:t>
      </w:r>
      <w:r>
        <w:t xml:space="preserve"> and </w:t>
      </w:r>
      <w:r>
        <w:rPr>
          <w:rStyle w:val="CharDefText"/>
        </w:rPr>
        <w:t>dually appointed magistrate</w:t>
      </w:r>
      <w:r>
        <w:t xml:space="preserve"> have the meanings given in section 11(1).</w:t>
      </w:r>
    </w:p>
    <w:p>
      <w:pPr>
        <w:pStyle w:val="Subsection"/>
      </w:pPr>
      <w:r>
        <w:tab/>
        <w:t>(2)</w:t>
      </w:r>
      <w:r>
        <w:tab/>
        <w:t>This section applies to a dually appointed magistrate who has performed Children’s Court functions on a full</w:t>
      </w:r>
      <w:r>
        <w:noBreakHyphen/>
        <w:t>time or part</w:t>
      </w:r>
      <w:r>
        <w:noBreakHyphen/>
        <w:t>time basis before the day (</w:t>
      </w:r>
      <w:r>
        <w:rPr>
          <w:rStyle w:val="CharDefText"/>
        </w:rPr>
        <w:t>commencement day</w:t>
      </w:r>
      <w:r>
        <w:t xml:space="preserve">) on which the </w:t>
      </w:r>
      <w:r>
        <w:rPr>
          <w:i/>
        </w:rPr>
        <w:t xml:space="preserve">Courts Legislation Amendment (Magistrates) Act 2022 </w:t>
      </w:r>
      <w:r>
        <w:t>Part 2 comes into operation.</w:t>
      </w:r>
    </w:p>
    <w:p>
      <w:pPr>
        <w:pStyle w:val="Subsection"/>
      </w:pPr>
      <w:r>
        <w:tab/>
        <w:t>(3)</w:t>
      </w:r>
      <w:r>
        <w:tab/>
        <w:t>Without limiting section 11, the President may give the Chief Magistrate a notice under section 11(2) or (4) in relation to the magistrate.</w:t>
      </w:r>
    </w:p>
    <w:p>
      <w:pPr>
        <w:pStyle w:val="Subsection"/>
      </w:pPr>
      <w:r>
        <w:tab/>
        <w:t>(4)</w:t>
      </w:r>
      <w:r>
        <w:tab/>
        <w:t xml:space="preserve">If no notice has been given under section 11(2) or (4) in relation to the magistrate, section 11 applies in relation to the magistrate as if on commencement day — </w:t>
      </w:r>
    </w:p>
    <w:p>
      <w:pPr>
        <w:pStyle w:val="Indenta"/>
      </w:pPr>
      <w:r>
        <w:tab/>
        <w:t>(a)</w:t>
      </w:r>
      <w:r>
        <w:tab/>
        <w:t>the President, by notice under section 11(2), informed the Chief Magistrate that the President considers that, to deal with the workload of the Court, it is necessary or desirable for the magistrate for the time being to perform Children’s Court functions on the basis on which those functions were performed before commencement day; and</w:t>
      </w:r>
    </w:p>
    <w:p>
      <w:pPr>
        <w:pStyle w:val="Indenta"/>
      </w:pPr>
      <w:r>
        <w:tab/>
        <w:t>(b)</w:t>
      </w:r>
      <w:r>
        <w:tab/>
        <w:t>the Chief Magistrate consented under section 11(3)(a) to the magistrate for the time being performing Children’s Court functions on that basis.</w:t>
      </w:r>
    </w:p>
    <w:p>
      <w:pPr>
        <w:pStyle w:val="Footnotesection"/>
        <w:ind w:left="890" w:hanging="890"/>
      </w:pPr>
      <w:r>
        <w:tab/>
        <w:t>[Section 54 inserted: No. 2 of 2022 s. 9.]</w:t>
      </w:r>
    </w:p>
    <w:p>
      <w:pPr>
        <w:rPr>
          <w:rStyle w:val="CharDivText"/>
        </w:rPr>
        <w:sectPr>
          <w:headerReference w:type="even" r:id="rId21"/>
          <w:headerReference w:type="default" r:id="rId22"/>
          <w:pgSz w:w="11907" w:h="16840" w:code="9"/>
          <w:pgMar w:top="2376" w:right="2405" w:bottom="3542" w:left="2405" w:header="706" w:footer="3380" w:gutter="0"/>
          <w:pgNumType w:start="1"/>
          <w:cols w:space="720"/>
          <w:noEndnote/>
          <w:titlePg/>
          <w:docGrid w:linePitch="326"/>
        </w:sectPr>
      </w:pPr>
    </w:p>
    <w:p>
      <w:pPr>
        <w:pStyle w:val="yScheduleHeading"/>
      </w:pPr>
      <w:bookmarkStart w:id="94" w:name="_Toc107320110"/>
      <w:bookmarkStart w:id="95" w:name="_Toc107320309"/>
      <w:bookmarkStart w:id="96" w:name="_Toc107396891"/>
      <w:r>
        <w:rPr>
          <w:rStyle w:val="CharSchNo"/>
        </w:rPr>
        <w:lastRenderedPageBreak/>
        <w:t>Schedule 1</w:t>
      </w:r>
      <w:r>
        <w:t> — </w:t>
      </w:r>
      <w:r>
        <w:rPr>
          <w:rStyle w:val="CharSchText"/>
        </w:rPr>
        <w:t>Oath and affirmation of office</w:t>
      </w:r>
      <w:bookmarkEnd w:id="94"/>
      <w:bookmarkEnd w:id="95"/>
      <w:bookmarkEnd w:id="96"/>
    </w:p>
    <w:p>
      <w:pPr>
        <w:pStyle w:val="yShoulderClause"/>
      </w:pPr>
      <w:r>
        <w:t>[s. 12(1)]</w:t>
      </w:r>
    </w:p>
    <w:p>
      <w:pPr>
        <w:pStyle w:val="yFootnoteheading"/>
        <w:tabs>
          <w:tab w:val="clear" w:pos="879"/>
        </w:tabs>
        <w:ind w:left="600" w:hanging="600"/>
      </w:pPr>
      <w:r>
        <w:tab/>
        <w:t>[Heading inserted: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98" w:name="_Toc107320111"/>
      <w:bookmarkStart w:id="99" w:name="_Toc107320310"/>
      <w:bookmarkStart w:id="100" w:name="_Toc107396892"/>
      <w:r>
        <w:lastRenderedPageBreak/>
        <w:t>Notes</w:t>
      </w:r>
      <w:bookmarkEnd w:id="98"/>
      <w:bookmarkEnd w:id="99"/>
      <w:bookmarkEnd w:id="100"/>
    </w:p>
    <w:p>
      <w:pPr>
        <w:pStyle w:val="nStatement"/>
        <w:rPr>
          <w:snapToGrid w:val="0"/>
        </w:rPr>
      </w:pPr>
      <w:r>
        <w:t xml:space="preserve">This is a compilation of the </w:t>
      </w:r>
      <w:r>
        <w:rPr>
          <w:i/>
          <w:noProof/>
        </w:rPr>
        <w:t>Children’s Court of Western Australia Act 1988</w:t>
      </w:r>
      <w:r>
        <w:t xml:space="preserve"> and includes amendments made by other written laws</w:t>
      </w:r>
      <w:r>
        <w:rPr>
          <w:vertAlign w:val="superscript"/>
        </w:rPr>
        <w:t> 1M</w:t>
      </w:r>
      <w:r>
        <w:t xml:space="preserve">. For provisions that have come into operation, and for information about any reprints, see the compilation table. </w:t>
      </w:r>
      <w:r>
        <w:rPr>
          <w:snapToGrid w:val="0"/>
        </w:rPr>
        <w:t xml:space="preserve">For provisions that have not yet come into operation see the uncommenced provisions table. </w:t>
      </w:r>
    </w:p>
    <w:p>
      <w:pPr>
        <w:pStyle w:val="nHeading3"/>
      </w:pPr>
      <w:bookmarkStart w:id="101" w:name="_Toc107396893"/>
      <w:r>
        <w:t>Compilation table</w:t>
      </w:r>
      <w:bookmarkEnd w:id="10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2</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lastRenderedPageBreak/>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 xml:space="preserve">Road Traffic Legislation Amendment Act 2012 </w:t>
            </w:r>
            <w:r>
              <w:rPr>
                <w:snapToGrid w:val="0"/>
              </w:rPr>
              <w:t>Pt. 4 Div. 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Pr>
          <w:p>
            <w:pPr>
              <w:pStyle w:val="nTable"/>
              <w:spacing w:after="40"/>
            </w:pPr>
            <w:r>
              <w:rPr>
                <w:snapToGrid w:val="0"/>
              </w:rPr>
              <w:t>35 of 2014</w:t>
            </w:r>
          </w:p>
        </w:tc>
        <w:tc>
          <w:tcPr>
            <w:tcW w:w="1134" w:type="dxa"/>
          </w:tcPr>
          <w:p>
            <w:pPr>
              <w:pStyle w:val="nTable"/>
              <w:spacing w:after="40"/>
            </w:pPr>
            <w:r>
              <w:t>9 Dec 2014</w:t>
            </w:r>
          </w:p>
        </w:tc>
        <w:tc>
          <w:tcPr>
            <w:tcW w:w="2552" w:type="dxa"/>
          </w:tcPr>
          <w:p>
            <w:pPr>
              <w:pStyle w:val="nTable"/>
              <w:spacing w:after="40"/>
              <w:rPr>
                <w:i/>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 xml:space="preserve">Children and Community Services Legislation Amendment and Repeal Act 2015 </w:t>
            </w:r>
            <w:r>
              <w:t>Pt. 2 Div. 3 Subdiv. 1</w:t>
            </w:r>
          </w:p>
        </w:tc>
        <w:tc>
          <w:tcPr>
            <w:tcW w:w="1134" w:type="dxa"/>
          </w:tcPr>
          <w:p>
            <w:pPr>
              <w:pStyle w:val="nTable"/>
              <w:spacing w:after="40"/>
              <w:rPr>
                <w:snapToGrid w:val="0"/>
              </w:rPr>
            </w:pPr>
            <w:r>
              <w:t>23 of 2015</w:t>
            </w:r>
          </w:p>
        </w:tc>
        <w:tc>
          <w:tcPr>
            <w:tcW w:w="1134" w:type="dxa"/>
          </w:tcPr>
          <w:p>
            <w:pPr>
              <w:pStyle w:val="nTable"/>
              <w:spacing w:after="40"/>
            </w:pPr>
            <w:r>
              <w:t>17 Sep 2015</w:t>
            </w:r>
          </w:p>
        </w:tc>
        <w:tc>
          <w:tcPr>
            <w:tcW w:w="2552" w:type="dxa"/>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2268" w:type="dxa"/>
            <w:tcBorders>
              <w:top w:val="nil"/>
              <w:bottom w:val="nil"/>
            </w:tcBorders>
          </w:tcPr>
          <w:p>
            <w:pPr>
              <w:pStyle w:val="nTable"/>
              <w:spacing w:after="40"/>
              <w:ind w:right="113"/>
              <w:rPr>
                <w:i/>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ind w:right="113"/>
            </w:pPr>
            <w:r>
              <w:rPr>
                <w:i/>
              </w:rPr>
              <w:t>Criminal Law Amendment (Uncertain Dates) Act 2020</w:t>
            </w:r>
            <w:r>
              <w:t xml:space="preserve"> Pt. 3</w:t>
            </w:r>
          </w:p>
        </w:tc>
        <w:tc>
          <w:tcPr>
            <w:tcW w:w="1134" w:type="dxa"/>
            <w:tcBorders>
              <w:top w:val="nil"/>
              <w:bottom w:val="nil"/>
            </w:tcBorders>
            <w:shd w:val="clear" w:color="auto" w:fill="auto"/>
          </w:tcPr>
          <w:p>
            <w:pPr>
              <w:pStyle w:val="nTable"/>
              <w:spacing w:after="40"/>
            </w:pPr>
            <w:r>
              <w:t>47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10 Dec 2020 (see s. 2(b))</w:t>
            </w:r>
          </w:p>
        </w:tc>
      </w:tr>
      <w:tr>
        <w:trPr>
          <w:cantSplit/>
        </w:trPr>
        <w:tc>
          <w:tcPr>
            <w:tcW w:w="2268" w:type="dxa"/>
            <w:tcBorders>
              <w:top w:val="nil"/>
              <w:bottom w:val="nil"/>
            </w:tcBorders>
            <w:shd w:val="clear" w:color="auto" w:fill="auto"/>
          </w:tcPr>
          <w:p>
            <w:pPr>
              <w:pStyle w:val="nTable"/>
              <w:spacing w:after="40"/>
              <w:ind w:right="113"/>
            </w:pPr>
            <w:r>
              <w:rPr>
                <w:i/>
                <w:noProof/>
              </w:rPr>
              <w:t>Courts Legislation Amendment (Magistrates) Act 2022</w:t>
            </w:r>
            <w:r>
              <w:rPr>
                <w:noProof/>
              </w:rPr>
              <w:t xml:space="preserve"> </w:t>
            </w:r>
            <w:r>
              <w:t>Pt. 2</w:t>
            </w:r>
          </w:p>
        </w:tc>
        <w:tc>
          <w:tcPr>
            <w:tcW w:w="1134" w:type="dxa"/>
            <w:tcBorders>
              <w:top w:val="nil"/>
              <w:bottom w:val="nil"/>
            </w:tcBorders>
            <w:shd w:val="clear" w:color="auto" w:fill="auto"/>
          </w:tcPr>
          <w:p>
            <w:pPr>
              <w:pStyle w:val="nTable"/>
              <w:spacing w:after="40"/>
            </w:pPr>
            <w:r>
              <w:t>2 of 2022</w:t>
            </w:r>
          </w:p>
        </w:tc>
        <w:tc>
          <w:tcPr>
            <w:tcW w:w="1134" w:type="dxa"/>
            <w:tcBorders>
              <w:top w:val="nil"/>
              <w:bottom w:val="nil"/>
            </w:tcBorders>
            <w:shd w:val="clear" w:color="auto" w:fill="auto"/>
          </w:tcPr>
          <w:p>
            <w:pPr>
              <w:pStyle w:val="nTable"/>
              <w:spacing w:after="40"/>
            </w:pPr>
            <w:r>
              <w:t>28 Feb 2022</w:t>
            </w:r>
          </w:p>
        </w:tc>
        <w:tc>
          <w:tcPr>
            <w:tcW w:w="2552" w:type="dxa"/>
            <w:tcBorders>
              <w:top w:val="nil"/>
              <w:bottom w:val="nil"/>
            </w:tcBorders>
            <w:shd w:val="clear" w:color="auto" w:fill="auto"/>
          </w:tcPr>
          <w:p>
            <w:pPr>
              <w:pStyle w:val="nTable"/>
              <w:spacing w:after="40"/>
              <w:rPr>
                <w:snapToGrid w:val="0"/>
              </w:rPr>
            </w:pPr>
            <w:r>
              <w:t>1 Mar 2022</w:t>
            </w:r>
            <w:r>
              <w:rPr>
                <w:snapToGrid w:val="0"/>
              </w:rPr>
              <w:t xml:space="preserve">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ind w:right="113"/>
              <w:rPr>
                <w:i/>
                <w:noProof/>
              </w:rPr>
            </w:pPr>
            <w:r>
              <w:rPr>
                <w:i/>
              </w:rPr>
              <w:t>Legal Profession Uniform Law Application Act 2022</w:t>
            </w:r>
            <w:r>
              <w:t xml:space="preserve"> s. 424</w:t>
            </w:r>
          </w:p>
        </w:tc>
        <w:tc>
          <w:tcPr>
            <w:tcW w:w="1134" w:type="dxa"/>
            <w:tcBorders>
              <w:bottom w:val="single" w:sz="4" w:space="0" w:color="auto"/>
            </w:tcBorders>
            <w:shd w:val="clear" w:color="auto" w:fill="auto"/>
          </w:tcPr>
          <w:p>
            <w:pPr>
              <w:pStyle w:val="nTable"/>
              <w:spacing w:after="40"/>
            </w:pPr>
            <w:r>
              <w:t>9 of 2022</w:t>
            </w:r>
          </w:p>
        </w:tc>
        <w:tc>
          <w:tcPr>
            <w:tcW w:w="1134" w:type="dxa"/>
            <w:tcBorders>
              <w:bottom w:val="single" w:sz="4" w:space="0" w:color="auto"/>
            </w:tcBorders>
            <w:shd w:val="clear" w:color="auto" w:fill="auto"/>
          </w:tcPr>
          <w:p>
            <w:pPr>
              <w:pStyle w:val="nTable"/>
              <w:spacing w:after="40"/>
            </w:pPr>
            <w:r>
              <w:t>14 Apr 2022</w:t>
            </w:r>
          </w:p>
        </w:tc>
        <w:tc>
          <w:tcPr>
            <w:tcW w:w="2552" w:type="dxa"/>
            <w:tcBorders>
              <w:bottom w:val="single" w:sz="4" w:space="0" w:color="auto"/>
            </w:tcBorders>
            <w:shd w:val="clear" w:color="auto" w:fill="auto"/>
          </w:tcPr>
          <w:p>
            <w:pPr>
              <w:pStyle w:val="nTable"/>
              <w:spacing w:after="40"/>
            </w:pPr>
            <w:r>
              <w:rPr>
                <w:snapToGrid w:val="0"/>
                <w:spacing w:val="-2"/>
              </w:rPr>
              <w:t>1 Jul 2022 (see s. 2(c) and SL 2022/113 cl. 2)</w:t>
            </w:r>
          </w:p>
        </w:tc>
      </w:tr>
    </w:tbl>
    <w:p>
      <w:pPr>
        <w:pStyle w:val="nHeading3"/>
      </w:pPr>
      <w:bookmarkStart w:id="102" w:name="_Toc107396894"/>
      <w:r>
        <w:lastRenderedPageBreak/>
        <w:t>Uncommenced provisions table</w:t>
      </w:r>
      <w:bookmarkEnd w:id="10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ind w:right="113"/>
            </w:pPr>
            <w:r>
              <w:rPr>
                <w:i/>
              </w:rPr>
              <w:t>State Superannuation (Transitional and Consequential Provisions) Act 2000</w:t>
            </w:r>
            <w:r>
              <w:t xml:space="preserve"> s. 75</w:t>
            </w:r>
          </w:p>
        </w:tc>
        <w:tc>
          <w:tcPr>
            <w:tcW w:w="1134" w:type="dxa"/>
            <w:tcBorders>
              <w:bottom w:val="single" w:sz="4" w:space="0" w:color="auto"/>
            </w:tcBorders>
          </w:tcPr>
          <w:p>
            <w:pPr>
              <w:pStyle w:val="nTable"/>
              <w:spacing w:after="40"/>
            </w:pPr>
            <w:r>
              <w:t>43 of 2000</w:t>
            </w:r>
          </w:p>
        </w:tc>
        <w:tc>
          <w:tcPr>
            <w:tcW w:w="1134" w:type="dxa"/>
            <w:tcBorders>
              <w:bottom w:val="single" w:sz="4" w:space="0" w:color="auto"/>
            </w:tcBorders>
          </w:tcPr>
          <w:p>
            <w:pPr>
              <w:pStyle w:val="nTable"/>
              <w:spacing w:after="40"/>
            </w:pPr>
            <w:r>
              <w:t>2 Nov 2000</w:t>
            </w:r>
          </w:p>
        </w:tc>
        <w:tc>
          <w:tcPr>
            <w:tcW w:w="2552" w:type="dxa"/>
            <w:tcBorders>
              <w:bottom w:val="single" w:sz="4" w:space="0" w:color="auto"/>
            </w:tcBorders>
          </w:tcPr>
          <w:p>
            <w:pPr>
              <w:pStyle w:val="nTable"/>
              <w:spacing w:after="40"/>
            </w:pPr>
            <w:r>
              <w:t>To be proclaimed (see s. 2(2))</w:t>
            </w:r>
          </w:p>
        </w:tc>
      </w:tr>
    </w:tbl>
    <w:p>
      <w:pPr>
        <w:pStyle w:val="nHeading3"/>
      </w:pPr>
      <w:bookmarkStart w:id="103" w:name="_Toc107396895"/>
      <w:r>
        <w:t>Other notes</w:t>
      </w:r>
      <w:bookmarkEnd w:id="103"/>
    </w:p>
    <w:p>
      <w:pPr>
        <w:pStyle w:val="nNote"/>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snapToGrid w:val="0"/>
          <w:vertAlign w:val="superscript"/>
        </w:rPr>
        <w:t>1</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pPr>
      <w:r>
        <w:rPr>
          <w:vertAlign w:val="superscript"/>
        </w:rPr>
        <w:t>2</w:t>
      </w:r>
      <w:r>
        <w:tab/>
        <w:t xml:space="preserve">Now known as the </w:t>
      </w:r>
      <w:r>
        <w:rPr>
          <w:i/>
        </w:rPr>
        <w:t>Children’s Court of Western Australia Act 1988</w:t>
      </w:r>
      <w:r>
        <w:t>; short title changed (see note under s. 1).</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105" w:name="_Toc107320115"/>
      <w:bookmarkStart w:id="106" w:name="_Toc107320314"/>
      <w:bookmarkStart w:id="107" w:name="_Toc107396896"/>
      <w:r>
        <w:rPr>
          <w:sz w:val="28"/>
        </w:rPr>
        <w:lastRenderedPageBreak/>
        <w:t>Defined terms</w:t>
      </w:r>
      <w:bookmarkEnd w:id="105"/>
      <w:bookmarkEnd w:id="106"/>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19C(1)</w:t>
      </w:r>
    </w:p>
    <w:p>
      <w:pPr>
        <w:pStyle w:val="DefinedTerms"/>
      </w:pPr>
      <w:r>
        <w:t>CEO (young offenders)</w:t>
      </w:r>
      <w:r>
        <w:tab/>
        <w:t>3(1)</w:t>
      </w:r>
    </w:p>
    <w:p>
      <w:pPr>
        <w:pStyle w:val="DefinedTerms"/>
      </w:pPr>
      <w:r>
        <w:t>Chief Magistrate</w:t>
      </w:r>
      <w:r>
        <w:tab/>
        <w:t>3(1)</w:t>
      </w:r>
    </w:p>
    <w:p>
      <w:pPr>
        <w:pStyle w:val="DefinedTerms"/>
      </w:pPr>
      <w:r>
        <w:t>child</w:t>
      </w:r>
      <w:r>
        <w:tab/>
        <w:t>3(1)</w:t>
      </w:r>
    </w:p>
    <w:p>
      <w:pPr>
        <w:pStyle w:val="DefinedTerms"/>
      </w:pPr>
      <w:r>
        <w:t>Children’s Court functions</w:t>
      </w:r>
      <w:r>
        <w:tab/>
        <w:t>11(1), 54(1)</w:t>
      </w:r>
    </w:p>
    <w:p>
      <w:pPr>
        <w:pStyle w:val="DefinedTerms"/>
      </w:pPr>
      <w:r>
        <w:t>commencement day</w:t>
      </w:r>
      <w:r>
        <w:tab/>
        <w:t>54(2)</w:t>
      </w:r>
    </w:p>
    <w:p>
      <w:pPr>
        <w:pStyle w:val="DefinedTerms"/>
      </w:pPr>
      <w:r>
        <w:t>Court</w:t>
      </w:r>
      <w:r>
        <w:tab/>
        <w:t>2(1)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dually appointed magistrate</w:t>
      </w:r>
      <w:r>
        <w:tab/>
        <w:t>11(1), 54(1)</w:t>
      </w:r>
    </w:p>
    <w:p>
      <w:pPr>
        <w:pStyle w:val="DefinedTerms"/>
      </w:pPr>
      <w:r>
        <w:t>health department officer</w:t>
      </w:r>
      <w:r>
        <w:tab/>
        <w:t>36AA(2)</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research project</w:t>
      </w:r>
      <w:r>
        <w:tab/>
        <w:t>36AA(2)</w:t>
      </w:r>
    </w:p>
    <w:p>
      <w:pPr>
        <w:pStyle w:val="DefinedTerms"/>
      </w:pPr>
      <w:r>
        <w:t>young offenders agency</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97" w:name="Schedule"/>
    <w:bookmarkEnd w:id="9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 w:name="Coversheet"/>
    <w:bookmarkEnd w:id="1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44545"/>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 w:name="WAFER_20150921141733" w:val="RemoveTocBookmarks,RemoveUnusedBookmarks,RemoveLanguageTags,UsedStyles,ResetPageSize"/>
    <w:docVar w:name="WAFER_20150921141733_GUID" w:val="3454f8bd-7dc8-4dcf-bc2d-ed14d8deded5"/>
    <w:docVar w:name="WAFER_20151102151107" w:val="UpdateStyles,UsedStyles"/>
    <w:docVar w:name="WAFER_20151102151107_GUID" w:val="e03b8a92-d5c0-46cb-9a2a-fbdf55795bfc"/>
    <w:docVar w:name="WAFER_20170111123151" w:val="RemoveTocBookmarks,RemoveUnusedBookmarks,RemoveLanguageTags,UsedStyles,ResetPageSize"/>
    <w:docVar w:name="WAFER_20170111123151_GUID" w:val="631d4f15-f9dc-4d7f-923d-29929fb48dc3"/>
    <w:docVar w:name="WAFER_20170202144109" w:val="RemoveTocBookmarks,RemoveUnusedBookmarks,RemoveLanguageTags,UsedStyles,ResetPageSize"/>
    <w:docVar w:name="WAFER_20170202144109_GUID" w:val="6ac89158-cc87-418a-bc16-57bc50f672d4"/>
    <w:docVar w:name="WAFER_202002071218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21809_GUID" w:val="58ea9e56-3f25-4fa3-b733-5761d3cd3d55"/>
    <w:docVar w:name="WAFER_20200224101000" w:val="RemoveTocBookmarks.RemoveBookmarks,RemoveUnusedBookmarks.RemoveBookmarks,RemoveLanguageTags.RemoveTags,RemoveSmartTags.RemoveTags,ResetPageSize.Reset,RunningHeaders.Run,UpdateStyles.ProcessFixes,UpdateStyles.ProcessFixes,RemoveIncorrectStyles.ProcessStyles"/>
    <w:docVar w:name="WAFER_20200224101000_GUID" w:val="a7e19074-ecac-49c6-9b1b-9e57eb08da07"/>
    <w:docVar w:name="WAFER_202011271533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3355_GUID" w:val="3870c3cf-5628-4172-a9fa-d3beff23f7d9"/>
    <w:docVar w:name="WAFER_20220225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5115908_GUID" w:val="eb5f3019-9e1a-4ce7-a4c8-7cdbd6cbe17f"/>
    <w:docVar w:name="WAFER_202204071433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43324_GUID" w:val="31b108c9-3f85-4d5f-836f-86b12772d5f8"/>
    <w:docVar w:name="WAFER_20220628144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4545_GUID" w:val="89e03a43-a9c5-4987-b5e0-673139934a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DA392FE3-17E9-4FC4-9A6D-BBA959FF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AC4FD-A4B1-4806-87AB-614A79C8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15238</Words>
  <Characters>69183</Characters>
  <Application>Microsoft Office Word</Application>
  <DocSecurity>0</DocSecurity>
  <Lines>1976</Lines>
  <Paragraphs>1096</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83325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1988 - 06-l0-00</dc:title>
  <dc:subject/>
  <dc:creator/>
  <cp:keywords/>
  <dc:description/>
  <cp:lastModifiedBy>Master Repository Process</cp:lastModifiedBy>
  <cp:revision>4</cp:revision>
  <cp:lastPrinted>2014-06-13T06:02:00Z</cp:lastPrinted>
  <dcterms:created xsi:type="dcterms:W3CDTF">2022-06-30T05:34:00Z</dcterms:created>
  <dcterms:modified xsi:type="dcterms:W3CDTF">2022-06-30T05:34:00Z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DocumentType">
    <vt:lpwstr>Act</vt:lpwstr>
  </property>
  <property fmtid="{D5CDD505-2E9C-101B-9397-08002B2CF9AE}" pid="4" name="OwlsUID">
    <vt:i4>124</vt:i4>
  </property>
  <property fmtid="{D5CDD505-2E9C-101B-9397-08002B2CF9AE}" pid="5" name="ReprintNo">
    <vt:lpwstr>6</vt:lpwstr>
  </property>
  <property fmtid="{D5CDD505-2E9C-101B-9397-08002B2CF9AE}" pid="6" name="ReprintedAsAt">
    <vt:filetime>2014-06-12T16:00:00Z</vt:filetime>
  </property>
  <property fmtid="{D5CDD505-2E9C-101B-9397-08002B2CF9AE}" pid="7" name="AsAtDate">
    <vt:lpwstr>01 Jul 2022</vt:lpwstr>
  </property>
  <property fmtid="{D5CDD505-2E9C-101B-9397-08002B2CF9AE}" pid="8" name="Suffix">
    <vt:lpwstr>06-l0-00</vt:lpwstr>
  </property>
  <property fmtid="{D5CDD505-2E9C-101B-9397-08002B2CF9AE}" pid="9" name="CommencementDate">
    <vt:lpwstr>20220701</vt:lpwstr>
  </property>
</Properties>
</file>