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Director of Public Prosecutions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Director of Public Prosecutions Act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_Toc107412227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_Toc107412228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_Toc107412229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Office of Director, and Deputy Director, of Public Prosecutions</w:t>
      </w:r>
    </w:p>
    <w:p>
      <w:pPr>
        <w:pStyle w:val="TOC8"/>
        <w:rPr>
          <w:rFonts w:asciiTheme="minorHAnsi" w:eastAsiaTheme="minorEastAsia" w:hAnsiTheme="minorHAnsi" w:cstheme="minorBidi"/>
          <w:szCs w:val="22"/>
        </w:rPr>
      </w:pPr>
      <w:r>
        <w:t>4</w:t>
      </w:r>
      <w:r>
        <w:rPr>
          <w:snapToGrid w:val="0"/>
        </w:rPr>
        <w:t>.</w:t>
      </w:r>
      <w:r>
        <w:rPr>
          <w:snapToGrid w:val="0"/>
        </w:rPr>
        <w:tab/>
        <w:t>Offices created</w:t>
      </w:r>
      <w:r>
        <w:tab/>
      </w:r>
      <w:r>
        <w:fldChar w:fldCharType="begin"/>
      </w:r>
      <w:r>
        <w:instrText xml:space="preserve"> PAGEREF _Toc107412231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Appointments</w:t>
      </w:r>
      <w:r>
        <w:tab/>
      </w:r>
      <w:r>
        <w:fldChar w:fldCharType="begin"/>
      </w:r>
      <w:r>
        <w:instrText xml:space="preserve"> PAGEREF _Toc107412232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Director may perform Director’s functions</w:t>
      </w:r>
      <w:r>
        <w:tab/>
      </w:r>
      <w:r>
        <w:fldChar w:fldCharType="begin"/>
      </w:r>
      <w:r>
        <w:instrText xml:space="preserve"> PAGEREF _Toc107412233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Tenure, salary etc. (Sch. 1)</w:t>
      </w:r>
      <w:r>
        <w:tab/>
      </w:r>
      <w:r>
        <w:fldChar w:fldCharType="begin"/>
      </w:r>
      <w:r>
        <w:instrText xml:space="preserve"> PAGEREF _Toc107412234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Acting appointments</w:t>
      </w:r>
      <w:r>
        <w:tab/>
      </w:r>
      <w:r>
        <w:fldChar w:fldCharType="begin"/>
      </w:r>
      <w:r>
        <w:instrText xml:space="preserve"> PAGEREF _Toc107412235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Judicial notice of appointment and signature</w:t>
      </w:r>
      <w:r>
        <w:tab/>
      </w:r>
      <w:r>
        <w:fldChar w:fldCharType="begin"/>
      </w:r>
      <w:r>
        <w:instrText xml:space="preserve"> PAGEREF _Toc107412236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Director</w:t>
      </w:r>
    </w:p>
    <w:p>
      <w:pPr>
        <w:pStyle w:val="TOC8"/>
        <w:rPr>
          <w:rFonts w:asciiTheme="minorHAnsi" w:eastAsiaTheme="minorEastAsia" w:hAnsiTheme="minorHAnsi" w:cstheme="minorBidi"/>
          <w:szCs w:val="22"/>
        </w:rPr>
      </w:pPr>
      <w:r>
        <w:t>10</w:t>
      </w:r>
      <w:r>
        <w:rPr>
          <w:snapToGrid w:val="0"/>
        </w:rPr>
        <w:t>.</w:t>
      </w:r>
      <w:r>
        <w:rPr>
          <w:snapToGrid w:val="0"/>
        </w:rPr>
        <w:tab/>
        <w:t>General principles as to performance of functions</w:t>
      </w:r>
      <w:r>
        <w:tab/>
      </w:r>
      <w:r>
        <w:fldChar w:fldCharType="begin"/>
      </w:r>
      <w:r>
        <w:instrText xml:space="preserve"> PAGEREF _Toc107412238 \h </w:instrText>
      </w:r>
      <w:r>
        <w:fldChar w:fldCharType="separate"/>
      </w:r>
      <w:r>
        <w:t>6</w:t>
      </w:r>
      <w:r>
        <w:fldChar w:fldCharType="end"/>
      </w:r>
    </w:p>
    <w:p>
      <w:pPr>
        <w:pStyle w:val="TOC8"/>
        <w:rPr>
          <w:rFonts w:asciiTheme="minorHAnsi" w:eastAsiaTheme="minorEastAsia" w:hAnsiTheme="minorHAnsi" w:cstheme="minorBidi"/>
          <w:szCs w:val="22"/>
        </w:rPr>
      </w:pPr>
      <w:r>
        <w:t>11.</w:t>
      </w:r>
      <w:r>
        <w:tab/>
        <w:t>Prosecutions</w:t>
      </w:r>
      <w:r>
        <w:tab/>
      </w:r>
      <w:r>
        <w:fldChar w:fldCharType="begin"/>
      </w:r>
      <w:r>
        <w:instrText xml:space="preserve"> PAGEREF _Toc107412239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Appeals etc. as to prosecutions</w:t>
      </w:r>
      <w:r>
        <w:tab/>
      </w:r>
      <w:r>
        <w:fldChar w:fldCharType="begin"/>
      </w:r>
      <w:r>
        <w:instrText xml:space="preserve"> PAGEREF _Toc107412240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Extraditions</w:t>
      </w:r>
      <w:r>
        <w:tab/>
      </w:r>
      <w:r>
        <w:fldChar w:fldCharType="begin"/>
      </w:r>
      <w:r>
        <w:instrText xml:space="preserve"> PAGEREF _Toc107412241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Inquests</w:t>
      </w:r>
      <w:r>
        <w:tab/>
      </w:r>
      <w:r>
        <w:fldChar w:fldCharType="begin"/>
      </w:r>
      <w:r>
        <w:instrText xml:space="preserve"> PAGEREF _Toc107412242 \h </w:instrText>
      </w:r>
      <w:r>
        <w:fldChar w:fldCharType="separate"/>
      </w:r>
      <w:r>
        <w:t>7</w:t>
      </w:r>
      <w:r>
        <w:fldChar w:fldCharType="end"/>
      </w:r>
    </w:p>
    <w:p>
      <w:pPr>
        <w:pStyle w:val="TOC8"/>
        <w:rPr>
          <w:rFonts w:asciiTheme="minorHAnsi" w:eastAsiaTheme="minorEastAsia" w:hAnsiTheme="minorHAnsi" w:cstheme="minorBidi"/>
          <w:szCs w:val="22"/>
        </w:rPr>
      </w:pPr>
      <w:r>
        <w:t>15A.</w:t>
      </w:r>
      <w:r>
        <w:tab/>
        <w:t xml:space="preserve">Proceedings under </w:t>
      </w:r>
      <w:r>
        <w:rPr>
          <w:i/>
        </w:rPr>
        <w:t>High Risk Serious Offenders Act 2020</w:t>
      </w:r>
      <w:r>
        <w:tab/>
      </w:r>
      <w:r>
        <w:fldChar w:fldCharType="begin"/>
      </w:r>
      <w:r>
        <w:instrText xml:space="preserve"> PAGEREF _Toc107412243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Recovery of penalties etc.; proceedings under </w:t>
      </w:r>
      <w:r>
        <w:rPr>
          <w:i/>
          <w:snapToGrid w:val="0"/>
        </w:rPr>
        <w:t>Criminal Property Confiscation Act 2000</w:t>
      </w:r>
      <w:r>
        <w:tab/>
      </w:r>
      <w:r>
        <w:fldChar w:fldCharType="begin"/>
      </w:r>
      <w:r>
        <w:instrText xml:space="preserve"> PAGEREF _Toc107412244 \h </w:instrText>
      </w:r>
      <w:r>
        <w:fldChar w:fldCharType="separate"/>
      </w:r>
      <w:r>
        <w:t>8</w:t>
      </w:r>
      <w:r>
        <w:fldChar w:fldCharType="end"/>
      </w:r>
    </w:p>
    <w:p>
      <w:pPr>
        <w:pStyle w:val="TOC8"/>
        <w:rPr>
          <w:rFonts w:asciiTheme="minorHAnsi" w:eastAsiaTheme="minorEastAsia" w:hAnsiTheme="minorHAnsi" w:cstheme="minorBidi"/>
          <w:szCs w:val="22"/>
        </w:rPr>
      </w:pPr>
      <w:r>
        <w:t>16A.</w:t>
      </w:r>
      <w:r>
        <w:tab/>
        <w:t>Prosecuting offences of other jurisdictions</w:t>
      </w:r>
      <w:r>
        <w:tab/>
      </w:r>
      <w:r>
        <w:fldChar w:fldCharType="begin"/>
      </w:r>
      <w:r>
        <w:instrText xml:space="preserve"> PAGEREF _Toc107412245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Assistance to officers of other jurisdictions</w:t>
      </w:r>
      <w:r>
        <w:tab/>
      </w:r>
      <w:r>
        <w:fldChar w:fldCharType="begin"/>
      </w:r>
      <w:r>
        <w:instrText xml:space="preserve"> PAGEREF _Toc107412246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Additional and related functions</w:t>
      </w:r>
      <w:r>
        <w:tab/>
      </w:r>
      <w:r>
        <w:fldChar w:fldCharType="begin"/>
      </w:r>
      <w:r>
        <w:instrText xml:space="preserve"> PAGEREF _Toc107412247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Taking over matters under s. 11 or 13, manner of</w:t>
      </w:r>
      <w:r>
        <w:tab/>
      </w:r>
      <w:r>
        <w:fldChar w:fldCharType="begin"/>
      </w:r>
      <w:r>
        <w:instrText xml:space="preserve"> PAGEREF _Toc107412248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Powers of Director</w:t>
      </w:r>
      <w:r>
        <w:tab/>
      </w:r>
      <w:r>
        <w:fldChar w:fldCharType="begin"/>
      </w:r>
      <w:r>
        <w:instrText xml:space="preserve"> PAGEREF _Toc107412249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Appearance by Director</w:t>
      </w:r>
      <w:r>
        <w:tab/>
      </w:r>
      <w:r>
        <w:fldChar w:fldCharType="begin"/>
      </w:r>
      <w:r>
        <w:instrText xml:space="preserve"> PAGEREF _Toc107412250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Information from other officials, Director may request</w:t>
      </w:r>
      <w:r>
        <w:tab/>
      </w:r>
      <w:r>
        <w:fldChar w:fldCharType="begin"/>
      </w:r>
      <w:r>
        <w:instrText xml:space="preserve"> PAGEREF _Toc107412251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other officials, Director may limit</w:t>
      </w:r>
      <w:r>
        <w:tab/>
      </w:r>
      <w:r>
        <w:fldChar w:fldCharType="begin"/>
      </w:r>
      <w:r>
        <w:instrText xml:space="preserve"> PAGEREF _Toc107412252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Guidelines as to Director’s functions, Director may issue</w:t>
      </w:r>
      <w:r>
        <w:tab/>
      </w:r>
      <w:r>
        <w:fldChar w:fldCharType="begin"/>
      </w:r>
      <w:r>
        <w:instrText xml:space="preserve"> PAGEREF _Toc107412253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Relationship with Attorney General</w:t>
      </w:r>
    </w:p>
    <w:p>
      <w:pPr>
        <w:pStyle w:val="TOC8"/>
        <w:rPr>
          <w:rFonts w:asciiTheme="minorHAnsi" w:eastAsiaTheme="minorEastAsia" w:hAnsiTheme="minorHAnsi" w:cstheme="minorBidi"/>
          <w:szCs w:val="22"/>
        </w:rPr>
      </w:pPr>
      <w:r>
        <w:t>25</w:t>
      </w:r>
      <w:r>
        <w:rPr>
          <w:snapToGrid w:val="0"/>
        </w:rPr>
        <w:t>.</w:t>
      </w:r>
      <w:r>
        <w:rPr>
          <w:snapToGrid w:val="0"/>
        </w:rPr>
        <w:tab/>
        <w:t>General freedom from direction</w:t>
      </w:r>
      <w:r>
        <w:tab/>
      </w:r>
      <w:r>
        <w:fldChar w:fldCharType="begin"/>
      </w:r>
      <w:r>
        <w:instrText xml:space="preserve"> PAGEREF _Toc107412255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Consultation</w:t>
      </w:r>
      <w:r>
        <w:tab/>
      </w:r>
      <w:r>
        <w:fldChar w:fldCharType="begin"/>
      </w:r>
      <w:r>
        <w:instrText xml:space="preserve"> PAGEREF _Toc107412256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by Attorney General</w:t>
      </w:r>
      <w:r>
        <w:tab/>
      </w:r>
      <w:r>
        <w:fldChar w:fldCharType="begin"/>
      </w:r>
      <w:r>
        <w:instrText xml:space="preserve"> PAGEREF _Toc107412257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Director to act consistently with Attorney General</w:t>
      </w:r>
      <w:r>
        <w:tab/>
      </w:r>
      <w:r>
        <w:fldChar w:fldCharType="begin"/>
      </w:r>
      <w:r>
        <w:instrText xml:space="preserve"> PAGEREF _Toc107412258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Director to give Attorney General information</w:t>
      </w:r>
      <w:r>
        <w:tab/>
      </w:r>
      <w:r>
        <w:fldChar w:fldCharType="begin"/>
      </w:r>
      <w:r>
        <w:instrText xml:space="preserve"> PAGEREF _Toc107412259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rPr>
          <w:snapToGrid w:val="0"/>
        </w:rPr>
        <w:t>.</w:t>
      </w:r>
      <w:r>
        <w:rPr>
          <w:snapToGrid w:val="0"/>
        </w:rPr>
        <w:tab/>
        <w:t>Staff for Director</w:t>
      </w:r>
      <w:r>
        <w:tab/>
      </w:r>
      <w:r>
        <w:fldChar w:fldCharType="begin"/>
      </w:r>
      <w:r>
        <w:instrText xml:space="preserve"> PAGEREF _Toc107412261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Delegation by Director</w:t>
      </w:r>
      <w:r>
        <w:tab/>
      </w:r>
      <w:r>
        <w:fldChar w:fldCharType="begin"/>
      </w:r>
      <w:r>
        <w:instrText xml:space="preserve"> PAGEREF _Toc107412262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Annual report of Director</w:t>
      </w:r>
      <w:r>
        <w:tab/>
      </w:r>
      <w:r>
        <w:fldChar w:fldCharType="begin"/>
      </w:r>
      <w:r>
        <w:instrText xml:space="preserve"> PAGEREF _Toc107412263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Protection from personal liability</w:t>
      </w:r>
      <w:r>
        <w:tab/>
      </w:r>
      <w:r>
        <w:fldChar w:fldCharType="begin"/>
      </w:r>
      <w:r>
        <w:instrText xml:space="preserve"> PAGEREF _Toc107412264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_Toc107412265 \h </w:instrText>
      </w:r>
      <w:r>
        <w:fldChar w:fldCharType="separate"/>
      </w:r>
      <w:r>
        <w:t>17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Savings and transitional</w:t>
      </w:r>
      <w:r>
        <w:tab/>
      </w:r>
      <w:r>
        <w:fldChar w:fldCharType="begin"/>
      </w:r>
      <w:r>
        <w:instrText xml:space="preserve"> PAGEREF _Toc107412266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Tenure, salary, conditions of service, etc., of Director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_Toc107412268 \h </w:instrText>
      </w:r>
      <w:r>
        <w:fldChar w:fldCharType="separate"/>
      </w:r>
      <w:r>
        <w:t>19</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_Toc107412269 \h </w:instrText>
      </w:r>
      <w:r>
        <w:fldChar w:fldCharType="separate"/>
      </w:r>
      <w:r>
        <w:t>19</w:t>
      </w:r>
      <w:r>
        <w:fldChar w:fldCharType="end"/>
      </w:r>
    </w:p>
    <w:p>
      <w:pPr>
        <w:pStyle w:val="TOC8"/>
        <w:rPr>
          <w:rFonts w:asciiTheme="minorHAnsi" w:eastAsiaTheme="minorEastAsia" w:hAnsiTheme="minorHAnsi" w:cstheme="minorBidi"/>
          <w:szCs w:val="22"/>
        </w:rPr>
      </w:pPr>
      <w:r>
        <w:t>3.</w:t>
      </w:r>
      <w:r>
        <w:tab/>
        <w:t>Superannuation</w:t>
      </w:r>
      <w:r>
        <w:tab/>
      </w:r>
      <w:r>
        <w:fldChar w:fldCharType="begin"/>
      </w:r>
      <w:r>
        <w:instrText xml:space="preserve"> PAGEREF _Toc107412270 \h </w:instrText>
      </w:r>
      <w:r>
        <w:fldChar w:fldCharType="separate"/>
      </w:r>
      <w:r>
        <w:t>19</w:t>
      </w:r>
      <w:r>
        <w:fldChar w:fldCharType="end"/>
      </w:r>
    </w:p>
    <w:p>
      <w:pPr>
        <w:pStyle w:val="TOC8"/>
        <w:rPr>
          <w:rFonts w:asciiTheme="minorHAnsi" w:eastAsiaTheme="minorEastAsia" w:hAnsiTheme="minorHAnsi" w:cstheme="minorBidi"/>
          <w:szCs w:val="22"/>
        </w:rPr>
      </w:pPr>
      <w:r>
        <w:t>4.</w:t>
      </w:r>
      <w:r>
        <w:tab/>
        <w:t>Public service officer’s entitlements if appointed</w:t>
      </w:r>
      <w:r>
        <w:tab/>
      </w:r>
      <w:r>
        <w:fldChar w:fldCharType="begin"/>
      </w:r>
      <w:r>
        <w:instrText xml:space="preserve"> PAGEREF _Toc107412271 \h </w:instrText>
      </w:r>
      <w:r>
        <w:fldChar w:fldCharType="separate"/>
      </w:r>
      <w:r>
        <w:t>20</w:t>
      </w:r>
      <w:r>
        <w:fldChar w:fldCharType="end"/>
      </w:r>
    </w:p>
    <w:p>
      <w:pPr>
        <w:pStyle w:val="TOC8"/>
        <w:rPr>
          <w:rFonts w:asciiTheme="minorHAnsi" w:eastAsiaTheme="minorEastAsia" w:hAnsiTheme="minorHAnsi" w:cstheme="minorBidi"/>
          <w:szCs w:val="22"/>
        </w:rPr>
      </w:pPr>
      <w:r>
        <w:t>5.</w:t>
      </w:r>
      <w:r>
        <w:tab/>
        <w:t>Director not do other work; duty to disclose pecuniary interests</w:t>
      </w:r>
      <w:r>
        <w:tab/>
      </w:r>
      <w:r>
        <w:fldChar w:fldCharType="begin"/>
      </w:r>
      <w:r>
        <w:instrText xml:space="preserve"> PAGEREF _Toc107412272 \h </w:instrText>
      </w:r>
      <w:r>
        <w:fldChar w:fldCharType="separate"/>
      </w:r>
      <w:r>
        <w:t>21</w:t>
      </w:r>
      <w:r>
        <w:fldChar w:fldCharType="end"/>
      </w:r>
    </w:p>
    <w:p>
      <w:pPr>
        <w:pStyle w:val="TOC8"/>
        <w:rPr>
          <w:rFonts w:asciiTheme="minorHAnsi" w:eastAsiaTheme="minorEastAsia" w:hAnsiTheme="minorHAnsi" w:cstheme="minorBidi"/>
          <w:szCs w:val="22"/>
        </w:rPr>
      </w:pPr>
      <w:r>
        <w:t>6.</w:t>
      </w:r>
      <w:r>
        <w:tab/>
        <w:t>Removal from office</w:t>
      </w:r>
      <w:r>
        <w:tab/>
      </w:r>
      <w:r>
        <w:fldChar w:fldCharType="begin"/>
      </w:r>
      <w:r>
        <w:instrText xml:space="preserve"> PAGEREF _Toc107412273 \h </w:instrText>
      </w:r>
      <w:r>
        <w:fldChar w:fldCharType="separate"/>
      </w:r>
      <w:r>
        <w:t>21</w:t>
      </w:r>
      <w:r>
        <w:fldChar w:fldCharType="end"/>
      </w:r>
    </w:p>
    <w:p>
      <w:pPr>
        <w:pStyle w:val="TOC8"/>
        <w:rPr>
          <w:rFonts w:asciiTheme="minorHAnsi" w:eastAsiaTheme="minorEastAsia" w:hAnsiTheme="minorHAnsi" w:cstheme="minorBidi"/>
          <w:szCs w:val="22"/>
        </w:rPr>
      </w:pPr>
      <w:r>
        <w:t>7.</w:t>
      </w:r>
      <w:r>
        <w:tab/>
        <w:t>Other conditions of service</w:t>
      </w:r>
      <w:r>
        <w:tab/>
      </w:r>
      <w:r>
        <w:fldChar w:fldCharType="begin"/>
      </w:r>
      <w:r>
        <w:instrText xml:space="preserve"> PAGEREF _Toc107412274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_Toc107412276 \h </w:instrText>
      </w:r>
      <w:r>
        <w:fldChar w:fldCharType="separate"/>
      </w:r>
      <w:r>
        <w:t>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_Toc107412277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_Toc107412278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1200"/>
      </w:pPr>
      <w:r>
        <w:t>Director of Public Prosecutions Act 1991</w:t>
      </w:r>
    </w:p>
    <w:p>
      <w:pPr>
        <w:pStyle w:val="LongTitle"/>
        <w:rPr>
          <w:snapToGrid w:val="0"/>
        </w:rPr>
      </w:pPr>
      <w:r>
        <w:rPr>
          <w:snapToGrid w:val="0"/>
        </w:rPr>
        <w:t>An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3" w:name="_Toc107325242"/>
      <w:bookmarkStart w:id="4" w:name="_Toc107325296"/>
      <w:bookmarkStart w:id="5" w:name="_Toc10741222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7412227"/>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w:t>
      </w:r>
    </w:p>
    <w:p>
      <w:pPr>
        <w:pStyle w:val="Heading5"/>
        <w:rPr>
          <w:snapToGrid w:val="0"/>
        </w:rPr>
      </w:pPr>
      <w:bookmarkStart w:id="7" w:name="_Toc107412228"/>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8" w:name="_Toc107412229"/>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 and</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No. 32 of 1994 s. 19; No. 65 of 2003 s. 31(2); No. 21 of 2008 s. 659(2); No. 9 of 2022 s. 424.]</w:t>
      </w:r>
    </w:p>
    <w:p>
      <w:pPr>
        <w:pStyle w:val="Heading2"/>
      </w:pPr>
      <w:bookmarkStart w:id="9" w:name="_Toc107325246"/>
      <w:bookmarkStart w:id="10" w:name="_Toc107325300"/>
      <w:bookmarkStart w:id="11" w:name="_Toc107412230"/>
      <w:r>
        <w:rPr>
          <w:rStyle w:val="CharPartNo"/>
        </w:rPr>
        <w:lastRenderedPageBreak/>
        <w:t>Part 2</w:t>
      </w:r>
      <w:r>
        <w:rPr>
          <w:rStyle w:val="CharDivNo"/>
        </w:rPr>
        <w:t> </w:t>
      </w:r>
      <w:r>
        <w:t>—</w:t>
      </w:r>
      <w:r>
        <w:rPr>
          <w:rStyle w:val="CharDivText"/>
        </w:rPr>
        <w:t> </w:t>
      </w:r>
      <w:r>
        <w:rPr>
          <w:rStyle w:val="CharPartText"/>
        </w:rPr>
        <w:t>Office of Director, and Deputy Director, of Public Prosecutions</w:t>
      </w:r>
      <w:bookmarkEnd w:id="9"/>
      <w:bookmarkEnd w:id="10"/>
      <w:bookmarkEnd w:id="11"/>
    </w:p>
    <w:p>
      <w:pPr>
        <w:pStyle w:val="Heading5"/>
        <w:rPr>
          <w:snapToGrid w:val="0"/>
        </w:rPr>
      </w:pPr>
      <w:bookmarkStart w:id="12" w:name="_Toc107412231"/>
      <w:r>
        <w:rPr>
          <w:rStyle w:val="CharSectno"/>
        </w:rPr>
        <w:t>4</w:t>
      </w:r>
      <w:r>
        <w:rPr>
          <w:snapToGrid w:val="0"/>
        </w:rPr>
        <w:t>.</w:t>
      </w:r>
      <w:r>
        <w:rPr>
          <w:snapToGrid w:val="0"/>
        </w:rPr>
        <w:tab/>
        <w:t>Offices created</w:t>
      </w:r>
      <w:bookmarkEnd w:id="12"/>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13" w:name="_Toc107412232"/>
      <w:r>
        <w:rPr>
          <w:rStyle w:val="CharSectno"/>
        </w:rPr>
        <w:t>5</w:t>
      </w:r>
      <w:r>
        <w:rPr>
          <w:snapToGrid w:val="0"/>
        </w:rPr>
        <w:t>.</w:t>
      </w:r>
      <w:r>
        <w:rPr>
          <w:snapToGrid w:val="0"/>
        </w:rPr>
        <w:tab/>
        <w:t>Appointments</w:t>
      </w:r>
      <w:bookmarkEnd w:id="13"/>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 lawyer and has had not less than 8 years’ legal experience.</w:t>
      </w:r>
    </w:p>
    <w:p>
      <w:pPr>
        <w:pStyle w:val="Subsection"/>
      </w:pPr>
      <w:r>
        <w:tab/>
        <w:t>(3)</w:t>
      </w:r>
      <w:r>
        <w:tab/>
        <w:t>A person is eligible for appointment to the office of Deputy Director if that person is a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 No. 42 of 1997 s. 8; No. 65 of 2003 s. 110(2); No. 21 of 2008 s. 659(3); No. 9 of 2022 s. 424.]</w:t>
      </w:r>
    </w:p>
    <w:p>
      <w:pPr>
        <w:pStyle w:val="Heading5"/>
        <w:rPr>
          <w:snapToGrid w:val="0"/>
        </w:rPr>
      </w:pPr>
      <w:bookmarkStart w:id="14" w:name="_Toc107412233"/>
      <w:r>
        <w:rPr>
          <w:rStyle w:val="CharSectno"/>
        </w:rPr>
        <w:lastRenderedPageBreak/>
        <w:t>6</w:t>
      </w:r>
      <w:r>
        <w:rPr>
          <w:snapToGrid w:val="0"/>
        </w:rPr>
        <w:t>.</w:t>
      </w:r>
      <w:r>
        <w:rPr>
          <w:snapToGrid w:val="0"/>
        </w:rPr>
        <w:tab/>
        <w:t>Deputy Director may perform Director’s functions</w:t>
      </w:r>
      <w:bookmarkEnd w:id="14"/>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15" w:name="_Toc107412234"/>
      <w:r>
        <w:rPr>
          <w:rStyle w:val="CharSectno"/>
        </w:rPr>
        <w:t>7</w:t>
      </w:r>
      <w:r>
        <w:rPr>
          <w:snapToGrid w:val="0"/>
        </w:rPr>
        <w:t>.</w:t>
      </w:r>
      <w:r>
        <w:rPr>
          <w:snapToGrid w:val="0"/>
        </w:rPr>
        <w:tab/>
        <w:t>Tenure, salary etc. (Sch. 1)</w:t>
      </w:r>
      <w:bookmarkEnd w:id="15"/>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16" w:name="_Toc107412235"/>
      <w:r>
        <w:rPr>
          <w:rStyle w:val="CharSectno"/>
        </w:rPr>
        <w:t>8</w:t>
      </w:r>
      <w:r>
        <w:rPr>
          <w:snapToGrid w:val="0"/>
        </w:rPr>
        <w:t>.</w:t>
      </w:r>
      <w:r>
        <w:rPr>
          <w:snapToGrid w:val="0"/>
        </w:rPr>
        <w:tab/>
        <w:t>Acting appointments</w:t>
      </w:r>
      <w:bookmarkEnd w:id="16"/>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 xml:space="preserve">The Governor may appoint a person who is eligible for appointment as Deputy Director to act in the office of Deputy Director during any period or during all periods when the </w:t>
      </w:r>
      <w:r>
        <w:rPr>
          <w:snapToGrid w:val="0"/>
        </w:rPr>
        <w:lastRenderedPageBreak/>
        <w:t>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 or</w:t>
      </w:r>
    </w:p>
    <w:p>
      <w:pPr>
        <w:pStyle w:val="Indenta"/>
        <w:rPr>
          <w:snapToGrid w:val="0"/>
        </w:rPr>
      </w:pPr>
      <w:r>
        <w:rPr>
          <w:snapToGrid w:val="0"/>
        </w:rPr>
        <w:tab/>
        <w:t>(b)</w:t>
      </w:r>
      <w:r>
        <w:rPr>
          <w:snapToGrid w:val="0"/>
        </w:rPr>
        <w:tab/>
        <w:t>there is a defect or irregularity in the appointment; or</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 8 amended: No. 21 of 2008 s. 659(4) and (5).]</w:t>
      </w:r>
    </w:p>
    <w:p>
      <w:pPr>
        <w:pStyle w:val="Heading5"/>
        <w:rPr>
          <w:snapToGrid w:val="0"/>
        </w:rPr>
      </w:pPr>
      <w:bookmarkStart w:id="17" w:name="_Toc107412236"/>
      <w:r>
        <w:rPr>
          <w:rStyle w:val="CharSectno"/>
        </w:rPr>
        <w:t>9</w:t>
      </w:r>
      <w:r>
        <w:rPr>
          <w:snapToGrid w:val="0"/>
        </w:rPr>
        <w:t>.</w:t>
      </w:r>
      <w:r>
        <w:rPr>
          <w:snapToGrid w:val="0"/>
        </w:rPr>
        <w:tab/>
        <w:t>Judicial notice of appointment and signature</w:t>
      </w:r>
      <w:bookmarkEnd w:id="17"/>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18" w:name="_Toc107325253"/>
      <w:bookmarkStart w:id="19" w:name="_Toc107325307"/>
      <w:bookmarkStart w:id="20" w:name="_Toc107412237"/>
      <w:r>
        <w:rPr>
          <w:rStyle w:val="CharPartNo"/>
        </w:rPr>
        <w:lastRenderedPageBreak/>
        <w:t>Part 3</w:t>
      </w:r>
      <w:r>
        <w:rPr>
          <w:rStyle w:val="CharDivNo"/>
        </w:rPr>
        <w:t> </w:t>
      </w:r>
      <w:r>
        <w:t>—</w:t>
      </w:r>
      <w:r>
        <w:rPr>
          <w:rStyle w:val="CharDivText"/>
        </w:rPr>
        <w:t> </w:t>
      </w:r>
      <w:r>
        <w:rPr>
          <w:rStyle w:val="CharPartText"/>
        </w:rPr>
        <w:t>Functions of Director</w:t>
      </w:r>
      <w:bookmarkEnd w:id="18"/>
      <w:bookmarkEnd w:id="19"/>
      <w:bookmarkEnd w:id="20"/>
    </w:p>
    <w:p>
      <w:pPr>
        <w:pStyle w:val="Heading5"/>
        <w:rPr>
          <w:snapToGrid w:val="0"/>
        </w:rPr>
      </w:pPr>
      <w:bookmarkStart w:id="21" w:name="_Toc107412238"/>
      <w:r>
        <w:rPr>
          <w:rStyle w:val="CharSectno"/>
        </w:rPr>
        <w:t>10</w:t>
      </w:r>
      <w:r>
        <w:rPr>
          <w:snapToGrid w:val="0"/>
        </w:rPr>
        <w:t>.</w:t>
      </w:r>
      <w:r>
        <w:rPr>
          <w:snapToGrid w:val="0"/>
        </w:rPr>
        <w:tab/>
        <w:t>General principles as to performance of functions</w:t>
      </w:r>
      <w:bookmarkEnd w:id="21"/>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No. 65 of 2003 s. 124(2).]</w:t>
      </w:r>
    </w:p>
    <w:p>
      <w:pPr>
        <w:pStyle w:val="Heading5"/>
      </w:pPr>
      <w:bookmarkStart w:id="22" w:name="_Toc107412239"/>
      <w:r>
        <w:rPr>
          <w:rStyle w:val="CharSectno"/>
        </w:rPr>
        <w:t>11</w:t>
      </w:r>
      <w:r>
        <w:t>.</w:t>
      </w:r>
      <w:r>
        <w:tab/>
        <w:t>Prosecutions</w:t>
      </w:r>
      <w:bookmarkEnd w:id="22"/>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 or</w:t>
      </w:r>
    </w:p>
    <w:p>
      <w:pPr>
        <w:pStyle w:val="Indenta"/>
      </w:pPr>
      <w:r>
        <w:tab/>
        <w:t>(b)</w:t>
      </w:r>
      <w:r>
        <w:tab/>
        <w:t>prescribes who can commence a prosecution; or</w:t>
      </w:r>
    </w:p>
    <w:p>
      <w:pPr>
        <w:pStyle w:val="Indenta"/>
        <w:keepNext/>
      </w:pPr>
      <w:r>
        <w:lastRenderedPageBreak/>
        <w:tab/>
        <w:t>(c)</w:t>
      </w:r>
      <w:r>
        <w:tab/>
        <w:t>prescribes a manner in which a prosecution may be commenced; or</w:t>
      </w:r>
    </w:p>
    <w:p>
      <w:pPr>
        <w:pStyle w:val="Indenta"/>
      </w:pPr>
      <w:r>
        <w:tab/>
        <w:t>(d)</w:t>
      </w:r>
      <w:r>
        <w:tab/>
        <w:t>does more than one of those things.</w:t>
      </w:r>
    </w:p>
    <w:p>
      <w:pPr>
        <w:pStyle w:val="Footnotesection"/>
        <w:ind w:left="890" w:hanging="890"/>
      </w:pPr>
      <w:r>
        <w:tab/>
        <w:t>[Section 11 inserted: No. 21 of 2004 s. 3.]</w:t>
      </w:r>
    </w:p>
    <w:p>
      <w:pPr>
        <w:pStyle w:val="Ednotesection"/>
        <w:ind w:left="0" w:firstLine="0"/>
      </w:pPr>
      <w:r>
        <w:t>[</w:t>
      </w:r>
      <w:r>
        <w:rPr>
          <w:b/>
        </w:rPr>
        <w:t>12.</w:t>
      </w:r>
      <w:r>
        <w:tab/>
        <w:t>Deleted: No. 21 of 2004 s. 4.]</w:t>
      </w:r>
    </w:p>
    <w:p>
      <w:pPr>
        <w:pStyle w:val="Heading5"/>
        <w:rPr>
          <w:snapToGrid w:val="0"/>
        </w:rPr>
      </w:pPr>
      <w:bookmarkStart w:id="23" w:name="_Toc107412240"/>
      <w:r>
        <w:rPr>
          <w:rStyle w:val="CharSectno"/>
        </w:rPr>
        <w:t>13</w:t>
      </w:r>
      <w:r>
        <w:rPr>
          <w:snapToGrid w:val="0"/>
        </w:rPr>
        <w:t>.</w:t>
      </w:r>
      <w:r>
        <w:rPr>
          <w:snapToGrid w:val="0"/>
        </w:rPr>
        <w:tab/>
        <w:t>Appeals etc. as to prosecutions</w:t>
      </w:r>
      <w:bookmarkEnd w:id="23"/>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r>
        <w:tab/>
        <w:t>[Section 13 amended: No. 21 of 2004 s. 5; No. 84 of 2004 s. 31.]</w:t>
      </w:r>
    </w:p>
    <w:p>
      <w:pPr>
        <w:pStyle w:val="Heading5"/>
        <w:rPr>
          <w:snapToGrid w:val="0"/>
        </w:rPr>
      </w:pPr>
      <w:bookmarkStart w:id="24" w:name="_Toc107412241"/>
      <w:r>
        <w:rPr>
          <w:rStyle w:val="CharSectno"/>
        </w:rPr>
        <w:t>14</w:t>
      </w:r>
      <w:r>
        <w:rPr>
          <w:snapToGrid w:val="0"/>
        </w:rPr>
        <w:t>.</w:t>
      </w:r>
      <w:r>
        <w:rPr>
          <w:snapToGrid w:val="0"/>
        </w:rPr>
        <w:tab/>
        <w:t>Extraditions</w:t>
      </w:r>
      <w:bookmarkEnd w:id="24"/>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25" w:name="_Toc107412242"/>
      <w:r>
        <w:rPr>
          <w:rStyle w:val="CharSectno"/>
        </w:rPr>
        <w:t>15</w:t>
      </w:r>
      <w:r>
        <w:rPr>
          <w:snapToGrid w:val="0"/>
        </w:rPr>
        <w:t>.</w:t>
      </w:r>
      <w:r>
        <w:rPr>
          <w:snapToGrid w:val="0"/>
        </w:rPr>
        <w:tab/>
        <w:t>Inquests</w:t>
      </w:r>
      <w:bookmarkEnd w:id="25"/>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keepNext/>
        <w:rPr>
          <w:snapToGrid w:val="0"/>
        </w:rPr>
      </w:pPr>
      <w:r>
        <w:rPr>
          <w:snapToGrid w:val="0"/>
        </w:rPr>
        <w:tab/>
        <w:t>(b)</w:t>
      </w:r>
      <w:r>
        <w:rPr>
          <w:snapToGrid w:val="0"/>
        </w:rPr>
        <w:tab/>
        <w:t>with the concurrence of a coroner, to assist a coroner,</w:t>
      </w:r>
    </w:p>
    <w:p>
      <w:pPr>
        <w:pStyle w:val="Subsection"/>
        <w:spacing w:before="120"/>
        <w:rPr>
          <w:snapToGrid w:val="0"/>
        </w:rPr>
      </w:pPr>
      <w:r>
        <w:rPr>
          <w:snapToGrid w:val="0"/>
        </w:rPr>
        <w:tab/>
      </w:r>
      <w:r>
        <w:rPr>
          <w:snapToGrid w:val="0"/>
        </w:rPr>
        <w:tab/>
        <w:t xml:space="preserve">if the Director considers that in a particular case such participation or assistance is relevant to the performance of </w:t>
      </w:r>
      <w:r>
        <w:rPr>
          <w:snapToGrid w:val="0"/>
        </w:rPr>
        <w:lastRenderedPageBreak/>
        <w:t>some other function of the Director and is justified by the circumstances of that case.</w:t>
      </w:r>
    </w:p>
    <w:p>
      <w:pPr>
        <w:pStyle w:val="Footnotesection"/>
      </w:pPr>
      <w:r>
        <w:tab/>
        <w:t>[Section 15 amended: No. 2 of 1996 s. 61.]</w:t>
      </w:r>
    </w:p>
    <w:p>
      <w:pPr>
        <w:pStyle w:val="Heading5"/>
      </w:pPr>
      <w:bookmarkStart w:id="26" w:name="_Toc107412243"/>
      <w:r>
        <w:rPr>
          <w:rStyle w:val="CharSectno"/>
        </w:rPr>
        <w:t>15A</w:t>
      </w:r>
      <w:r>
        <w:t>.</w:t>
      </w:r>
      <w:r>
        <w:tab/>
        <w:t xml:space="preserve">Proceedings under </w:t>
      </w:r>
      <w:r>
        <w:rPr>
          <w:i/>
        </w:rPr>
        <w:t>High Risk Serious Offenders Act 2020</w:t>
      </w:r>
      <w:bookmarkEnd w:id="26"/>
    </w:p>
    <w:p>
      <w:pPr>
        <w:pStyle w:val="Subsection"/>
      </w:pPr>
      <w:r>
        <w:tab/>
        <w:t>(1)</w:t>
      </w:r>
      <w:r>
        <w:tab/>
        <w:t xml:space="preserve">It is a function of the Director to make applications and take other proceedings as authorised under the </w:t>
      </w:r>
      <w:r>
        <w:rPr>
          <w:i/>
        </w:rPr>
        <w:t xml:space="preserve">High Risk Serious Offenders Act 2020 </w:t>
      </w:r>
      <w:r>
        <w:t>section 11(2).</w:t>
      </w:r>
    </w:p>
    <w:p>
      <w:pPr>
        <w:pStyle w:val="Subsection"/>
      </w:pPr>
      <w:r>
        <w:tab/>
        <w:t>(2)</w:t>
      </w:r>
      <w:r>
        <w:tab/>
        <w:t xml:space="preserve">Despite section 10(1)(a), the Director must make applications and take other proceedings as authorised under the </w:t>
      </w:r>
      <w:r>
        <w:rPr>
          <w:i/>
        </w:rPr>
        <w:t xml:space="preserve">High Risk Serious Offenders Act 2020 </w:t>
      </w:r>
      <w:r>
        <w:t>section 11(2) in the name of the State.</w:t>
      </w:r>
    </w:p>
    <w:p>
      <w:pPr>
        <w:pStyle w:val="Footnotesection"/>
      </w:pPr>
      <w:r>
        <w:tab/>
        <w:t>[Section 15A inserted: No. 29 of 2020 s. 118(2).]</w:t>
      </w:r>
    </w:p>
    <w:p>
      <w:pPr>
        <w:pStyle w:val="Heading5"/>
        <w:rPr>
          <w:snapToGrid w:val="0"/>
        </w:rPr>
      </w:pPr>
      <w:bookmarkStart w:id="27" w:name="_Toc107412244"/>
      <w:r>
        <w:rPr>
          <w:rStyle w:val="CharSectno"/>
        </w:rPr>
        <w:t>16</w:t>
      </w:r>
      <w:r>
        <w:rPr>
          <w:snapToGrid w:val="0"/>
        </w:rPr>
        <w:t>.</w:t>
      </w:r>
      <w:r>
        <w:rPr>
          <w:snapToGrid w:val="0"/>
        </w:rPr>
        <w:tab/>
        <w:t xml:space="preserve">Recovery of penalties etc.; proceedings under </w:t>
      </w:r>
      <w:r>
        <w:rPr>
          <w:i/>
          <w:snapToGrid w:val="0"/>
        </w:rPr>
        <w:t>Criminal Property Confiscation Act 2000</w:t>
      </w:r>
      <w:bookmarkEnd w:id="27"/>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keepNext/>
      </w:pPr>
      <w:r>
        <w:tab/>
        <w:t>(3)</w:t>
      </w:r>
      <w:r>
        <w:tab/>
        <w:t xml:space="preserve">Without limiting subsection (1), except as otherwise explicitly provided in the </w:t>
      </w:r>
      <w:r>
        <w:rPr>
          <w:i/>
        </w:rPr>
        <w:t>Criminal Property Confiscation Act 2000</w:t>
      </w:r>
      <w:r>
        <w:t xml:space="preserve"> (in </w:t>
      </w:r>
      <w:r>
        <w:lastRenderedPageBreak/>
        <w:t xml:space="preserve">this subsection called the </w:t>
      </w:r>
      <w:r>
        <w:rPr>
          <w:rStyle w:val="CharDefText"/>
        </w:rPr>
        <w:t>Confiscation Act</w:t>
      </w:r>
      <w:r>
        <w:t>), it is a function of the Director to take any proceedings —</w:t>
      </w:r>
    </w:p>
    <w:p>
      <w:pPr>
        <w:pStyle w:val="Indenta"/>
      </w:pPr>
      <w:r>
        <w:tab/>
        <w:t>(a)</w:t>
      </w:r>
      <w:r>
        <w:tab/>
        <w:t>that arise under the Confiscation Act; or</w:t>
      </w:r>
    </w:p>
    <w:p>
      <w:pPr>
        <w:pStyle w:val="Indenta"/>
      </w:pPr>
      <w:r>
        <w:tab/>
        <w:t>(b)</w:t>
      </w:r>
      <w:r>
        <w:tab/>
        <w:t>that arise from proceedings under the Confiscation Act; or</w:t>
      </w:r>
    </w:p>
    <w:p>
      <w:pPr>
        <w:pStyle w:val="Indenta"/>
      </w:pPr>
      <w:r>
        <w:tab/>
        <w:t>(c)</w:t>
      </w:r>
      <w:r>
        <w:tab/>
        <w:t>that are required to give effect to a freezing notice under the Confiscation Act; or</w:t>
      </w:r>
    </w:p>
    <w:p>
      <w:pPr>
        <w:pStyle w:val="Indenta"/>
      </w:pPr>
      <w:r>
        <w:tab/>
        <w:t>(d)</w:t>
      </w:r>
      <w:r>
        <w:tab/>
        <w:t>that are required to give effect to an order of a court under the Confiscation Act or a declaration of a court under the Confiscation Act; or</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 or</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ind w:left="890" w:hanging="890"/>
      </w:pPr>
      <w:r>
        <w:tab/>
        <w:t>[Section 16 amended: No. 69 of 2000 s. 12(1) and (2).]</w:t>
      </w:r>
    </w:p>
    <w:p>
      <w:pPr>
        <w:pStyle w:val="Heading5"/>
      </w:pPr>
      <w:bookmarkStart w:id="28" w:name="_Toc107412245"/>
      <w:r>
        <w:t>16A.</w:t>
      </w:r>
      <w:r>
        <w:tab/>
        <w:t>Prosecuting offences of other jurisdictions</w:t>
      </w:r>
      <w:bookmarkEnd w:id="28"/>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lastRenderedPageBreak/>
        <w:tab/>
        <w:t>[Section 16A inserted: No. 84 of 2004 s. 30.]</w:t>
      </w:r>
    </w:p>
    <w:p>
      <w:pPr>
        <w:pStyle w:val="Heading5"/>
        <w:rPr>
          <w:snapToGrid w:val="0"/>
        </w:rPr>
      </w:pPr>
      <w:bookmarkStart w:id="29" w:name="_Toc107412246"/>
      <w:r>
        <w:rPr>
          <w:rStyle w:val="CharSectno"/>
        </w:rPr>
        <w:t>17</w:t>
      </w:r>
      <w:r>
        <w:rPr>
          <w:snapToGrid w:val="0"/>
        </w:rPr>
        <w:t>.</w:t>
      </w:r>
      <w:r>
        <w:rPr>
          <w:snapToGrid w:val="0"/>
        </w:rPr>
        <w:tab/>
        <w:t>Assistance to officers of other jurisdictions</w:t>
      </w:r>
      <w:bookmarkEnd w:id="29"/>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30" w:name="_Toc107412247"/>
      <w:r>
        <w:rPr>
          <w:rStyle w:val="CharSectno"/>
        </w:rPr>
        <w:t>18</w:t>
      </w:r>
      <w:r>
        <w:rPr>
          <w:snapToGrid w:val="0"/>
        </w:rPr>
        <w:t>.</w:t>
      </w:r>
      <w:r>
        <w:rPr>
          <w:snapToGrid w:val="0"/>
        </w:rPr>
        <w:tab/>
        <w:t>Additional and related functions</w:t>
      </w:r>
      <w:bookmarkEnd w:id="30"/>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31" w:name="_Toc107412248"/>
      <w:r>
        <w:rPr>
          <w:rStyle w:val="CharSectno"/>
        </w:rPr>
        <w:t>19</w:t>
      </w:r>
      <w:r>
        <w:rPr>
          <w:snapToGrid w:val="0"/>
        </w:rPr>
        <w:t>.</w:t>
      </w:r>
      <w:r>
        <w:rPr>
          <w:snapToGrid w:val="0"/>
        </w:rPr>
        <w:tab/>
        <w:t>Taking over matters under s. 11 or 13, manner of</w:t>
      </w:r>
      <w:bookmarkEnd w:id="31"/>
    </w:p>
    <w:p>
      <w:pPr>
        <w:pStyle w:val="Subsection"/>
        <w:keepNext/>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lastRenderedPageBreak/>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r>
        <w:tab/>
        <w:t>[Section 19 amended: No. 21 of 2004 s. 6; No. 84 of 2004 s. 80.]</w:t>
      </w:r>
    </w:p>
    <w:p>
      <w:pPr>
        <w:pStyle w:val="Heading5"/>
        <w:rPr>
          <w:snapToGrid w:val="0"/>
        </w:rPr>
      </w:pPr>
      <w:bookmarkStart w:id="32" w:name="_Toc107412249"/>
      <w:r>
        <w:rPr>
          <w:rStyle w:val="CharSectno"/>
        </w:rPr>
        <w:t>20</w:t>
      </w:r>
      <w:r>
        <w:rPr>
          <w:snapToGrid w:val="0"/>
        </w:rPr>
        <w:t>.</w:t>
      </w:r>
      <w:r>
        <w:rPr>
          <w:snapToGrid w:val="0"/>
        </w:rPr>
        <w:tab/>
        <w:t>Powers of Director</w:t>
      </w:r>
      <w:bookmarkEnd w:id="32"/>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33" w:name="_Toc107412250"/>
      <w:r>
        <w:rPr>
          <w:rStyle w:val="CharSectno"/>
        </w:rPr>
        <w:lastRenderedPageBreak/>
        <w:t>21</w:t>
      </w:r>
      <w:r>
        <w:rPr>
          <w:snapToGrid w:val="0"/>
        </w:rPr>
        <w:t>.</w:t>
      </w:r>
      <w:r>
        <w:rPr>
          <w:snapToGrid w:val="0"/>
        </w:rPr>
        <w:tab/>
        <w:t>Appearance by Director</w:t>
      </w:r>
      <w:bookmarkEnd w:id="33"/>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No. 59 of 2004 s. 141.]</w:t>
      </w:r>
    </w:p>
    <w:p>
      <w:pPr>
        <w:pStyle w:val="Heading5"/>
        <w:rPr>
          <w:snapToGrid w:val="0"/>
        </w:rPr>
      </w:pPr>
      <w:bookmarkStart w:id="34" w:name="_Toc107412251"/>
      <w:r>
        <w:rPr>
          <w:rStyle w:val="CharSectno"/>
        </w:rPr>
        <w:t>22</w:t>
      </w:r>
      <w:r>
        <w:rPr>
          <w:snapToGrid w:val="0"/>
        </w:rPr>
        <w:t>.</w:t>
      </w:r>
      <w:r>
        <w:rPr>
          <w:snapToGrid w:val="0"/>
        </w:rPr>
        <w:tab/>
        <w:t>Information from other officials, Director may request</w:t>
      </w:r>
      <w:bookmarkEnd w:id="34"/>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35" w:name="_Toc107412252"/>
      <w:r>
        <w:rPr>
          <w:rStyle w:val="CharSectno"/>
        </w:rPr>
        <w:lastRenderedPageBreak/>
        <w:t>23</w:t>
      </w:r>
      <w:r>
        <w:rPr>
          <w:snapToGrid w:val="0"/>
        </w:rPr>
        <w:t>.</w:t>
      </w:r>
      <w:r>
        <w:rPr>
          <w:snapToGrid w:val="0"/>
        </w:rPr>
        <w:tab/>
        <w:t>Powers of other officials, Director may limit</w:t>
      </w:r>
      <w:bookmarkEnd w:id="35"/>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r>
        <w:tab/>
        <w:t>[Section 23 amended: No. 21 of 2004 s. 7.]</w:t>
      </w:r>
    </w:p>
    <w:p>
      <w:pPr>
        <w:pStyle w:val="Heading5"/>
        <w:rPr>
          <w:snapToGrid w:val="0"/>
        </w:rPr>
      </w:pPr>
      <w:bookmarkStart w:id="36" w:name="_Toc107412253"/>
      <w:r>
        <w:rPr>
          <w:rStyle w:val="CharSectno"/>
        </w:rPr>
        <w:t>24</w:t>
      </w:r>
      <w:r>
        <w:rPr>
          <w:snapToGrid w:val="0"/>
        </w:rPr>
        <w:t>.</w:t>
      </w:r>
      <w:r>
        <w:rPr>
          <w:snapToGrid w:val="0"/>
        </w:rPr>
        <w:tab/>
        <w:t>Guidelines as to Director’s functions, Director may issue</w:t>
      </w:r>
      <w:bookmarkEnd w:id="36"/>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37" w:name="_Toc107325270"/>
      <w:bookmarkStart w:id="38" w:name="_Toc107325324"/>
      <w:bookmarkStart w:id="39" w:name="_Toc107412254"/>
      <w:r>
        <w:rPr>
          <w:rStyle w:val="CharPartNo"/>
        </w:rPr>
        <w:lastRenderedPageBreak/>
        <w:t>Part 4</w:t>
      </w:r>
      <w:r>
        <w:rPr>
          <w:rStyle w:val="CharDivNo"/>
        </w:rPr>
        <w:t> </w:t>
      </w:r>
      <w:r>
        <w:t>—</w:t>
      </w:r>
      <w:r>
        <w:rPr>
          <w:rStyle w:val="CharDivText"/>
        </w:rPr>
        <w:t> </w:t>
      </w:r>
      <w:r>
        <w:rPr>
          <w:rStyle w:val="CharPartText"/>
        </w:rPr>
        <w:t>Relationship with Attorney General</w:t>
      </w:r>
      <w:bookmarkEnd w:id="37"/>
      <w:bookmarkEnd w:id="38"/>
      <w:bookmarkEnd w:id="39"/>
    </w:p>
    <w:p>
      <w:pPr>
        <w:pStyle w:val="Heading5"/>
        <w:spacing w:before="240"/>
        <w:rPr>
          <w:snapToGrid w:val="0"/>
        </w:rPr>
      </w:pPr>
      <w:bookmarkStart w:id="40" w:name="_Toc107412255"/>
      <w:r>
        <w:rPr>
          <w:rStyle w:val="CharSectno"/>
        </w:rPr>
        <w:t>25</w:t>
      </w:r>
      <w:r>
        <w:rPr>
          <w:snapToGrid w:val="0"/>
        </w:rPr>
        <w:t>.</w:t>
      </w:r>
      <w:r>
        <w:rPr>
          <w:snapToGrid w:val="0"/>
        </w:rPr>
        <w:tab/>
        <w:t>General freedom from direction</w:t>
      </w:r>
      <w:bookmarkEnd w:id="40"/>
    </w:p>
    <w:p>
      <w:pPr>
        <w:pStyle w:val="Subsection"/>
        <w:spacing w:before="18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240"/>
        <w:rPr>
          <w:snapToGrid w:val="0"/>
        </w:rPr>
      </w:pPr>
      <w:bookmarkStart w:id="41" w:name="_Toc107412256"/>
      <w:r>
        <w:rPr>
          <w:rStyle w:val="CharSectno"/>
        </w:rPr>
        <w:t>26</w:t>
      </w:r>
      <w:r>
        <w:rPr>
          <w:snapToGrid w:val="0"/>
        </w:rPr>
        <w:t>.</w:t>
      </w:r>
      <w:r>
        <w:rPr>
          <w:snapToGrid w:val="0"/>
        </w:rPr>
        <w:tab/>
        <w:t>Consultation</w:t>
      </w:r>
      <w:bookmarkEnd w:id="41"/>
    </w:p>
    <w:p>
      <w:pPr>
        <w:pStyle w:val="Subsection"/>
        <w:spacing w:before="18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8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240"/>
        <w:rPr>
          <w:snapToGrid w:val="0"/>
        </w:rPr>
      </w:pPr>
      <w:bookmarkStart w:id="42" w:name="_Toc107412257"/>
      <w:r>
        <w:rPr>
          <w:rStyle w:val="CharSectno"/>
        </w:rPr>
        <w:t>27</w:t>
      </w:r>
      <w:r>
        <w:rPr>
          <w:snapToGrid w:val="0"/>
        </w:rPr>
        <w:t>.</w:t>
      </w:r>
      <w:r>
        <w:rPr>
          <w:snapToGrid w:val="0"/>
        </w:rPr>
        <w:tab/>
        <w:t>Directions by Attorney General</w:t>
      </w:r>
      <w:bookmarkEnd w:id="42"/>
    </w:p>
    <w:p>
      <w:pPr>
        <w:pStyle w:val="Subsection"/>
        <w:spacing w:before="18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80"/>
        <w:rPr>
          <w:snapToGrid w:val="0"/>
        </w:rPr>
      </w:pPr>
      <w:r>
        <w:rPr>
          <w:snapToGrid w:val="0"/>
        </w:rPr>
        <w:tab/>
        <w:t>(2)</w:t>
      </w:r>
      <w:r>
        <w:rPr>
          <w:snapToGrid w:val="0"/>
        </w:rPr>
        <w:tab/>
        <w:t>A direction may not be issued under subsection (1) in respect of a particular case.</w:t>
      </w:r>
    </w:p>
    <w:p>
      <w:pPr>
        <w:pStyle w:val="Subsection"/>
        <w:spacing w:before="180"/>
        <w:rPr>
          <w:snapToGrid w:val="0"/>
        </w:rPr>
      </w:pPr>
      <w:r>
        <w:rPr>
          <w:snapToGrid w:val="0"/>
        </w:rPr>
        <w:tab/>
        <w:t>(3)</w:t>
      </w:r>
      <w:r>
        <w:rPr>
          <w:snapToGrid w:val="0"/>
        </w:rPr>
        <w:tab/>
        <w:t>The Director may —</w:t>
      </w:r>
    </w:p>
    <w:p>
      <w:pPr>
        <w:pStyle w:val="Indenta"/>
        <w:rPr>
          <w:snapToGrid w:val="0"/>
        </w:rPr>
      </w:pPr>
      <w:r>
        <w:rPr>
          <w:snapToGrid w:val="0"/>
        </w:rPr>
        <w:tab/>
        <w:t>(a)</w:t>
      </w:r>
      <w:r>
        <w:rPr>
          <w:snapToGrid w:val="0"/>
        </w:rPr>
        <w:tab/>
        <w:t>in respect of any function, request the Attorney General to issue directions under subsection (1) concerning that function;</w:t>
      </w:r>
    </w:p>
    <w:p>
      <w:pPr>
        <w:pStyle w:val="Indenta"/>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rPr>
          <w:snapToGrid w:val="0"/>
        </w:rPr>
      </w:pPr>
      <w:r>
        <w:rPr>
          <w:snapToGrid w:val="0"/>
        </w:rPr>
        <w:lastRenderedPageBreak/>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43" w:name="_Toc107412258"/>
      <w:r>
        <w:rPr>
          <w:rStyle w:val="CharSectno"/>
        </w:rPr>
        <w:t>28</w:t>
      </w:r>
      <w:r>
        <w:rPr>
          <w:snapToGrid w:val="0"/>
        </w:rPr>
        <w:t>.</w:t>
      </w:r>
      <w:r>
        <w:rPr>
          <w:snapToGrid w:val="0"/>
        </w:rPr>
        <w:tab/>
        <w:t>Director to act consistently with Attorney General</w:t>
      </w:r>
      <w:bookmarkEnd w:id="43"/>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44" w:name="_Toc107412259"/>
      <w:r>
        <w:rPr>
          <w:rStyle w:val="CharSectno"/>
        </w:rPr>
        <w:t>29</w:t>
      </w:r>
      <w:r>
        <w:rPr>
          <w:snapToGrid w:val="0"/>
        </w:rPr>
        <w:t>.</w:t>
      </w:r>
      <w:r>
        <w:rPr>
          <w:snapToGrid w:val="0"/>
        </w:rPr>
        <w:tab/>
        <w:t>Director to give Attorney General information</w:t>
      </w:r>
      <w:bookmarkEnd w:id="44"/>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45" w:name="_Toc107325276"/>
      <w:bookmarkStart w:id="46" w:name="_Toc107325330"/>
      <w:bookmarkStart w:id="47" w:name="_Toc107412260"/>
      <w:r>
        <w:rPr>
          <w:rStyle w:val="CharPartNo"/>
        </w:rPr>
        <w:lastRenderedPageBreak/>
        <w:t>Part 5</w:t>
      </w:r>
      <w:r>
        <w:rPr>
          <w:rStyle w:val="CharDivNo"/>
        </w:rPr>
        <w:t> </w:t>
      </w:r>
      <w:r>
        <w:t>—</w:t>
      </w:r>
      <w:r>
        <w:rPr>
          <w:rStyle w:val="CharDivText"/>
        </w:rPr>
        <w:t> </w:t>
      </w:r>
      <w:r>
        <w:rPr>
          <w:rStyle w:val="CharPartText"/>
        </w:rPr>
        <w:t>Miscellaneous</w:t>
      </w:r>
      <w:bookmarkEnd w:id="45"/>
      <w:bookmarkEnd w:id="46"/>
      <w:bookmarkEnd w:id="47"/>
    </w:p>
    <w:p>
      <w:pPr>
        <w:pStyle w:val="Heading5"/>
        <w:rPr>
          <w:snapToGrid w:val="0"/>
        </w:rPr>
      </w:pPr>
      <w:bookmarkStart w:id="48" w:name="_Toc107412261"/>
      <w:r>
        <w:rPr>
          <w:rStyle w:val="CharSectno"/>
        </w:rPr>
        <w:t>30</w:t>
      </w:r>
      <w:r>
        <w:rPr>
          <w:snapToGrid w:val="0"/>
        </w:rPr>
        <w:t>.</w:t>
      </w:r>
      <w:r>
        <w:rPr>
          <w:snapToGrid w:val="0"/>
        </w:rPr>
        <w:tab/>
        <w:t>Staff for Director</w:t>
      </w:r>
      <w:bookmarkEnd w:id="48"/>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No. 32 of 1994 s. 19.]</w:t>
      </w:r>
    </w:p>
    <w:p>
      <w:pPr>
        <w:pStyle w:val="Heading5"/>
        <w:rPr>
          <w:snapToGrid w:val="0"/>
        </w:rPr>
      </w:pPr>
      <w:bookmarkStart w:id="49" w:name="_Toc107412262"/>
      <w:r>
        <w:rPr>
          <w:rStyle w:val="CharSectno"/>
        </w:rPr>
        <w:t>31</w:t>
      </w:r>
      <w:r>
        <w:rPr>
          <w:snapToGrid w:val="0"/>
        </w:rPr>
        <w:t>.</w:t>
      </w:r>
      <w:r>
        <w:rPr>
          <w:snapToGrid w:val="0"/>
        </w:rPr>
        <w:tab/>
        <w:t>Delegation by Director</w:t>
      </w:r>
      <w:bookmarkEnd w:id="49"/>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50" w:name="_Toc107412263"/>
      <w:r>
        <w:rPr>
          <w:rStyle w:val="CharSectno"/>
        </w:rPr>
        <w:t>32</w:t>
      </w:r>
      <w:r>
        <w:rPr>
          <w:snapToGrid w:val="0"/>
        </w:rPr>
        <w:t>.</w:t>
      </w:r>
      <w:r>
        <w:rPr>
          <w:snapToGrid w:val="0"/>
        </w:rPr>
        <w:tab/>
        <w:t>Annual report of Director</w:t>
      </w:r>
      <w:bookmarkEnd w:id="50"/>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51" w:name="_Toc107412264"/>
      <w:r>
        <w:rPr>
          <w:rStyle w:val="CharSectno"/>
        </w:rPr>
        <w:t>33</w:t>
      </w:r>
      <w:r>
        <w:rPr>
          <w:snapToGrid w:val="0"/>
        </w:rPr>
        <w:t>.</w:t>
      </w:r>
      <w:r>
        <w:rPr>
          <w:snapToGrid w:val="0"/>
        </w:rPr>
        <w:tab/>
        <w:t>Protection from personal liability</w:t>
      </w:r>
      <w:bookmarkEnd w:id="51"/>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lastRenderedPageBreak/>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52" w:name="_Toc107412265"/>
      <w:r>
        <w:rPr>
          <w:rStyle w:val="CharSectno"/>
        </w:rPr>
        <w:t>34</w:t>
      </w:r>
      <w:r>
        <w:rPr>
          <w:snapToGrid w:val="0"/>
        </w:rPr>
        <w:t>.</w:t>
      </w:r>
      <w:r>
        <w:rPr>
          <w:snapToGrid w:val="0"/>
        </w:rPr>
        <w:tab/>
        <w:t>Regulations</w:t>
      </w:r>
      <w:bookmarkEnd w:id="52"/>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53" w:name="_Toc107412266"/>
      <w:r>
        <w:rPr>
          <w:rStyle w:val="CharSectno"/>
        </w:rPr>
        <w:t>35</w:t>
      </w:r>
      <w:r>
        <w:rPr>
          <w:snapToGrid w:val="0"/>
        </w:rPr>
        <w:t>.</w:t>
      </w:r>
      <w:r>
        <w:rPr>
          <w:snapToGrid w:val="0"/>
        </w:rPr>
        <w:tab/>
        <w:t>Savings and transitional</w:t>
      </w:r>
      <w:bookmarkEnd w:id="53"/>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 and</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lastRenderedPageBreak/>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54" w:name="_Toc107325283"/>
      <w:bookmarkStart w:id="55" w:name="_Toc107325337"/>
      <w:bookmarkStart w:id="56" w:name="_Toc107412267"/>
      <w:r>
        <w:rPr>
          <w:rStyle w:val="CharSchNo"/>
        </w:rPr>
        <w:lastRenderedPageBreak/>
        <w:t>Schedule 1</w:t>
      </w:r>
      <w:r>
        <w:t> — </w:t>
      </w:r>
      <w:r>
        <w:rPr>
          <w:rStyle w:val="CharSchText"/>
        </w:rPr>
        <w:t>Tenure, salary, conditions of service, etc., of Director</w:t>
      </w:r>
      <w:bookmarkEnd w:id="54"/>
      <w:bookmarkEnd w:id="55"/>
      <w:bookmarkEnd w:id="56"/>
    </w:p>
    <w:p>
      <w:pPr>
        <w:pStyle w:val="yShoulderClause"/>
        <w:rPr>
          <w:snapToGrid w:val="0"/>
        </w:rPr>
      </w:pPr>
      <w:r>
        <w:rPr>
          <w:snapToGrid w:val="0"/>
        </w:rPr>
        <w:t>[s. 7]</w:t>
      </w:r>
    </w:p>
    <w:p>
      <w:pPr>
        <w:pStyle w:val="yFootnoteheading"/>
      </w:pPr>
      <w:r>
        <w:tab/>
        <w:t>[Heading amended: No. 19 of 2010 s. 4.]</w:t>
      </w:r>
    </w:p>
    <w:p>
      <w:pPr>
        <w:pStyle w:val="yHeading5"/>
        <w:spacing w:before="160"/>
        <w:outlineLvl w:val="9"/>
      </w:pPr>
      <w:bookmarkStart w:id="57" w:name="_Toc107412268"/>
      <w:r>
        <w:rPr>
          <w:rStyle w:val="CharSClsNo"/>
        </w:rPr>
        <w:t>1</w:t>
      </w:r>
      <w:r>
        <w:t>.</w:t>
      </w:r>
      <w:r>
        <w:tab/>
        <w:t>Tenure of office</w:t>
      </w:r>
      <w:bookmarkEnd w:id="57"/>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r>
        <w:tab/>
        <w:t>[Clause 1 amended: No. 42 of 1997 s. 8.]</w:t>
      </w:r>
    </w:p>
    <w:p>
      <w:pPr>
        <w:pStyle w:val="yHeading5"/>
        <w:outlineLvl w:val="9"/>
      </w:pPr>
      <w:bookmarkStart w:id="58" w:name="_Toc107412269"/>
      <w:r>
        <w:rPr>
          <w:rStyle w:val="CharSClsNo"/>
        </w:rPr>
        <w:t>2</w:t>
      </w:r>
      <w:r>
        <w:t>.</w:t>
      </w:r>
      <w:r>
        <w:tab/>
        <w:t>Salary and entitlements</w:t>
      </w:r>
      <w:bookmarkEnd w:id="58"/>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59" w:name="_Toc107412270"/>
      <w:r>
        <w:rPr>
          <w:rStyle w:val="CharSClsNo"/>
        </w:rPr>
        <w:t>3</w:t>
      </w:r>
      <w:r>
        <w:t>.</w:t>
      </w:r>
      <w:r>
        <w:tab/>
        <w:t>Superannuation</w:t>
      </w:r>
      <w:bookmarkEnd w:id="59"/>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vertAlign w:val="superscript"/>
        </w:rPr>
        <w:t> 1</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 xml:space="preserve">Contributions that would otherwise be payable by the Director under an enactment referred to in subclause (1) shall be paid by the employer determined under subclause (2) at the maximum rate at which the Director would be entitled to contribute and amounts so </w:t>
      </w:r>
      <w:r>
        <w:rPr>
          <w:snapToGrid w:val="0"/>
        </w:rPr>
        <w:lastRenderedPageBreak/>
        <w:t>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rPr>
          <w:vertAlign w:val="superscript"/>
        </w:rPr>
        <w:t> 1</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rPr>
          <w:vertAlign w:val="superscript"/>
        </w:rPr>
        <w:t> 1</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rPr>
          <w:vertAlign w:val="superscript"/>
        </w:rPr>
        <w:t> 1</w:t>
      </w:r>
      <w:r>
        <w:t xml:space="preserve"> or the </w:t>
      </w:r>
      <w:r>
        <w:rPr>
          <w:i/>
        </w:rPr>
        <w:t>State Superannuation Act 2000</w:t>
      </w:r>
      <w:r>
        <w:rPr>
          <w:snapToGrid w:val="0"/>
        </w:rPr>
        <w:t>.</w:t>
      </w:r>
    </w:p>
    <w:p>
      <w:pPr>
        <w:pStyle w:val="yFootnotesection"/>
      </w:pPr>
      <w:r>
        <w:tab/>
        <w:t>[Clause 3 amended: No. 60 of 1995 s. 54; No. 43 of 2000 s. 39(1).]</w:t>
      </w:r>
    </w:p>
    <w:p>
      <w:pPr>
        <w:pStyle w:val="yHeading5"/>
        <w:outlineLvl w:val="9"/>
      </w:pPr>
      <w:bookmarkStart w:id="60" w:name="_Toc107412271"/>
      <w:r>
        <w:rPr>
          <w:rStyle w:val="CharSClsNo"/>
        </w:rPr>
        <w:t>4</w:t>
      </w:r>
      <w:r>
        <w:t>.</w:t>
      </w:r>
      <w:r>
        <w:tab/>
        <w:t>Public service officer’s entitlements if appointed</w:t>
      </w:r>
      <w:bookmarkEnd w:id="60"/>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lastRenderedPageBreak/>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r>
        <w:tab/>
        <w:t>[Clause 4 amended: No. 42 of 1997 s. 8.]</w:t>
      </w:r>
    </w:p>
    <w:p>
      <w:pPr>
        <w:pStyle w:val="yHeading5"/>
        <w:outlineLvl w:val="9"/>
      </w:pPr>
      <w:bookmarkStart w:id="61" w:name="_Toc107412272"/>
      <w:r>
        <w:rPr>
          <w:rStyle w:val="CharSClsNo"/>
        </w:rPr>
        <w:t>5</w:t>
      </w:r>
      <w:r>
        <w:t>.</w:t>
      </w:r>
      <w:r>
        <w:tab/>
        <w:t>Director not do other work; duty to disclose pecuniary interests</w:t>
      </w:r>
      <w:bookmarkEnd w:id="61"/>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62" w:name="_Toc107412273"/>
      <w:r>
        <w:rPr>
          <w:rStyle w:val="CharSClsNo"/>
        </w:rPr>
        <w:t>6</w:t>
      </w:r>
      <w:r>
        <w:t>.</w:t>
      </w:r>
      <w:r>
        <w:tab/>
        <w:t>Removal from office</w:t>
      </w:r>
      <w:bookmarkEnd w:id="62"/>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 xml:space="preserve">physical or mental incapacity, other than temporary illness, impairing the performance of the Director’s functions; </w:t>
      </w:r>
    </w:p>
    <w:p>
      <w:pPr>
        <w:pStyle w:val="yIndenta"/>
        <w:rPr>
          <w:snapToGrid w:val="0"/>
        </w:rPr>
      </w:pPr>
      <w:r>
        <w:rPr>
          <w:snapToGrid w:val="0"/>
        </w:rPr>
        <w:tab/>
      </w:r>
      <w:r>
        <w:rPr>
          <w:snapToGrid w:val="0"/>
        </w:rPr>
        <w:tab/>
        <w:t>or</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lastRenderedPageBreak/>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Footnotesection"/>
      </w:pPr>
      <w:r>
        <w:tab/>
        <w:t>[Clause 6 amended: No. 18 of 2009 s. 31.]</w:t>
      </w:r>
    </w:p>
    <w:p>
      <w:pPr>
        <w:pStyle w:val="yHeading5"/>
        <w:outlineLvl w:val="9"/>
      </w:pPr>
      <w:bookmarkStart w:id="63" w:name="_Toc107412274"/>
      <w:r>
        <w:rPr>
          <w:rStyle w:val="CharSClsNo"/>
        </w:rPr>
        <w:t>7</w:t>
      </w:r>
      <w:r>
        <w:t>.</w:t>
      </w:r>
      <w:r>
        <w:tab/>
        <w:t>Other conditions of service</w:t>
      </w:r>
      <w:bookmarkEnd w:id="63"/>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65" w:name="_Toc107325291"/>
      <w:bookmarkStart w:id="66" w:name="_Toc107325345"/>
      <w:bookmarkStart w:id="67" w:name="_Toc107412275"/>
      <w:r>
        <w:lastRenderedPageBreak/>
        <w:t>Notes</w:t>
      </w:r>
      <w:bookmarkEnd w:id="65"/>
      <w:bookmarkEnd w:id="66"/>
      <w:bookmarkEnd w:id="67"/>
    </w:p>
    <w:p>
      <w:pPr>
        <w:pStyle w:val="nStatement"/>
      </w:pPr>
      <w:r>
        <w:t xml:space="preserve">This is a compilation of the </w:t>
      </w:r>
      <w:r>
        <w:rPr>
          <w:i/>
          <w:noProof/>
        </w:rPr>
        <w:t>Director of Public Prosecutions Act 1991</w:t>
      </w:r>
      <w:r>
        <w:t xml:space="preserve"> and includes amendments made by other written laws</w:t>
      </w:r>
      <w:r>
        <w:rPr>
          <w:snapToGrid w:val="0"/>
          <w:vertAlign w:val="superscript"/>
        </w:rPr>
        <w:t> 4</w:t>
      </w:r>
      <w:r>
        <w:t>. For provisions that have come into operation, and for information about any reprints, see the compilation table. For provisions that have not yet come into operation see the uncommenced provisions table.</w:t>
      </w:r>
    </w:p>
    <w:p>
      <w:pPr>
        <w:pStyle w:val="nHeading3"/>
      </w:pPr>
      <w:bookmarkStart w:id="68" w:name="_Toc107412276"/>
      <w:r>
        <w:t>Compilation table</w:t>
      </w:r>
      <w:bookmarkEnd w:id="68"/>
    </w:p>
    <w:tbl>
      <w:tblPr>
        <w:tblW w:w="7095"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Director of Public Prosecutions Act 1991</w:t>
            </w:r>
          </w:p>
        </w:tc>
        <w:tc>
          <w:tcPr>
            <w:tcW w:w="1134" w:type="dxa"/>
          </w:tcPr>
          <w:p>
            <w:pPr>
              <w:pStyle w:val="nTable"/>
              <w:spacing w:after="40"/>
            </w:pPr>
            <w:r>
              <w:t>12 of 1991</w:t>
            </w:r>
          </w:p>
        </w:tc>
        <w:tc>
          <w:tcPr>
            <w:tcW w:w="1136" w:type="dxa"/>
          </w:tcPr>
          <w:p>
            <w:pPr>
              <w:pStyle w:val="nTable"/>
              <w:spacing w:after="40"/>
            </w:pPr>
            <w:r>
              <w:t>21 Jun 1991</w:t>
            </w:r>
          </w:p>
        </w:tc>
        <w:tc>
          <w:tcPr>
            <w:tcW w:w="2557" w:type="dxa"/>
          </w:tcPr>
          <w:p>
            <w:pPr>
              <w:pStyle w:val="nTable"/>
              <w:spacing w:after="40"/>
            </w:pPr>
            <w:r>
              <w:t>s. 1 and 2: 21 Jun 1991;</w:t>
            </w:r>
            <w:r>
              <w:br/>
              <w:t xml:space="preserve">Act other than s. 1 and 2: 3 Feb 1992 (see s. 2 and </w:t>
            </w:r>
            <w:r>
              <w:rPr>
                <w:i/>
              </w:rPr>
              <w:t>Gazette</w:t>
            </w:r>
            <w:r>
              <w:t xml:space="preserve"> 3 Feb 1992 p. 531)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7"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Government Employees Superannuation Amendment Act (No. 2) 1995</w:t>
            </w:r>
            <w:r>
              <w:t xml:space="preserve"> s. 54</w:t>
            </w:r>
          </w:p>
        </w:tc>
        <w:tc>
          <w:tcPr>
            <w:tcW w:w="1134" w:type="dxa"/>
          </w:tcPr>
          <w:p>
            <w:pPr>
              <w:pStyle w:val="nTable"/>
              <w:spacing w:after="40"/>
            </w:pPr>
            <w:r>
              <w:t>60 of 1995</w:t>
            </w:r>
          </w:p>
        </w:tc>
        <w:tc>
          <w:tcPr>
            <w:tcW w:w="1136" w:type="dxa"/>
          </w:tcPr>
          <w:p>
            <w:pPr>
              <w:pStyle w:val="nTable"/>
              <w:spacing w:after="40"/>
            </w:pPr>
            <w:r>
              <w:t>21 Dec 1995</w:t>
            </w:r>
          </w:p>
        </w:tc>
        <w:tc>
          <w:tcPr>
            <w:tcW w:w="2557" w:type="dxa"/>
          </w:tcPr>
          <w:p>
            <w:pPr>
              <w:pStyle w:val="nTable"/>
              <w:spacing w:after="40"/>
            </w:pPr>
            <w:r>
              <w:t xml:space="preserve">30 Dec 1995 (see s. 2 and </w:t>
            </w:r>
            <w:r>
              <w:rPr>
                <w:i/>
              </w:rPr>
              <w:t>Gazette</w:t>
            </w:r>
            <w:r>
              <w:t xml:space="preserve"> 29 Dec 1995 p. 6287)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7"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Equal Opportunity Amendment Act (No. 3) 1997</w:t>
            </w:r>
            <w:r>
              <w:t xml:space="preserve"> s. 8</w:t>
            </w:r>
          </w:p>
        </w:tc>
        <w:tc>
          <w:tcPr>
            <w:tcW w:w="1134" w:type="dxa"/>
          </w:tcPr>
          <w:p>
            <w:pPr>
              <w:pStyle w:val="nTable"/>
              <w:spacing w:after="40"/>
            </w:pPr>
            <w:r>
              <w:t>42 of 1997</w:t>
            </w:r>
          </w:p>
        </w:tc>
        <w:tc>
          <w:tcPr>
            <w:tcW w:w="1136" w:type="dxa"/>
          </w:tcPr>
          <w:p>
            <w:pPr>
              <w:pStyle w:val="nTable"/>
              <w:spacing w:after="40"/>
            </w:pPr>
            <w:r>
              <w:t>9 Dec 1997</w:t>
            </w:r>
          </w:p>
        </w:tc>
        <w:tc>
          <w:tcPr>
            <w:tcW w:w="2557"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State Superannuation (Transitional and Consequential Provisions) Act 2000 </w:t>
            </w:r>
            <w:r>
              <w:t>s. 39(1)</w:t>
            </w:r>
          </w:p>
        </w:tc>
        <w:tc>
          <w:tcPr>
            <w:tcW w:w="1134" w:type="dxa"/>
          </w:tcPr>
          <w:p>
            <w:pPr>
              <w:pStyle w:val="nTable"/>
              <w:spacing w:after="40"/>
            </w:pPr>
            <w:r>
              <w:t>43 of 2000</w:t>
            </w:r>
          </w:p>
        </w:tc>
        <w:tc>
          <w:tcPr>
            <w:tcW w:w="1136" w:type="dxa"/>
          </w:tcPr>
          <w:p>
            <w:pPr>
              <w:pStyle w:val="nTable"/>
              <w:spacing w:after="40"/>
            </w:pPr>
            <w:r>
              <w:t>2 Nov 2000</w:t>
            </w:r>
          </w:p>
        </w:tc>
        <w:tc>
          <w:tcPr>
            <w:tcW w:w="2557" w:type="dxa"/>
          </w:tcPr>
          <w:p>
            <w:pPr>
              <w:pStyle w:val="nTable"/>
              <w:spacing w:after="40"/>
              <w:rPr>
                <w:i/>
              </w:rPr>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Property Confiscation (Consequential Provisions) Act 2000</w:t>
            </w:r>
            <w:r>
              <w:t xml:space="preserve"> s. 12</w:t>
            </w:r>
            <w:r>
              <w:rPr>
                <w:vertAlign w:val="superscript"/>
              </w:rPr>
              <w:t> 2</w:t>
            </w:r>
          </w:p>
        </w:tc>
        <w:tc>
          <w:tcPr>
            <w:tcW w:w="1134" w:type="dxa"/>
          </w:tcPr>
          <w:p>
            <w:pPr>
              <w:pStyle w:val="nTable"/>
              <w:spacing w:after="40"/>
            </w:pPr>
            <w:r>
              <w:t>69 of 2000</w:t>
            </w:r>
          </w:p>
        </w:tc>
        <w:tc>
          <w:tcPr>
            <w:tcW w:w="1136" w:type="dxa"/>
          </w:tcPr>
          <w:p>
            <w:pPr>
              <w:pStyle w:val="nTable"/>
              <w:spacing w:after="40"/>
            </w:pPr>
            <w:r>
              <w:t>6 Dec 2000</w:t>
            </w:r>
          </w:p>
        </w:tc>
        <w:tc>
          <w:tcPr>
            <w:tcW w:w="2557" w:type="dxa"/>
          </w:tcPr>
          <w:p>
            <w:pPr>
              <w:pStyle w:val="nTable"/>
              <w:spacing w:after="40"/>
              <w:rPr>
                <w:i/>
              </w:rPr>
            </w:pPr>
            <w:r>
              <w:t xml:space="preserve">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95" w:type="dxa"/>
            <w:gridSpan w:val="4"/>
          </w:tcPr>
          <w:p>
            <w:pPr>
              <w:pStyle w:val="nTable"/>
              <w:spacing w:after="40"/>
            </w:pPr>
            <w:r>
              <w:rPr>
                <w:b/>
              </w:rPr>
              <w:t xml:space="preserve">Reprint of the </w:t>
            </w:r>
            <w:r>
              <w:rPr>
                <w:b/>
                <w:i/>
              </w:rPr>
              <w:t>Director of Public Prosecutions Act 1991</w:t>
            </w:r>
            <w:r>
              <w:rPr>
                <w:b/>
              </w:rPr>
              <w:t xml:space="preserve"> as at 1 Jun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4 Div. 4</w:t>
            </w:r>
          </w:p>
        </w:tc>
        <w:tc>
          <w:tcPr>
            <w:tcW w:w="1134" w:type="dxa"/>
          </w:tcPr>
          <w:p>
            <w:pPr>
              <w:pStyle w:val="nTable"/>
              <w:spacing w:after="40"/>
            </w:pPr>
            <w:r>
              <w:t>27 of 2002</w:t>
            </w:r>
          </w:p>
        </w:tc>
        <w:tc>
          <w:tcPr>
            <w:tcW w:w="1136" w:type="dxa"/>
          </w:tcPr>
          <w:p>
            <w:pPr>
              <w:pStyle w:val="nTable"/>
              <w:spacing w:after="40"/>
            </w:pPr>
            <w:r>
              <w:t>25 Sep 2002</w:t>
            </w:r>
          </w:p>
        </w:tc>
        <w:tc>
          <w:tcPr>
            <w:tcW w:w="2557"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and Repeal (Courts and Legal Practice) Act 2003</w:t>
            </w:r>
            <w:r>
              <w:t xml:space="preserve"> s. 31, 110 and 124</w:t>
            </w:r>
          </w:p>
        </w:tc>
        <w:tc>
          <w:tcPr>
            <w:tcW w:w="1134" w:type="dxa"/>
          </w:tcPr>
          <w:p>
            <w:pPr>
              <w:pStyle w:val="nTable"/>
              <w:spacing w:after="40"/>
            </w:pPr>
            <w:r>
              <w:t>65 of 2003</w:t>
            </w:r>
          </w:p>
        </w:tc>
        <w:tc>
          <w:tcPr>
            <w:tcW w:w="1136" w:type="dxa"/>
          </w:tcPr>
          <w:p>
            <w:pPr>
              <w:pStyle w:val="nTable"/>
              <w:spacing w:after="40"/>
            </w:pPr>
            <w:r>
              <w:t>4 Dec 2003</w:t>
            </w:r>
          </w:p>
        </w:tc>
        <w:tc>
          <w:tcPr>
            <w:tcW w:w="2557"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Director of Public Prosecutions Amendment Act 2004</w:t>
            </w:r>
          </w:p>
        </w:tc>
        <w:tc>
          <w:tcPr>
            <w:tcW w:w="1134" w:type="dxa"/>
          </w:tcPr>
          <w:p>
            <w:pPr>
              <w:pStyle w:val="nTable"/>
              <w:spacing w:after="40"/>
            </w:pPr>
            <w:r>
              <w:t>21 of 2004</w:t>
            </w:r>
          </w:p>
        </w:tc>
        <w:tc>
          <w:tcPr>
            <w:tcW w:w="1136" w:type="dxa"/>
          </w:tcPr>
          <w:p>
            <w:pPr>
              <w:pStyle w:val="nTable"/>
              <w:spacing w:after="40"/>
            </w:pPr>
            <w:r>
              <w:t>8 Sep 2004</w:t>
            </w:r>
          </w:p>
        </w:tc>
        <w:tc>
          <w:tcPr>
            <w:tcW w:w="2557" w:type="dxa"/>
          </w:tcPr>
          <w:p>
            <w:pPr>
              <w:pStyle w:val="nTable"/>
              <w:spacing w:after="40"/>
            </w:pPr>
            <w:r>
              <w:t>6 Oct 2004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r>
              <w:rPr>
                <w:snapToGrid w:val="0"/>
                <w:vertAlign w:val="superscript"/>
              </w:rPr>
              <w:t> 3</w:t>
            </w:r>
          </w:p>
        </w:tc>
        <w:tc>
          <w:tcPr>
            <w:tcW w:w="1134" w:type="dxa"/>
          </w:tcPr>
          <w:p>
            <w:pPr>
              <w:pStyle w:val="nTable"/>
              <w:spacing w:after="40"/>
            </w:pPr>
            <w:r>
              <w:rPr>
                <w:snapToGrid w:val="0"/>
              </w:rPr>
              <w:t xml:space="preserve">59 of 2004 (as amended by No. 2 of 2008 </w:t>
            </w:r>
            <w:r>
              <w:rPr>
                <w:snapToGrid w:val="0"/>
                <w:spacing w:val="-18"/>
              </w:rPr>
              <w:t>s. 77(7))</w:t>
            </w:r>
          </w:p>
        </w:tc>
        <w:tc>
          <w:tcPr>
            <w:tcW w:w="1136" w:type="dxa"/>
          </w:tcPr>
          <w:p>
            <w:pPr>
              <w:pStyle w:val="nTable"/>
              <w:spacing w:after="40"/>
            </w:pPr>
            <w:r>
              <w:rPr>
                <w:snapToGrid w:val="0"/>
              </w:rPr>
              <w:t>23 Nov 2004</w:t>
            </w:r>
          </w:p>
        </w:tc>
        <w:tc>
          <w:tcPr>
            <w:tcW w:w="2557"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Pt. 6 and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7"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5" w:type="dxa"/>
            <w:gridSpan w:val="4"/>
          </w:tcPr>
          <w:p>
            <w:pPr>
              <w:pStyle w:val="nTable"/>
              <w:spacing w:after="40"/>
              <w:rPr>
                <w:snapToGrid w:val="0"/>
              </w:rPr>
            </w:pPr>
            <w:r>
              <w:rPr>
                <w:b/>
              </w:rPr>
              <w:t xml:space="preserve">Reprint 2: The </w:t>
            </w:r>
            <w:r>
              <w:rPr>
                <w:b/>
                <w:i/>
              </w:rPr>
              <w:t>Director of Public Prosecutions Act 1991</w:t>
            </w:r>
            <w:r>
              <w:rPr>
                <w:b/>
              </w:rPr>
              <w:t xml:space="preserve"> as at 25 Nov 2005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659 </w:t>
            </w:r>
          </w:p>
        </w:tc>
        <w:tc>
          <w:tcPr>
            <w:tcW w:w="1134" w:type="dxa"/>
          </w:tcPr>
          <w:p>
            <w:pPr>
              <w:pStyle w:val="nTable"/>
              <w:spacing w:after="40"/>
              <w:rPr>
                <w:snapToGrid w:val="0"/>
              </w:rPr>
            </w:pPr>
            <w:r>
              <w:rPr>
                <w:snapToGrid w:val="0"/>
              </w:rPr>
              <w:t>21 of 2008</w:t>
            </w:r>
          </w:p>
        </w:tc>
        <w:tc>
          <w:tcPr>
            <w:tcW w:w="1136" w:type="dxa"/>
          </w:tcPr>
          <w:p>
            <w:pPr>
              <w:pStyle w:val="nTable"/>
              <w:spacing w:after="40"/>
            </w:pPr>
            <w:r>
              <w:rPr>
                <w:snapToGrid w:val="0"/>
              </w:rPr>
              <w:t>27 May 2008</w:t>
            </w:r>
          </w:p>
        </w:tc>
        <w:tc>
          <w:tcPr>
            <w:tcW w:w="2557"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31</w:t>
            </w:r>
          </w:p>
        </w:tc>
        <w:tc>
          <w:tcPr>
            <w:tcW w:w="1134" w:type="dxa"/>
          </w:tcPr>
          <w:p>
            <w:pPr>
              <w:pStyle w:val="nTable"/>
              <w:spacing w:after="40"/>
            </w:pPr>
            <w:r>
              <w:t>18 of 2009</w:t>
            </w:r>
          </w:p>
        </w:tc>
        <w:tc>
          <w:tcPr>
            <w:tcW w:w="1136" w:type="dxa"/>
          </w:tcPr>
          <w:p>
            <w:pPr>
              <w:pStyle w:val="nTable"/>
              <w:spacing w:after="40"/>
            </w:pPr>
            <w:r>
              <w:t>16 Sep 2009</w:t>
            </w:r>
          </w:p>
        </w:tc>
        <w:tc>
          <w:tcPr>
            <w:tcW w:w="255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95" w:type="dxa"/>
            <w:gridSpan w:val="4"/>
            <w:shd w:val="clear" w:color="auto" w:fill="auto"/>
          </w:tcPr>
          <w:p>
            <w:pPr>
              <w:pStyle w:val="nTable"/>
              <w:spacing w:after="40"/>
              <w:rPr>
                <w:snapToGrid w:val="0"/>
              </w:rPr>
            </w:pPr>
            <w:r>
              <w:rPr>
                <w:b/>
              </w:rPr>
              <w:t xml:space="preserve">Reprint 3: The </w:t>
            </w:r>
            <w:r>
              <w:rPr>
                <w:b/>
                <w:i/>
              </w:rPr>
              <w:t>Director of Public Prosecutions Act 1991</w:t>
            </w:r>
            <w:r>
              <w:rPr>
                <w:b/>
              </w:rPr>
              <w:t xml:space="preserve"> as at 4 Nov 2011 </w:t>
            </w:r>
            <w:r>
              <w:t>(includes amendments listed above)</w:t>
            </w:r>
          </w:p>
        </w:tc>
      </w:tr>
      <w:tr>
        <w:tc>
          <w:tcPr>
            <w:tcW w:w="2268" w:type="dxa"/>
            <w:tcBorders>
              <w:top w:val="nil"/>
              <w:bottom w:val="nil"/>
            </w:tcBorders>
          </w:tcPr>
          <w:p>
            <w:pPr>
              <w:pStyle w:val="nTable"/>
              <w:spacing w:after="40"/>
              <w:ind w:right="113"/>
            </w:pPr>
            <w:r>
              <w:rPr>
                <w:i/>
              </w:rPr>
              <w:t>High Risk Serious Offenders Act 2020</w:t>
            </w:r>
            <w:r>
              <w:t xml:space="preserve"> s. 118</w:t>
            </w:r>
          </w:p>
        </w:tc>
        <w:tc>
          <w:tcPr>
            <w:tcW w:w="1134" w:type="dxa"/>
            <w:tcBorders>
              <w:top w:val="nil"/>
              <w:bottom w:val="nil"/>
            </w:tcBorders>
          </w:tcPr>
          <w:p>
            <w:pPr>
              <w:pStyle w:val="nTable"/>
              <w:spacing w:after="40"/>
            </w:pPr>
            <w:r>
              <w:t>29 of 2020</w:t>
            </w:r>
          </w:p>
        </w:tc>
        <w:tc>
          <w:tcPr>
            <w:tcW w:w="1136" w:type="dxa"/>
            <w:tcBorders>
              <w:top w:val="nil"/>
              <w:bottom w:val="nil"/>
            </w:tcBorders>
          </w:tcPr>
          <w:p>
            <w:pPr>
              <w:pStyle w:val="nTable"/>
              <w:spacing w:after="40"/>
            </w:pPr>
            <w:r>
              <w:t>9 Jul 2020</w:t>
            </w:r>
          </w:p>
        </w:tc>
        <w:tc>
          <w:tcPr>
            <w:tcW w:w="2557" w:type="dxa"/>
            <w:tcBorders>
              <w:top w:val="nil"/>
              <w:bottom w:val="nil"/>
            </w:tcBorders>
          </w:tcPr>
          <w:p>
            <w:pPr>
              <w:pStyle w:val="nTable"/>
              <w:spacing w:after="40"/>
            </w:pPr>
            <w:r>
              <w:t>26 Aug 2020 (see s. 2(1)(c) and SL 2020/131 cl. 2)</w:t>
            </w:r>
          </w:p>
        </w:tc>
      </w:tr>
      <w:tr>
        <w:tc>
          <w:tcPr>
            <w:tcW w:w="2268" w:type="dxa"/>
            <w:tcBorders>
              <w:top w:val="nil"/>
            </w:tcBorders>
          </w:tcPr>
          <w:p>
            <w:pPr>
              <w:pStyle w:val="nTable"/>
              <w:spacing w:after="40"/>
              <w:ind w:right="113"/>
              <w:rPr>
                <w:i/>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6" w:type="dxa"/>
            <w:tcBorders>
              <w:top w:val="nil"/>
            </w:tcBorders>
          </w:tcPr>
          <w:p>
            <w:pPr>
              <w:pStyle w:val="nTable"/>
              <w:spacing w:after="40"/>
            </w:pPr>
            <w:r>
              <w:t>14 Apr 2022</w:t>
            </w:r>
          </w:p>
        </w:tc>
        <w:tc>
          <w:tcPr>
            <w:tcW w:w="2557" w:type="dxa"/>
            <w:tcBorders>
              <w:top w:val="nil"/>
            </w:tcBorders>
          </w:tcPr>
          <w:p>
            <w:pPr>
              <w:pStyle w:val="nTable"/>
              <w:spacing w:after="40"/>
            </w:pPr>
            <w:r>
              <w:rPr>
                <w:snapToGrid w:val="0"/>
                <w:spacing w:val="-2"/>
              </w:rPr>
              <w:t>1 Jul 2022 (see s. 2(c) and SL 2022/113 cl. 2)</w:t>
            </w:r>
          </w:p>
        </w:tc>
      </w:tr>
    </w:tbl>
    <w:p>
      <w:pPr>
        <w:pStyle w:val="nHeading3"/>
      </w:pPr>
      <w:bookmarkStart w:id="69" w:name="_Toc107412277"/>
      <w:r>
        <w:lastRenderedPageBreak/>
        <w:t>Uncommenced provisions table</w:t>
      </w:r>
      <w:bookmarkEnd w:id="6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rPr>
          <w:cantSplit/>
        </w:trPr>
        <w:tc>
          <w:tcPr>
            <w:tcW w:w="2268" w:type="dxa"/>
            <w:tcBorders>
              <w:top w:val="single" w:sz="4" w:space="0" w:color="auto"/>
              <w:bottom w:val="single" w:sz="4" w:space="0" w:color="auto"/>
            </w:tcBorders>
          </w:tcPr>
          <w:p>
            <w:pPr>
              <w:pStyle w:val="nTable"/>
              <w:spacing w:after="40"/>
              <w:ind w:right="113"/>
            </w:pPr>
            <w:r>
              <w:rPr>
                <w:i/>
              </w:rPr>
              <w:t>State Superannuation (Transitional and Consequential Provisions) Act 2000</w:t>
            </w:r>
            <w:r>
              <w:t xml:space="preserve"> s. 39(2)</w:t>
            </w:r>
          </w:p>
        </w:tc>
        <w:tc>
          <w:tcPr>
            <w:tcW w:w="1134" w:type="dxa"/>
            <w:tcBorders>
              <w:top w:val="single" w:sz="4" w:space="0" w:color="auto"/>
              <w:bottom w:val="single" w:sz="4" w:space="0" w:color="auto"/>
            </w:tcBorders>
          </w:tcPr>
          <w:p>
            <w:pPr>
              <w:pStyle w:val="nTable"/>
              <w:spacing w:after="40"/>
            </w:pPr>
            <w:r>
              <w:t>43 of 2000</w:t>
            </w:r>
          </w:p>
        </w:tc>
        <w:tc>
          <w:tcPr>
            <w:tcW w:w="1134" w:type="dxa"/>
            <w:tcBorders>
              <w:top w:val="single" w:sz="4" w:space="0" w:color="auto"/>
              <w:bottom w:val="single" w:sz="4" w:space="0" w:color="auto"/>
            </w:tcBorders>
          </w:tcPr>
          <w:p>
            <w:pPr>
              <w:pStyle w:val="nTable"/>
              <w:spacing w:after="40"/>
            </w:pPr>
            <w:r>
              <w:t>2 Nov 2000</w:t>
            </w:r>
          </w:p>
        </w:tc>
        <w:tc>
          <w:tcPr>
            <w:tcW w:w="2552" w:type="dxa"/>
            <w:tcBorders>
              <w:top w:val="single" w:sz="4" w:space="0" w:color="auto"/>
              <w:bottom w:val="single" w:sz="4" w:space="0" w:color="auto"/>
            </w:tcBorders>
          </w:tcPr>
          <w:p>
            <w:pPr>
              <w:pStyle w:val="nTable"/>
              <w:spacing w:after="40"/>
            </w:pPr>
            <w:r>
              <w:t>To be proclaimed (see s. 2(2))</w:t>
            </w:r>
          </w:p>
        </w:tc>
      </w:tr>
    </w:tbl>
    <w:p>
      <w:pPr>
        <w:pStyle w:val="nHeading3"/>
      </w:pPr>
      <w:bookmarkStart w:id="70" w:name="_Toc107412278"/>
      <w:r>
        <w:t>Other notes</w:t>
      </w:r>
      <w:bookmarkEnd w:id="70"/>
    </w:p>
    <w:p>
      <w:pPr>
        <w:pStyle w:val="nNote"/>
        <w:spacing w:before="160"/>
        <w:rPr>
          <w:snapToGrid w:val="0"/>
        </w:rPr>
      </w:pPr>
      <w:r>
        <w:rPr>
          <w:snapToGrid w:val="0"/>
          <w:vertAlign w:val="superscript"/>
        </w:rPr>
        <w:t>1</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The </w:t>
      </w:r>
      <w:r>
        <w:rPr>
          <w:i/>
        </w:rPr>
        <w:t>Criminal Property Confiscation (Consequential Provisions) Act 2000</w:t>
      </w:r>
      <w:r>
        <w:t xml:space="preserve"> s. 12(3) reads as follows:</w:t>
      </w:r>
    </w:p>
    <w:p>
      <w:pPr>
        <w:pStyle w:val="BlankOpen"/>
      </w:pP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BlankClose"/>
      </w:pPr>
    </w:p>
    <w:p>
      <w:pPr>
        <w:pStyle w:val="nNote"/>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46 (amendment to s. 11(2)) was repealed by the </w:t>
      </w:r>
      <w:r>
        <w:rPr>
          <w:i/>
          <w:iCs/>
          <w:snapToGrid w:val="0"/>
        </w:rPr>
        <w:t>Criminal Law and Evidence Amendment Act 2008</w:t>
      </w:r>
      <w:r>
        <w:rPr>
          <w:snapToGrid w:val="0"/>
        </w:rPr>
        <w:t xml:space="preserve"> s. 77(7).</w:t>
      </w:r>
    </w:p>
    <w:p>
      <w:pPr>
        <w:pStyle w:val="nNote"/>
        <w:keepNext/>
        <w:keepLines/>
        <w:spacing w:before="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80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72" w:name="_Toc107325295"/>
      <w:bookmarkStart w:id="73" w:name="_Toc107325349"/>
      <w:bookmarkStart w:id="74" w:name="_Toc107412279"/>
      <w:r>
        <w:rPr>
          <w:sz w:val="28"/>
        </w:rPr>
        <w:lastRenderedPageBreak/>
        <w:t>Defined terms</w:t>
      </w:r>
      <w:bookmarkEnd w:id="72"/>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Confiscation Act</w:t>
      </w:r>
      <w:r>
        <w:tab/>
        <w:t>16(3)</w:t>
      </w:r>
    </w:p>
    <w:p>
      <w:pPr>
        <w:pStyle w:val="DefinedTerms"/>
      </w:pPr>
      <w:r>
        <w:t>corresponding function</w:t>
      </w:r>
      <w:r>
        <w:tab/>
        <w:t>17(2)</w:t>
      </w:r>
    </w:p>
    <w:p>
      <w:pPr>
        <w:pStyle w:val="DefinedTerms"/>
      </w:pPr>
      <w:r>
        <w:t>corresponding public officer</w:t>
      </w:r>
      <w:r>
        <w:tab/>
        <w:t>17(2)</w:t>
      </w:r>
    </w:p>
    <w:p>
      <w:pPr>
        <w:pStyle w:val="DefinedTerms"/>
      </w:pPr>
      <w:r>
        <w:t>Deputy Director</w:t>
      </w:r>
      <w:r>
        <w:tab/>
        <w:t>3</w:t>
      </w:r>
    </w:p>
    <w:p>
      <w:pPr>
        <w:pStyle w:val="DefinedTerms"/>
      </w:pPr>
      <w:r>
        <w:t>Director</w:t>
      </w:r>
      <w:r>
        <w:tab/>
        <w:t>3</w:t>
      </w:r>
    </w:p>
    <w:p>
      <w:pPr>
        <w:pStyle w:val="DefinedTerms"/>
      </w:pPr>
      <w:r>
        <w:t>document</w:t>
      </w:r>
      <w:r>
        <w:tab/>
        <w:t>22(4)</w:t>
      </w:r>
    </w:p>
    <w:p>
      <w:pPr>
        <w:pStyle w:val="DefinedTerms"/>
      </w:pPr>
      <w:r>
        <w:t>legal experience</w:t>
      </w:r>
      <w:r>
        <w:tab/>
        <w:t>5(4)</w:t>
      </w:r>
    </w:p>
    <w:p>
      <w:pPr>
        <w:pStyle w:val="DefinedTerms"/>
      </w:pPr>
      <w:r>
        <w:t>misbehaviour</w:t>
      </w:r>
      <w:r>
        <w:tab/>
        <w:t>Sch. 1 cl. 6(2)</w:t>
      </w:r>
    </w:p>
    <w:p>
      <w:pPr>
        <w:pStyle w:val="DefinedTerms"/>
      </w:pPr>
      <w:r>
        <w:t>offence</w:t>
      </w:r>
      <w:r>
        <w:tab/>
        <w:t>3</w:t>
      </w:r>
    </w:p>
    <w:p>
      <w:pPr>
        <w:pStyle w:val="DefinedTerms"/>
      </w:pPr>
      <w:r>
        <w:t>prescribed</w:t>
      </w:r>
      <w:r>
        <w:tab/>
        <w:t>18(3)</w:t>
      </w:r>
    </w:p>
    <w:p>
      <w:pPr>
        <w:pStyle w:val="DefinedTerms"/>
      </w:pPr>
      <w:r>
        <w:t>public service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A4EB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2C5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50FB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88E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70C1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60CF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2E0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6C29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2A31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8028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720A7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60159"/>
    <w:docVar w:name="WAFER_20140122160136" w:val="RemoveTocBookmarks,RemoveUnusedBookmarks,RemoveLanguageTags,UsedStyles,ResetPageSize,UpdateArrangement"/>
    <w:docVar w:name="WAFER_20140122160136_GUID" w:val="f6a05902-813f-4dfc-84be-bac2d7229c59"/>
    <w:docVar w:name="WAFER_20140122160532" w:val="RemoveTocBookmarks,RunningHeaders"/>
    <w:docVar w:name="WAFER_20140122160532_GUID" w:val="356570f0-d3f1-47b4-a4c6-622e823018f8"/>
    <w:docVar w:name="WAFER_20150410154433" w:val="ResetPageSize,UpdateArrangement,UpdateNTable"/>
    <w:docVar w:name="WAFER_20150410154433_GUID" w:val="d0ee165a-6fdd-4617-a5e5-ba883367cb51"/>
    <w:docVar w:name="WAFER_20151103103732" w:val="UpdateStyles,UsedStyles"/>
    <w:docVar w:name="WAFER_20151103103732_GUID" w:val="a374c3b3-4176-4ca9-a78d-ef0b6e3f07cf"/>
    <w:docVar w:name="WAFER_20200212134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023_GUID" w:val="7fcf5a59-dd81-44ef-8ceb-b7cbf8ad217c"/>
    <w:docVar w:name="WAFER_2020071009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050_GUID" w:val="196c1cf9-1a8d-45e6-9c69-5fac7e1532a7"/>
    <w:docVar w:name="WAFER_20200812112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526_GUID" w:val="90c919bc-6555-40ad-a456-28d8b16405fa"/>
    <w:docVar w:name="WAFER_20200826093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3802_GUID" w:val="f9208a52-50ff-4aa0-becc-d340f4288572"/>
    <w:docVar w:name="WAFER_202204081005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0550_GUID" w:val="12ec8f92-8bc8-4556-9394-bc2e405d3404"/>
    <w:docVar w:name="WAFER_202206281601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0159_GUID" w:val="769dc52d-df0b-4961-a02d-4418f5c9de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D293B39B-3EED-4EC2-A562-196032ED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6463</Words>
  <Characters>31027</Characters>
  <Application>Microsoft Office Word</Application>
  <DocSecurity>0</DocSecurity>
  <Lines>912</Lines>
  <Paragraphs>543</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1991 - 03-f0-00</dc:title>
  <dc:subject/>
  <dc:creator/>
  <cp:keywords/>
  <dc:description/>
  <cp:lastModifiedBy>Master Repository Process</cp:lastModifiedBy>
  <cp:revision>4</cp:revision>
  <cp:lastPrinted>2011-11-07T07:11:00Z</cp:lastPrinted>
  <dcterms:created xsi:type="dcterms:W3CDTF">2022-06-30T06:11:00Z</dcterms:created>
  <dcterms:modified xsi:type="dcterms:W3CDTF">2022-06-30T06:11:00Z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DocumentType">
    <vt:lpwstr>Act</vt:lpwstr>
  </property>
  <property fmtid="{D5CDD505-2E9C-101B-9397-08002B2CF9AE}" pid="4" name="OwlsUID">
    <vt:i4>223</vt:i4>
  </property>
  <property fmtid="{D5CDD505-2E9C-101B-9397-08002B2CF9AE}" pid="5" name="ReprintNo">
    <vt:lpwstr>3</vt:lpwstr>
  </property>
  <property fmtid="{D5CDD505-2E9C-101B-9397-08002B2CF9AE}" pid="6" name="ReprintedAsAt">
    <vt:filetime>2011-11-03T16:00:00Z</vt:filetime>
  </property>
  <property fmtid="{D5CDD505-2E9C-101B-9397-08002B2CF9AE}" pid="7" name="AsAtDate">
    <vt:lpwstr>01 Jul 2022</vt:lpwstr>
  </property>
  <property fmtid="{D5CDD505-2E9C-101B-9397-08002B2CF9AE}" pid="8" name="Suffix">
    <vt:lpwstr>03-f0-00</vt:lpwstr>
  </property>
  <property fmtid="{D5CDD505-2E9C-101B-9397-08002B2CF9AE}" pid="9" name="CommencementDate">
    <vt:lpwstr>20220701</vt:lpwstr>
  </property>
</Properties>
</file>