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Profession (Admission) Rules 2009</w:t>
      </w:r>
      <w:r>
        <w:fldChar w:fldCharType="end"/>
      </w:r>
    </w:p>
    <w:p>
      <w:pPr>
        <w:pStyle w:val="Subsection"/>
      </w:pPr>
      <w:r>
        <w:tab/>
      </w:r>
      <w:r>
        <w:tab/>
        <w:t xml:space="preserve">These rules were repealed as a result of the repeal of the </w:t>
      </w:r>
      <w:r>
        <w:rPr>
          <w:i/>
        </w:rPr>
        <w:t>Legal Profession Act 2008</w:t>
      </w:r>
      <w:r>
        <w:t xml:space="preserve"> by the </w:t>
      </w:r>
      <w:r>
        <w:rPr>
          <w:i/>
        </w:rPr>
        <w:t>Legal Profession Uniform Law Application Act 2022</w:t>
      </w:r>
      <w:r>
        <w:t xml:space="preserve"> s. 260(a) (No. 9 of 2022) on 1 Jul 2022 (see s. 2(c) and SL 2022/113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_Toc107481415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_Toc107481416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_Toc107481417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Applications</w:t>
      </w:r>
      <w:r>
        <w:tab/>
      </w:r>
      <w:r>
        <w:fldChar w:fldCharType="begin"/>
      </w:r>
      <w:r>
        <w:instrText xml:space="preserve"> PAGEREF _Toc107481418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Admission of local lawyers</w:t>
      </w:r>
    </w:p>
    <w:p>
      <w:pPr>
        <w:pStyle w:val="TOC8"/>
        <w:rPr>
          <w:rFonts w:asciiTheme="minorHAnsi" w:eastAsiaTheme="minorEastAsia" w:hAnsiTheme="minorHAnsi" w:cstheme="minorBidi"/>
          <w:szCs w:val="22"/>
        </w:rPr>
      </w:pPr>
      <w:r>
        <w:t>5.</w:t>
      </w:r>
      <w:r>
        <w:tab/>
        <w:t>Approved academic qualifications — institutions (s. 21)</w:t>
      </w:r>
      <w:r>
        <w:tab/>
      </w:r>
      <w:r>
        <w:fldChar w:fldCharType="begin"/>
      </w:r>
      <w:r>
        <w:instrText xml:space="preserve"> PAGEREF _Toc107481420 \h </w:instrText>
      </w:r>
      <w:r>
        <w:fldChar w:fldCharType="separate"/>
      </w:r>
      <w:r>
        <w:t>4</w:t>
      </w:r>
      <w:r>
        <w:fldChar w:fldCharType="end"/>
      </w:r>
    </w:p>
    <w:p>
      <w:pPr>
        <w:pStyle w:val="TOC8"/>
        <w:rPr>
          <w:rFonts w:asciiTheme="minorHAnsi" w:eastAsiaTheme="minorEastAsia" w:hAnsiTheme="minorHAnsi" w:cstheme="minorBidi"/>
          <w:szCs w:val="22"/>
        </w:rPr>
      </w:pPr>
      <w:r>
        <w:t>6.</w:t>
      </w:r>
      <w:r>
        <w:tab/>
        <w:t>Approved academic qualifications — individuals (s. 21)</w:t>
      </w:r>
      <w:r>
        <w:tab/>
      </w:r>
      <w:r>
        <w:fldChar w:fldCharType="begin"/>
      </w:r>
      <w:r>
        <w:instrText xml:space="preserve"> PAGEREF _Toc107481421 \h </w:instrText>
      </w:r>
      <w:r>
        <w:fldChar w:fldCharType="separate"/>
      </w:r>
      <w:r>
        <w:t>5</w:t>
      </w:r>
      <w:r>
        <w:fldChar w:fldCharType="end"/>
      </w:r>
    </w:p>
    <w:p>
      <w:pPr>
        <w:pStyle w:val="TOC8"/>
        <w:rPr>
          <w:rFonts w:asciiTheme="minorHAnsi" w:eastAsiaTheme="minorEastAsia" w:hAnsiTheme="minorHAnsi" w:cstheme="minorBidi"/>
          <w:szCs w:val="22"/>
        </w:rPr>
      </w:pPr>
      <w:r>
        <w:t>7.</w:t>
      </w:r>
      <w:r>
        <w:tab/>
        <w:t>Approved practical legal training requirements (s. 21)</w:t>
      </w:r>
      <w:r>
        <w:tab/>
      </w:r>
      <w:r>
        <w:fldChar w:fldCharType="begin"/>
      </w:r>
      <w:r>
        <w:instrText xml:space="preserve"> PAGEREF _Toc107481422 \h </w:instrText>
      </w:r>
      <w:r>
        <w:fldChar w:fldCharType="separate"/>
      </w:r>
      <w:r>
        <w:t>5</w:t>
      </w:r>
      <w:r>
        <w:fldChar w:fldCharType="end"/>
      </w:r>
    </w:p>
    <w:p>
      <w:pPr>
        <w:pStyle w:val="TOC8"/>
        <w:rPr>
          <w:rFonts w:asciiTheme="minorHAnsi" w:eastAsiaTheme="minorEastAsia" w:hAnsiTheme="minorHAnsi" w:cstheme="minorBidi"/>
          <w:szCs w:val="22"/>
        </w:rPr>
      </w:pPr>
      <w:r>
        <w:t>8.</w:t>
      </w:r>
      <w:r>
        <w:tab/>
        <w:t>Approval of practical legal training requirements — institution (s. 21)</w:t>
      </w:r>
      <w:r>
        <w:tab/>
      </w:r>
      <w:r>
        <w:fldChar w:fldCharType="begin"/>
      </w:r>
      <w:r>
        <w:instrText xml:space="preserve"> PAGEREF _Toc107481423 \h </w:instrText>
      </w:r>
      <w:r>
        <w:fldChar w:fldCharType="separate"/>
      </w:r>
      <w:r>
        <w:t>6</w:t>
      </w:r>
      <w:r>
        <w:fldChar w:fldCharType="end"/>
      </w:r>
    </w:p>
    <w:p>
      <w:pPr>
        <w:pStyle w:val="TOC8"/>
        <w:rPr>
          <w:rFonts w:asciiTheme="minorHAnsi" w:eastAsiaTheme="minorEastAsia" w:hAnsiTheme="minorHAnsi" w:cstheme="minorBidi"/>
          <w:szCs w:val="22"/>
        </w:rPr>
      </w:pPr>
      <w:r>
        <w:t>9.</w:t>
      </w:r>
      <w:r>
        <w:tab/>
        <w:t>Approval of practical legal training requirements — individual (s. 21)</w:t>
      </w:r>
      <w:r>
        <w:tab/>
      </w:r>
      <w:r>
        <w:fldChar w:fldCharType="begin"/>
      </w:r>
      <w:r>
        <w:instrText xml:space="preserve"> PAGEREF _Toc107481424 \h </w:instrText>
      </w:r>
      <w:r>
        <w:fldChar w:fldCharType="separate"/>
      </w:r>
      <w:r>
        <w:t>6</w:t>
      </w:r>
      <w:r>
        <w:fldChar w:fldCharType="end"/>
      </w:r>
    </w:p>
    <w:p>
      <w:pPr>
        <w:pStyle w:val="TOC8"/>
        <w:rPr>
          <w:rFonts w:asciiTheme="minorHAnsi" w:eastAsiaTheme="minorEastAsia" w:hAnsiTheme="minorHAnsi" w:cstheme="minorBidi"/>
          <w:szCs w:val="22"/>
        </w:rPr>
      </w:pPr>
      <w:r>
        <w:t>10.</w:t>
      </w:r>
      <w:r>
        <w:tab/>
        <w:t>Early consideration of suitability (s. 23)</w:t>
      </w:r>
      <w:r>
        <w:tab/>
      </w:r>
      <w:r>
        <w:fldChar w:fldCharType="begin"/>
      </w:r>
      <w:r>
        <w:instrText xml:space="preserve"> PAGEREF _Toc107481425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admission (s. 25)</w:t>
      </w:r>
      <w:r>
        <w:tab/>
      </w:r>
      <w:r>
        <w:fldChar w:fldCharType="begin"/>
      </w:r>
      <w:r>
        <w:instrText xml:space="preserve"> PAGEREF _Toc107481426 \h </w:instrText>
      </w:r>
      <w:r>
        <w:fldChar w:fldCharType="separate"/>
      </w:r>
      <w:r>
        <w:t>7</w:t>
      </w:r>
      <w:r>
        <w:fldChar w:fldCharType="end"/>
      </w:r>
    </w:p>
    <w:p>
      <w:pPr>
        <w:pStyle w:val="TOC8"/>
        <w:rPr>
          <w:rFonts w:asciiTheme="minorHAnsi" w:eastAsiaTheme="minorEastAsia" w:hAnsiTheme="minorHAnsi" w:cstheme="minorBidi"/>
          <w:szCs w:val="22"/>
        </w:rPr>
      </w:pPr>
      <w:r>
        <w:t>12.</w:t>
      </w:r>
      <w:r>
        <w:tab/>
        <w:t>Public notice of application for admission</w:t>
      </w:r>
      <w:r>
        <w:tab/>
      </w:r>
      <w:r>
        <w:fldChar w:fldCharType="begin"/>
      </w:r>
      <w:r>
        <w:instrText xml:space="preserve"> PAGEREF _Toc107481427 \h </w:instrText>
      </w:r>
      <w:r>
        <w:fldChar w:fldCharType="separate"/>
      </w:r>
      <w:r>
        <w:t>7</w:t>
      </w:r>
      <w:r>
        <w:fldChar w:fldCharType="end"/>
      </w:r>
    </w:p>
    <w:p>
      <w:pPr>
        <w:pStyle w:val="TOC8"/>
        <w:rPr>
          <w:rFonts w:asciiTheme="minorHAnsi" w:eastAsiaTheme="minorEastAsia" w:hAnsiTheme="minorHAnsi" w:cstheme="minorBidi"/>
          <w:szCs w:val="22"/>
        </w:rPr>
      </w:pPr>
      <w:r>
        <w:t>13.</w:t>
      </w:r>
      <w:r>
        <w:tab/>
        <w:t>Compliance certificates (s. 31)</w:t>
      </w:r>
      <w:r>
        <w:tab/>
      </w:r>
      <w:r>
        <w:fldChar w:fldCharType="begin"/>
      </w:r>
      <w:r>
        <w:instrText xml:space="preserve"> PAGEREF _Toc107481428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Articles of clerkship</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_Toc107481430 \h </w:instrText>
      </w:r>
      <w:r>
        <w:fldChar w:fldCharType="separate"/>
      </w:r>
      <w:r>
        <w:t>10</w:t>
      </w:r>
      <w:r>
        <w:fldChar w:fldCharType="end"/>
      </w:r>
    </w:p>
    <w:p>
      <w:pPr>
        <w:pStyle w:val="TOC8"/>
        <w:rPr>
          <w:rFonts w:asciiTheme="minorHAnsi" w:eastAsiaTheme="minorEastAsia" w:hAnsiTheme="minorHAnsi" w:cstheme="minorBidi"/>
          <w:szCs w:val="22"/>
        </w:rPr>
      </w:pPr>
      <w:r>
        <w:t>15.</w:t>
      </w:r>
      <w:r>
        <w:tab/>
        <w:t>Eligibility</w:t>
      </w:r>
      <w:r>
        <w:tab/>
      </w:r>
      <w:r>
        <w:fldChar w:fldCharType="begin"/>
      </w:r>
      <w:r>
        <w:instrText xml:space="preserve"> PAGEREF _Toc107481431 \h </w:instrText>
      </w:r>
      <w:r>
        <w:fldChar w:fldCharType="separate"/>
      </w:r>
      <w:r>
        <w:t>10</w:t>
      </w:r>
      <w:r>
        <w:fldChar w:fldCharType="end"/>
      </w:r>
    </w:p>
    <w:p>
      <w:pPr>
        <w:pStyle w:val="TOC8"/>
        <w:rPr>
          <w:rFonts w:asciiTheme="minorHAnsi" w:eastAsiaTheme="minorEastAsia" w:hAnsiTheme="minorHAnsi" w:cstheme="minorBidi"/>
          <w:szCs w:val="22"/>
        </w:rPr>
      </w:pPr>
      <w:r>
        <w:t>16.</w:t>
      </w:r>
      <w:r>
        <w:tab/>
        <w:t>Form and registration of articles of clerkship</w:t>
      </w:r>
      <w:r>
        <w:tab/>
      </w:r>
      <w:r>
        <w:fldChar w:fldCharType="begin"/>
      </w:r>
      <w:r>
        <w:instrText xml:space="preserve"> PAGEREF _Toc107481432 \h </w:instrText>
      </w:r>
      <w:r>
        <w:fldChar w:fldCharType="separate"/>
      </w:r>
      <w:r>
        <w:t>10</w:t>
      </w:r>
      <w:r>
        <w:fldChar w:fldCharType="end"/>
      </w:r>
    </w:p>
    <w:p>
      <w:pPr>
        <w:pStyle w:val="TOC8"/>
        <w:rPr>
          <w:rFonts w:asciiTheme="minorHAnsi" w:eastAsiaTheme="minorEastAsia" w:hAnsiTheme="minorHAnsi" w:cstheme="minorBidi"/>
          <w:szCs w:val="22"/>
        </w:rPr>
      </w:pPr>
      <w:r>
        <w:t>17.</w:t>
      </w:r>
      <w:r>
        <w:tab/>
        <w:t>Assignment or replacement of articles</w:t>
      </w:r>
      <w:r>
        <w:tab/>
      </w:r>
      <w:r>
        <w:fldChar w:fldCharType="begin"/>
      </w:r>
      <w:r>
        <w:instrText xml:space="preserve"> PAGEREF _Toc107481433 \h </w:instrText>
      </w:r>
      <w:r>
        <w:fldChar w:fldCharType="separate"/>
      </w:r>
      <w:r>
        <w:t>11</w:t>
      </w:r>
      <w:r>
        <w:fldChar w:fldCharType="end"/>
      </w:r>
    </w:p>
    <w:p>
      <w:pPr>
        <w:pStyle w:val="TOC8"/>
        <w:rPr>
          <w:rFonts w:asciiTheme="minorHAnsi" w:eastAsiaTheme="minorEastAsia" w:hAnsiTheme="minorHAnsi" w:cstheme="minorBidi"/>
          <w:szCs w:val="22"/>
        </w:rPr>
      </w:pPr>
      <w:r>
        <w:t>18.</w:t>
      </w:r>
      <w:r>
        <w:tab/>
        <w:t>Cancellation of registration of articles</w:t>
      </w:r>
      <w:r>
        <w:tab/>
      </w:r>
      <w:r>
        <w:fldChar w:fldCharType="begin"/>
      </w:r>
      <w:r>
        <w:instrText xml:space="preserve"> PAGEREF _Toc107481434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19.</w:t>
      </w:r>
      <w:r>
        <w:tab/>
        <w:t>Supervision of articled clerks</w:t>
      </w:r>
      <w:r>
        <w:tab/>
      </w:r>
      <w:r>
        <w:fldChar w:fldCharType="begin"/>
      </w:r>
      <w:r>
        <w:instrText xml:space="preserve"> PAGEREF _Toc107481435 \h </w:instrText>
      </w:r>
      <w:r>
        <w:fldChar w:fldCharType="separate"/>
      </w:r>
      <w:r>
        <w:t>12</w:t>
      </w:r>
      <w:r>
        <w:fldChar w:fldCharType="end"/>
      </w:r>
    </w:p>
    <w:p>
      <w:pPr>
        <w:pStyle w:val="TOC8"/>
        <w:rPr>
          <w:rFonts w:asciiTheme="minorHAnsi" w:eastAsiaTheme="minorEastAsia" w:hAnsiTheme="minorHAnsi" w:cstheme="minorBidi"/>
          <w:szCs w:val="22"/>
        </w:rPr>
      </w:pPr>
      <w:r>
        <w:t>20.</w:t>
      </w:r>
      <w:r>
        <w:tab/>
        <w:t>Articled clerks training</w:t>
      </w:r>
      <w:r>
        <w:tab/>
      </w:r>
      <w:r>
        <w:fldChar w:fldCharType="begin"/>
      </w:r>
      <w:r>
        <w:instrText xml:space="preserve"> PAGEREF _Toc107481436 \h </w:instrText>
      </w:r>
      <w:r>
        <w:fldChar w:fldCharType="separate"/>
      </w:r>
      <w:r>
        <w:t>12</w:t>
      </w:r>
      <w:r>
        <w:fldChar w:fldCharType="end"/>
      </w:r>
    </w:p>
    <w:p>
      <w:pPr>
        <w:pStyle w:val="TOC8"/>
        <w:rPr>
          <w:rFonts w:asciiTheme="minorHAnsi" w:eastAsiaTheme="minorEastAsia" w:hAnsiTheme="minorHAnsi" w:cstheme="minorBidi"/>
          <w:szCs w:val="22"/>
        </w:rPr>
      </w:pPr>
      <w:r>
        <w:t>21.</w:t>
      </w:r>
      <w:r>
        <w:tab/>
        <w:t>Conduct of principal for articled clerk</w:t>
      </w:r>
      <w:r>
        <w:tab/>
      </w:r>
      <w:r>
        <w:fldChar w:fldCharType="begin"/>
      </w:r>
      <w:r>
        <w:instrText xml:space="preserve"> PAGEREF _Toc107481437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General matters</w:t>
      </w:r>
    </w:p>
    <w:p>
      <w:pPr>
        <w:pStyle w:val="TOC8"/>
        <w:rPr>
          <w:rFonts w:asciiTheme="minorHAnsi" w:eastAsiaTheme="minorEastAsia" w:hAnsiTheme="minorHAnsi" w:cstheme="minorBidi"/>
          <w:szCs w:val="22"/>
        </w:rPr>
      </w:pPr>
      <w:r>
        <w:t>22.</w:t>
      </w:r>
      <w:r>
        <w:tab/>
        <w:t>Documents given to or by Board</w:t>
      </w:r>
      <w:r>
        <w:tab/>
      </w:r>
      <w:r>
        <w:fldChar w:fldCharType="begin"/>
      </w:r>
      <w:r>
        <w:instrText xml:space="preserve"> PAGEREF _Toc107481439 \h </w:instrText>
      </w:r>
      <w:r>
        <w:fldChar w:fldCharType="separate"/>
      </w:r>
      <w:r>
        <w:t>14</w:t>
      </w:r>
      <w:r>
        <w:fldChar w:fldCharType="end"/>
      </w:r>
    </w:p>
    <w:p>
      <w:pPr>
        <w:pStyle w:val="TOC8"/>
        <w:rPr>
          <w:rFonts w:asciiTheme="minorHAnsi" w:eastAsiaTheme="minorEastAsia" w:hAnsiTheme="minorHAnsi" w:cstheme="minorBidi"/>
          <w:szCs w:val="22"/>
        </w:rPr>
      </w:pPr>
      <w:r>
        <w:t>23.</w:t>
      </w:r>
      <w:r>
        <w:tab/>
        <w:t>Board may excuse non-compliance</w:t>
      </w:r>
      <w:r>
        <w:tab/>
      </w:r>
      <w:r>
        <w:fldChar w:fldCharType="begin"/>
      </w:r>
      <w:r>
        <w:instrText xml:space="preserve"> PAGEREF _Toc107481440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_Toc107481442 \h </w:instrText>
      </w:r>
      <w:r>
        <w:fldChar w:fldCharType="separate"/>
      </w:r>
      <w:r>
        <w:t>15</w:t>
      </w:r>
      <w:r>
        <w:fldChar w:fldCharType="end"/>
      </w:r>
    </w:p>
    <w:p>
      <w:pPr>
        <w:pStyle w:val="TOC8"/>
        <w:rPr>
          <w:rFonts w:asciiTheme="minorHAnsi" w:eastAsiaTheme="minorEastAsia" w:hAnsiTheme="minorHAnsi" w:cstheme="minorBidi"/>
          <w:szCs w:val="22"/>
        </w:rPr>
      </w:pPr>
      <w:r>
        <w:t>25.</w:t>
      </w:r>
      <w:r>
        <w:tab/>
        <w:t>Articles registered under 2003 Act</w:t>
      </w:r>
      <w:r>
        <w:tab/>
      </w:r>
      <w:r>
        <w:fldChar w:fldCharType="begin"/>
      </w:r>
      <w:r>
        <w:instrText xml:space="preserve"> PAGEREF _Toc107481443 \h </w:instrText>
      </w:r>
      <w:r>
        <w:fldChar w:fldCharType="separate"/>
      </w:r>
      <w:r>
        <w:t>15</w:t>
      </w:r>
      <w:r>
        <w:fldChar w:fldCharType="end"/>
      </w:r>
    </w:p>
    <w:p>
      <w:pPr>
        <w:pStyle w:val="TOC8"/>
        <w:rPr>
          <w:rFonts w:asciiTheme="minorHAnsi" w:eastAsiaTheme="minorEastAsia" w:hAnsiTheme="minorHAnsi" w:cstheme="minorBidi"/>
          <w:szCs w:val="22"/>
        </w:rPr>
      </w:pPr>
      <w:r>
        <w:t>26.</w:t>
      </w:r>
      <w:r>
        <w:tab/>
        <w:t>Managing clerks — approval of qualifications and training</w:t>
      </w:r>
      <w:r>
        <w:tab/>
      </w:r>
      <w:r>
        <w:fldChar w:fldCharType="begin"/>
      </w:r>
      <w:r>
        <w:instrText xml:space="preserve"> PAGEREF _Toc107481444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_Toc107481447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_Toc107481448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Legal Profession Act 2008</w:t>
      </w:r>
    </w:p>
    <w:p>
      <w:pPr>
        <w:pStyle w:val="NameofActReg"/>
      </w:pPr>
      <w:r>
        <w:t>Legal Profession (Admission) Rules 2009</w:t>
      </w:r>
    </w:p>
    <w:p>
      <w:pPr>
        <w:pStyle w:val="Heading2"/>
        <w:pageBreakBefore w:val="0"/>
        <w:tabs>
          <w:tab w:val="left" w:pos="1276"/>
        </w:tabs>
        <w:spacing w:before="240"/>
      </w:pPr>
      <w:bookmarkStart w:id="3" w:name="_Toc107394185"/>
      <w:bookmarkStart w:id="4" w:name="_Toc107394484"/>
      <w:bookmarkStart w:id="5" w:name="_Toc107481414"/>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7481415"/>
      <w:r>
        <w:rPr>
          <w:rStyle w:val="CharSectno"/>
        </w:rPr>
        <w:t>1</w:t>
      </w:r>
      <w:r>
        <w:t>.</w:t>
      </w:r>
      <w:r>
        <w:tab/>
        <w:t>Citation</w:t>
      </w:r>
      <w:bookmarkEnd w:id="6"/>
    </w:p>
    <w:p>
      <w:pPr>
        <w:pStyle w:val="Subsection"/>
      </w:pPr>
      <w:r>
        <w:tab/>
      </w:r>
      <w:r>
        <w:tab/>
      </w:r>
      <w:bookmarkStart w:id="7" w:name="Start_Cursor"/>
      <w:bookmarkEnd w:id="7"/>
      <w:r>
        <w:t xml:space="preserve">These rules are the </w:t>
      </w:r>
      <w:r>
        <w:rPr>
          <w:i/>
        </w:rPr>
        <w:t>Legal Profession (Admission) Rules 2009</w:t>
      </w:r>
      <w:r>
        <w:t>.</w:t>
      </w:r>
    </w:p>
    <w:p>
      <w:pPr>
        <w:pStyle w:val="Heading5"/>
      </w:pPr>
      <w:bookmarkStart w:id="8" w:name="_Toc107481416"/>
      <w:r>
        <w:rPr>
          <w:rStyle w:val="CharSectno"/>
        </w:rPr>
        <w:t>2</w:t>
      </w:r>
      <w:r>
        <w:t>.</w:t>
      </w:r>
      <w:r>
        <w:tab/>
        <w:t>Commencement</w:t>
      </w:r>
      <w:bookmarkEnd w:id="8"/>
    </w:p>
    <w:p>
      <w:pPr>
        <w:pStyle w:val="Subsection"/>
      </w:pPr>
      <w:r>
        <w:tab/>
      </w:r>
      <w:r>
        <w:tab/>
        <w:t>These rules come into operation as follows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9" w:name="_Toc107481417"/>
      <w:r>
        <w:rPr>
          <w:rStyle w:val="CharSectno"/>
        </w:rPr>
        <w:t>3</w:t>
      </w:r>
      <w:r>
        <w:t>.</w:t>
      </w:r>
      <w:r>
        <w:tab/>
        <w:t>Terms used</w:t>
      </w:r>
      <w:bookmarkEnd w:id="9"/>
    </w:p>
    <w:p>
      <w:pPr>
        <w:pStyle w:val="Subsection"/>
      </w:pPr>
      <w:r>
        <w:tab/>
      </w:r>
      <w:r>
        <w:tab/>
        <w:t>In these rules —</w:t>
      </w:r>
    </w:p>
    <w:p>
      <w:pPr>
        <w:pStyle w:val="Defstart"/>
      </w:pPr>
      <w:r>
        <w:tab/>
      </w:r>
      <w:r>
        <w:rPr>
          <w:rStyle w:val="CharDefText"/>
        </w:rPr>
        <w:t>Model Admission Rules</w:t>
      </w:r>
      <w:r>
        <w:t xml:space="preserve"> means the model admission rules prepared from time to time by the Law Admissions Consultative Committee;</w:t>
      </w:r>
    </w:p>
    <w:p>
      <w:pPr>
        <w:pStyle w:val="Defstart"/>
      </w:pPr>
      <w:r>
        <w:tab/>
      </w:r>
      <w:r>
        <w:rPr>
          <w:rStyle w:val="CharDefText"/>
        </w:rPr>
        <w:t>Model Admission Rules 2015</w:t>
      </w:r>
      <w:r>
        <w:t xml:space="preserve"> means the document of that name published in August 2015 by the Law Admissions Consultative Committee;</w:t>
      </w:r>
    </w:p>
    <w:p>
      <w:pPr>
        <w:pStyle w:val="Defstart"/>
      </w:pPr>
      <w:r>
        <w:tab/>
      </w:r>
      <w:r>
        <w:rPr>
          <w:rStyle w:val="CharDefText"/>
        </w:rPr>
        <w:t>proposed admission day</w:t>
      </w:r>
      <w:r>
        <w:t>, in relation to an application for admission to the legal profession, means the day set by the Supreme Court for the hearing of applications for admission that is —</w:t>
      </w:r>
    </w:p>
    <w:p>
      <w:pPr>
        <w:pStyle w:val="Defpara"/>
      </w:pPr>
      <w:r>
        <w:lastRenderedPageBreak/>
        <w:tab/>
        <w:t>(a)</w:t>
      </w:r>
      <w:r>
        <w:tab/>
        <w:t>next following the expiration of 2 months from the day on which the application is lodged; or</w:t>
      </w:r>
    </w:p>
    <w:p>
      <w:pPr>
        <w:pStyle w:val="Indenta"/>
      </w:pPr>
      <w:r>
        <w:tab/>
        <w:t>(ab)</w:t>
      </w:r>
      <w:r>
        <w:tab/>
        <w:t>if the application specifies a day for the admission of the applicant that is later than the day referred to in paragraph (a) — the day specified in the application;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Footnotesection"/>
      </w:pPr>
      <w:r>
        <w:tab/>
        <w:t>[Rule 3 amended: Gazette 3 Mar 2017 p. 1469</w:t>
      </w:r>
      <w:r>
        <w:noBreakHyphen/>
        <w:t>70.]</w:t>
      </w:r>
    </w:p>
    <w:p>
      <w:pPr>
        <w:pStyle w:val="Heading5"/>
      </w:pPr>
      <w:bookmarkStart w:id="10" w:name="_Toc107481418"/>
      <w:r>
        <w:rPr>
          <w:rStyle w:val="CharSectno"/>
        </w:rPr>
        <w:t>4</w:t>
      </w:r>
      <w:r>
        <w:t>.</w:t>
      </w:r>
      <w:r>
        <w:tab/>
        <w:t>Applications</w:t>
      </w:r>
      <w:bookmarkEnd w:id="10"/>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lastRenderedPageBreak/>
        <w:tab/>
        <w:t>(5)</w:t>
      </w:r>
      <w:r>
        <w:tab/>
        <w:t>The Board may refuse to consider an application if it is not made in accordance with these rules or the required fees are not paid.</w:t>
      </w:r>
    </w:p>
    <w:p>
      <w:pPr>
        <w:pStyle w:val="Heading2"/>
      </w:pPr>
      <w:bookmarkStart w:id="11" w:name="_Toc107394190"/>
      <w:bookmarkStart w:id="12" w:name="_Toc107394489"/>
      <w:bookmarkStart w:id="13" w:name="_Toc107481419"/>
      <w:r>
        <w:rPr>
          <w:rStyle w:val="CharPartNo"/>
        </w:rPr>
        <w:lastRenderedPageBreak/>
        <w:t>Part 2</w:t>
      </w:r>
      <w:r>
        <w:rPr>
          <w:rStyle w:val="CharDivNo"/>
        </w:rPr>
        <w:t> </w:t>
      </w:r>
      <w:r>
        <w:t>—</w:t>
      </w:r>
      <w:r>
        <w:rPr>
          <w:rStyle w:val="CharDivText"/>
        </w:rPr>
        <w:t> </w:t>
      </w:r>
      <w:r>
        <w:rPr>
          <w:rStyle w:val="CharPartText"/>
        </w:rPr>
        <w:t>Admission of local lawyers</w:t>
      </w:r>
      <w:bookmarkEnd w:id="11"/>
      <w:bookmarkEnd w:id="12"/>
      <w:bookmarkEnd w:id="13"/>
    </w:p>
    <w:p>
      <w:pPr>
        <w:pStyle w:val="Heading5"/>
      </w:pPr>
      <w:bookmarkStart w:id="14" w:name="_Toc107481420"/>
      <w:r>
        <w:rPr>
          <w:rStyle w:val="CharSectno"/>
        </w:rPr>
        <w:t>5</w:t>
      </w:r>
      <w:r>
        <w:t>.</w:t>
      </w:r>
      <w:r>
        <w:tab/>
        <w:t>Approved academic qualifications — institutions (s. 21)</w:t>
      </w:r>
      <w:bookmarkEnd w:id="14"/>
    </w:p>
    <w:p>
      <w:pPr>
        <w:pStyle w:val="Subsection"/>
      </w:pPr>
      <w:r>
        <w:tab/>
        <w:t>(1)</w:t>
      </w:r>
      <w:r>
        <w:tab/>
        <w:t xml:space="preserve">An academic qualification is an approved academic qualification for an individual’s admission to the legal profession in this jurisdiction, subject to subrule (2), if — </w:t>
      </w:r>
    </w:p>
    <w:p>
      <w:pPr>
        <w:pStyle w:val="Indenta"/>
      </w:pPr>
      <w:r>
        <w:tab/>
        <w:t>(a)</w:t>
      </w:r>
      <w:r>
        <w:tab/>
        <w:t>the qualification is set out in the Table; and</w:t>
      </w:r>
    </w:p>
    <w:p>
      <w:pPr>
        <w:pStyle w:val="Indenta"/>
      </w:pPr>
      <w:r>
        <w:tab/>
        <w:t>(b)</w:t>
      </w:r>
      <w:r>
        <w:tab/>
        <w:t>the Board is satisfied that in attaining the qualification the individual completed coursework covering all the areas of knowledge described in the Model Admission Rules 2015 Schedule 1.</w:t>
      </w:r>
    </w:p>
    <w:p>
      <w:pPr>
        <w:pStyle w:val="zTHeadingNAm"/>
      </w:pPr>
      <w:r>
        <w:t>Table</w:t>
      </w:r>
    </w:p>
    <w:tbl>
      <w:tblPr>
        <w:tblW w:w="6067" w:type="dxa"/>
        <w:tblInd w:w="1242" w:type="dxa"/>
        <w:tblLayout w:type="fixed"/>
        <w:tblCellMar>
          <w:bottom w:w="113" w:type="dxa"/>
        </w:tblCellMar>
        <w:tblLook w:val="0000" w:firstRow="0" w:lastRow="0" w:firstColumn="0" w:lastColumn="0" w:noHBand="0" w:noVBand="0"/>
      </w:tblPr>
      <w:tblGrid>
        <w:gridCol w:w="563"/>
        <w:gridCol w:w="3094"/>
        <w:gridCol w:w="2410"/>
      </w:tblGrid>
      <w:tr>
        <w:trPr>
          <w:tblHeader/>
        </w:trPr>
        <w:tc>
          <w:tcPr>
            <w:tcW w:w="563" w:type="dxa"/>
            <w:tcBorders>
              <w:top w:val="single" w:sz="4" w:space="0" w:color="auto"/>
              <w:bottom w:val="single" w:sz="4" w:space="0" w:color="auto"/>
            </w:tcBorders>
          </w:tcPr>
          <w:p>
            <w:pPr>
              <w:pStyle w:val="TableNAm"/>
              <w:jc w:val="center"/>
              <w:rPr>
                <w:b/>
                <w:szCs w:val="24"/>
              </w:rPr>
            </w:pPr>
          </w:p>
        </w:tc>
        <w:tc>
          <w:tcPr>
            <w:tcW w:w="3094" w:type="dxa"/>
            <w:tcBorders>
              <w:top w:val="single" w:sz="4" w:space="0" w:color="auto"/>
              <w:bottom w:val="single" w:sz="4" w:space="0" w:color="auto"/>
            </w:tcBorders>
          </w:tcPr>
          <w:p>
            <w:pPr>
              <w:pStyle w:val="TableNAm"/>
              <w:jc w:val="center"/>
              <w:rPr>
                <w:b/>
                <w:szCs w:val="24"/>
              </w:rPr>
            </w:pPr>
            <w:r>
              <w:rPr>
                <w:b/>
                <w:szCs w:val="24"/>
              </w:rPr>
              <w:t>University</w:t>
            </w:r>
          </w:p>
        </w:tc>
        <w:tc>
          <w:tcPr>
            <w:tcW w:w="2410" w:type="dxa"/>
            <w:tcBorders>
              <w:top w:val="single" w:sz="4" w:space="0" w:color="auto"/>
              <w:bottom w:val="single" w:sz="4" w:space="0" w:color="auto"/>
            </w:tcBorders>
          </w:tcPr>
          <w:p>
            <w:pPr>
              <w:pStyle w:val="TableNAm"/>
              <w:jc w:val="center"/>
              <w:rPr>
                <w:b/>
                <w:szCs w:val="24"/>
              </w:rPr>
            </w:pPr>
            <w:r>
              <w:rPr>
                <w:b/>
                <w:szCs w:val="24"/>
              </w:rPr>
              <w:t>Qualification</w:t>
            </w:r>
          </w:p>
        </w:tc>
      </w:tr>
      <w:tr>
        <w:tc>
          <w:tcPr>
            <w:tcW w:w="563" w:type="dxa"/>
            <w:tcBorders>
              <w:top w:val="single" w:sz="4" w:space="0" w:color="auto"/>
            </w:tcBorders>
          </w:tcPr>
          <w:p>
            <w:pPr>
              <w:pStyle w:val="TableNAm"/>
              <w:rPr>
                <w:szCs w:val="24"/>
              </w:rPr>
            </w:pPr>
            <w:r>
              <w:rPr>
                <w:szCs w:val="24"/>
              </w:rPr>
              <w:t>1.</w:t>
            </w:r>
          </w:p>
        </w:tc>
        <w:tc>
          <w:tcPr>
            <w:tcW w:w="3094" w:type="dxa"/>
            <w:tcBorders>
              <w:top w:val="single" w:sz="4" w:space="0" w:color="auto"/>
            </w:tcBorders>
          </w:tcPr>
          <w:p>
            <w:pPr>
              <w:pStyle w:val="TableNAm"/>
              <w:rPr>
                <w:szCs w:val="24"/>
              </w:rPr>
            </w:pPr>
            <w:r>
              <w:rPr>
                <w:szCs w:val="24"/>
              </w:rPr>
              <w:t>Curtin University</w:t>
            </w:r>
          </w:p>
        </w:tc>
        <w:tc>
          <w:tcPr>
            <w:tcW w:w="2410" w:type="dxa"/>
            <w:tcBorders>
              <w:top w:val="single" w:sz="4" w:space="0" w:color="auto"/>
            </w:tcBorders>
          </w:tcPr>
          <w:p>
            <w:pPr>
              <w:pStyle w:val="TableNAm"/>
              <w:rPr>
                <w:szCs w:val="24"/>
              </w:rPr>
            </w:pPr>
            <w:r>
              <w:rPr>
                <w:szCs w:val="24"/>
              </w:rPr>
              <w:t>Bachelor of Laws</w:t>
            </w:r>
          </w:p>
        </w:tc>
      </w:tr>
      <w:tr>
        <w:tc>
          <w:tcPr>
            <w:tcW w:w="563" w:type="dxa"/>
          </w:tcPr>
          <w:p>
            <w:pPr>
              <w:pStyle w:val="TableNAm"/>
              <w:rPr>
                <w:szCs w:val="24"/>
              </w:rPr>
            </w:pPr>
            <w:r>
              <w:rPr>
                <w:szCs w:val="24"/>
              </w:rPr>
              <w:t>2.</w:t>
            </w:r>
          </w:p>
        </w:tc>
        <w:tc>
          <w:tcPr>
            <w:tcW w:w="3094" w:type="dxa"/>
          </w:tcPr>
          <w:p>
            <w:pPr>
              <w:pStyle w:val="TableNAm"/>
              <w:rPr>
                <w:szCs w:val="24"/>
              </w:rPr>
            </w:pPr>
            <w:r>
              <w:rPr>
                <w:szCs w:val="24"/>
              </w:rPr>
              <w:t>Edith Cowan University</w:t>
            </w:r>
          </w:p>
        </w:tc>
        <w:tc>
          <w:tcPr>
            <w:tcW w:w="2410" w:type="dxa"/>
          </w:tcPr>
          <w:p>
            <w:pPr>
              <w:pStyle w:val="TableNAm"/>
              <w:rPr>
                <w:szCs w:val="24"/>
              </w:rPr>
            </w:pPr>
            <w:r>
              <w:rPr>
                <w:szCs w:val="24"/>
              </w:rPr>
              <w:t>Bachelor of Laws</w:t>
            </w:r>
          </w:p>
        </w:tc>
      </w:tr>
      <w:tr>
        <w:tc>
          <w:tcPr>
            <w:tcW w:w="563" w:type="dxa"/>
          </w:tcPr>
          <w:p>
            <w:pPr>
              <w:pStyle w:val="TableNAm"/>
              <w:rPr>
                <w:szCs w:val="24"/>
              </w:rPr>
            </w:pPr>
            <w:r>
              <w:rPr>
                <w:szCs w:val="24"/>
              </w:rPr>
              <w:t>3.</w:t>
            </w:r>
          </w:p>
        </w:tc>
        <w:tc>
          <w:tcPr>
            <w:tcW w:w="3094" w:type="dxa"/>
          </w:tcPr>
          <w:p>
            <w:pPr>
              <w:pStyle w:val="TableNAm"/>
              <w:rPr>
                <w:szCs w:val="24"/>
              </w:rPr>
            </w:pPr>
            <w:r>
              <w:rPr>
                <w:szCs w:val="24"/>
              </w:rPr>
              <w:t>Murdoch University</w:t>
            </w:r>
          </w:p>
        </w:tc>
        <w:tc>
          <w:tcPr>
            <w:tcW w:w="2410" w:type="dxa"/>
          </w:tcPr>
          <w:p>
            <w:pPr>
              <w:pStyle w:val="TableNAm"/>
              <w:rPr>
                <w:szCs w:val="24"/>
              </w:rPr>
            </w:pPr>
            <w:r>
              <w:rPr>
                <w:szCs w:val="24"/>
              </w:rPr>
              <w:t xml:space="preserve">Bachelor of Laws </w:t>
            </w:r>
            <w:r>
              <w:rPr>
                <w:szCs w:val="24"/>
              </w:rPr>
              <w:br/>
              <w:t>Juris Doctor</w:t>
            </w:r>
          </w:p>
        </w:tc>
      </w:tr>
      <w:tr>
        <w:tc>
          <w:tcPr>
            <w:tcW w:w="563" w:type="dxa"/>
          </w:tcPr>
          <w:p>
            <w:pPr>
              <w:pStyle w:val="TableNAm"/>
              <w:rPr>
                <w:szCs w:val="24"/>
              </w:rPr>
            </w:pPr>
            <w:r>
              <w:rPr>
                <w:szCs w:val="24"/>
              </w:rPr>
              <w:t>4.</w:t>
            </w:r>
          </w:p>
        </w:tc>
        <w:tc>
          <w:tcPr>
            <w:tcW w:w="3094" w:type="dxa"/>
          </w:tcPr>
          <w:p>
            <w:pPr>
              <w:pStyle w:val="TableNAm"/>
              <w:rPr>
                <w:szCs w:val="24"/>
              </w:rPr>
            </w:pPr>
            <w:r>
              <w:rPr>
                <w:szCs w:val="24"/>
              </w:rPr>
              <w:t>The University of Notre Dame Australia</w:t>
            </w:r>
          </w:p>
        </w:tc>
        <w:tc>
          <w:tcPr>
            <w:tcW w:w="2410" w:type="dxa"/>
          </w:tcPr>
          <w:p>
            <w:pPr>
              <w:pStyle w:val="TableNAm"/>
              <w:rPr>
                <w:szCs w:val="24"/>
              </w:rPr>
            </w:pPr>
            <w:r>
              <w:rPr>
                <w:szCs w:val="24"/>
              </w:rPr>
              <w:t xml:space="preserve">Bachelor of Laws </w:t>
            </w:r>
            <w:r>
              <w:rPr>
                <w:szCs w:val="24"/>
              </w:rPr>
              <w:br/>
              <w:t>Juris Doctor</w:t>
            </w:r>
          </w:p>
        </w:tc>
      </w:tr>
      <w:tr>
        <w:tc>
          <w:tcPr>
            <w:tcW w:w="563" w:type="dxa"/>
            <w:tcBorders>
              <w:bottom w:val="single" w:sz="4" w:space="0" w:color="auto"/>
            </w:tcBorders>
          </w:tcPr>
          <w:p>
            <w:pPr>
              <w:pStyle w:val="TableNAm"/>
              <w:rPr>
                <w:szCs w:val="24"/>
              </w:rPr>
            </w:pPr>
            <w:r>
              <w:rPr>
                <w:szCs w:val="24"/>
              </w:rPr>
              <w:t>5.</w:t>
            </w:r>
          </w:p>
        </w:tc>
        <w:tc>
          <w:tcPr>
            <w:tcW w:w="3094" w:type="dxa"/>
            <w:tcBorders>
              <w:bottom w:val="single" w:sz="4" w:space="0" w:color="auto"/>
            </w:tcBorders>
          </w:tcPr>
          <w:p>
            <w:pPr>
              <w:pStyle w:val="TableNAm"/>
              <w:rPr>
                <w:szCs w:val="24"/>
              </w:rPr>
            </w:pPr>
            <w:r>
              <w:rPr>
                <w:szCs w:val="24"/>
              </w:rPr>
              <w:t>The University of Western Australia</w:t>
            </w:r>
          </w:p>
        </w:tc>
        <w:tc>
          <w:tcPr>
            <w:tcW w:w="2410" w:type="dxa"/>
            <w:tcBorders>
              <w:bottom w:val="single" w:sz="4" w:space="0" w:color="auto"/>
            </w:tcBorders>
          </w:tcPr>
          <w:p>
            <w:pPr>
              <w:pStyle w:val="TableNAm"/>
              <w:rPr>
                <w:szCs w:val="24"/>
              </w:rPr>
            </w:pPr>
            <w:r>
              <w:rPr>
                <w:szCs w:val="24"/>
              </w:rPr>
              <w:t xml:space="preserve">Bachelor of Laws </w:t>
            </w:r>
            <w:r>
              <w:rPr>
                <w:szCs w:val="24"/>
              </w:rPr>
              <w:br/>
              <w:t>Juris Doctor</w:t>
            </w:r>
          </w:p>
        </w:tc>
      </w:tr>
    </w:tbl>
    <w:p>
      <w:pPr>
        <w:pStyle w:val="Subsection"/>
      </w:pPr>
      <w:r>
        <w:tab/>
        <w:t>(2)</w:t>
      </w:r>
      <w:r>
        <w:tab/>
        <w:t xml:space="preserve">If an academic qualification set out in the Table to subrule (1) was granted to an individual more than 5 years before the individual makes an application for admission to the legal profession — </w:t>
      </w:r>
    </w:p>
    <w:p>
      <w:pPr>
        <w:pStyle w:val="Indenta"/>
      </w:pPr>
      <w:r>
        <w:tab/>
        <w:t>(a)</w:t>
      </w:r>
      <w:r>
        <w:tab/>
        <w:t>the qualification is not an approved academic qualification under subrule (1); but</w:t>
      </w:r>
    </w:p>
    <w:p>
      <w:pPr>
        <w:pStyle w:val="Indenta"/>
        <w:keepNext/>
      </w:pPr>
      <w:r>
        <w:lastRenderedPageBreak/>
        <w:tab/>
        <w:t>(b)</w:t>
      </w:r>
      <w:r>
        <w:tab/>
        <w:t>the qualification may be approved under rule 6(1).</w:t>
      </w:r>
    </w:p>
    <w:p>
      <w:pPr>
        <w:pStyle w:val="Footnotesection"/>
      </w:pPr>
      <w:r>
        <w:tab/>
        <w:t>[Rule 5 inserted: Gazette 3 Mar 2017 p. 1470</w:t>
      </w:r>
      <w:r>
        <w:noBreakHyphen/>
        <w:t>1.]</w:t>
      </w:r>
    </w:p>
    <w:p>
      <w:pPr>
        <w:pStyle w:val="Heading5"/>
      </w:pPr>
      <w:bookmarkStart w:id="15" w:name="_Toc107481421"/>
      <w:r>
        <w:rPr>
          <w:rStyle w:val="CharSectno"/>
        </w:rPr>
        <w:t>6</w:t>
      </w:r>
      <w:r>
        <w:t>.</w:t>
      </w:r>
      <w:r>
        <w:tab/>
        <w:t>Approved academic qualifications — individuals (s. 21)</w:t>
      </w:r>
      <w:bookmarkEnd w:id="15"/>
    </w:p>
    <w:p>
      <w:pPr>
        <w:pStyle w:val="Subsection"/>
      </w:pPr>
      <w:r>
        <w:tab/>
        <w:t>(1)</w:t>
      </w:r>
      <w:r>
        <w:tab/>
        <w:t>The Board may, on the application of an individual, approve an academic qualification, or a combination of qualifications, as an approved academic qualification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approve an academic qualification the Board is to have regard to the Model Admission Rules.</w:t>
      </w:r>
    </w:p>
    <w:p>
      <w:pPr>
        <w:pStyle w:val="Footnotesection"/>
      </w:pPr>
      <w:r>
        <w:tab/>
        <w:t>[Rule 6 amended: Gazette 3 Mar 2017 p. 1471.]</w:t>
      </w:r>
    </w:p>
    <w:p>
      <w:pPr>
        <w:pStyle w:val="Heading5"/>
      </w:pPr>
      <w:bookmarkStart w:id="16" w:name="_Toc107481422"/>
      <w:r>
        <w:rPr>
          <w:rStyle w:val="CharSectno"/>
        </w:rPr>
        <w:t>7</w:t>
      </w:r>
      <w:r>
        <w:t>.</w:t>
      </w:r>
      <w:r>
        <w:tab/>
        <w:t>Approved practical legal training requirements (s. 21)</w:t>
      </w:r>
      <w:bookmarkEnd w:id="16"/>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tabs>
          <w:tab w:val="left" w:pos="1092"/>
        </w:tabs>
      </w:pPr>
      <w:r>
        <w:lastRenderedPageBreak/>
        <w:tab/>
        <w:t>(c)</w:t>
      </w:r>
      <w:r>
        <w:tab/>
        <w:t>practical legal training approved under rule 9.</w:t>
      </w:r>
    </w:p>
    <w:p>
      <w:pPr>
        <w:pStyle w:val="Subsection"/>
      </w:pPr>
      <w:r>
        <w:tab/>
        <w:t>(3)</w:t>
      </w:r>
      <w:r>
        <w:tab/>
        <w:t>For the purposes of this rule —</w:t>
      </w:r>
    </w:p>
    <w:p>
      <w:pPr>
        <w:pStyle w:val="Indenta"/>
        <w:rPr>
          <w:szCs w:val="24"/>
        </w:rPr>
      </w:pPr>
      <w:r>
        <w:tab/>
        <w:t>(a)</w:t>
      </w:r>
      <w:r>
        <w:tab/>
        <w:t xml:space="preserve">public holidays during a required period are to be included as days of service as an articled clerk, whether or not the articled clerk engaged in legal practice on those days; </w:t>
      </w:r>
      <w:r>
        <w:rPr>
          <w:szCs w:val="24"/>
        </w:rPr>
        <w:t>and</w:t>
      </w:r>
    </w:p>
    <w:p>
      <w:pPr>
        <w:pStyle w:val="Indenta"/>
      </w:pPr>
      <w:r>
        <w:tab/>
        <w:t>(b)</w:t>
      </w:r>
      <w:r>
        <w:tab/>
        <w:t>normal periods of leave taken during a required period by the articled clerk are to be included as periods of service as an articled clerk.</w:t>
      </w:r>
    </w:p>
    <w:p>
      <w:pPr>
        <w:pStyle w:val="Footnotesection"/>
      </w:pPr>
      <w:r>
        <w:tab/>
        <w:t>[Rule 7 amended: Gazette 6 Jul 2010 p. 3223.]</w:t>
      </w:r>
    </w:p>
    <w:p>
      <w:pPr>
        <w:pStyle w:val="Heading5"/>
      </w:pPr>
      <w:bookmarkStart w:id="17" w:name="_Toc107481423"/>
      <w:r>
        <w:rPr>
          <w:rStyle w:val="CharSectno"/>
        </w:rPr>
        <w:t>8</w:t>
      </w:r>
      <w:r>
        <w:t>.</w:t>
      </w:r>
      <w:r>
        <w:tab/>
        <w:t>Approval of practical legal training requirements — institution (s. 21)</w:t>
      </w:r>
      <w:bookmarkEnd w:id="17"/>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Model Admission Rules.</w:t>
      </w:r>
    </w:p>
    <w:p>
      <w:pPr>
        <w:pStyle w:val="Footnotesection"/>
      </w:pPr>
      <w:r>
        <w:tab/>
        <w:t>[Rule 8 amended: Gazette 3 Mar 2017 p. 1471.]</w:t>
      </w:r>
    </w:p>
    <w:p>
      <w:pPr>
        <w:pStyle w:val="Heading5"/>
      </w:pPr>
      <w:bookmarkStart w:id="18" w:name="_Toc107481424"/>
      <w:r>
        <w:rPr>
          <w:rStyle w:val="CharSectno"/>
        </w:rPr>
        <w:t>9</w:t>
      </w:r>
      <w:r>
        <w:t>.</w:t>
      </w:r>
      <w:r>
        <w:tab/>
        <w:t>Approval of practical legal training requirements — individual (s. 21)</w:t>
      </w:r>
      <w:bookmarkEnd w:id="18"/>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lastRenderedPageBreak/>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Model Admission Rules.</w:t>
      </w:r>
    </w:p>
    <w:p>
      <w:pPr>
        <w:pStyle w:val="Footnotesection"/>
      </w:pPr>
      <w:r>
        <w:tab/>
        <w:t>[Rule 9 amended: Gazette 3 Mar 2017 p. 1471.]</w:t>
      </w:r>
    </w:p>
    <w:p>
      <w:pPr>
        <w:pStyle w:val="Heading5"/>
      </w:pPr>
      <w:bookmarkStart w:id="19" w:name="_Toc107481425"/>
      <w:r>
        <w:rPr>
          <w:rStyle w:val="CharSectno"/>
        </w:rPr>
        <w:t>10</w:t>
      </w:r>
      <w:r>
        <w:t>.</w:t>
      </w:r>
      <w:r>
        <w:tab/>
        <w:t>Early consideration of suitability (s. 23)</w:t>
      </w:r>
      <w:bookmarkEnd w:id="19"/>
    </w:p>
    <w:p>
      <w:pPr>
        <w:pStyle w:val="Subsection"/>
      </w:pPr>
      <w:r>
        <w:tab/>
      </w:r>
      <w:r>
        <w:tab/>
        <w:t>An application under section 23 of the Act is to be made to the Board in accordance with rule 4.</w:t>
      </w:r>
    </w:p>
    <w:p>
      <w:pPr>
        <w:pStyle w:val="Heading5"/>
      </w:pPr>
      <w:bookmarkStart w:id="20" w:name="_Toc107481426"/>
      <w:r>
        <w:rPr>
          <w:rStyle w:val="CharSectno"/>
        </w:rPr>
        <w:t>11</w:t>
      </w:r>
      <w:r>
        <w:t>.</w:t>
      </w:r>
      <w:r>
        <w:tab/>
        <w:t>Application for admission (s. 25)</w:t>
      </w:r>
      <w:bookmarkEnd w:id="20"/>
    </w:p>
    <w:p>
      <w:pPr>
        <w:pStyle w:val="Subsection"/>
      </w:pPr>
      <w:r>
        <w:tab/>
        <w:t>(1)</w:t>
      </w:r>
      <w:r>
        <w:tab/>
        <w:t xml:space="preserve">An application for admission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for admission is made to the Court. </w:t>
      </w:r>
    </w:p>
    <w:p>
      <w:pPr>
        <w:pStyle w:val="Footnotesection"/>
      </w:pPr>
      <w:r>
        <w:tab/>
        <w:t>[Rule 11 amended: Gazette 3 Mar 2017 p. 1471.]</w:t>
      </w:r>
    </w:p>
    <w:p>
      <w:pPr>
        <w:pStyle w:val="Heading5"/>
      </w:pPr>
      <w:bookmarkStart w:id="21" w:name="_Toc107481427"/>
      <w:r>
        <w:rPr>
          <w:rStyle w:val="CharSectno"/>
        </w:rPr>
        <w:t>12</w:t>
      </w:r>
      <w:r>
        <w:t>.</w:t>
      </w:r>
      <w:r>
        <w:tab/>
        <w:t>Public notice of application for admission</w:t>
      </w:r>
      <w:bookmarkEnd w:id="21"/>
    </w:p>
    <w:p>
      <w:pPr>
        <w:pStyle w:val="Subsection"/>
      </w:pPr>
      <w:r>
        <w:tab/>
        <w:t>(1)</w:t>
      </w:r>
      <w:r>
        <w:tab/>
        <w:t>After receiving a notice under rule 11(2) the Board must cause notice of the applicant’s application for admission to the legal profession to be published twice in a daily newspaper circulating throughout the State.</w:t>
      </w:r>
    </w:p>
    <w:p>
      <w:pPr>
        <w:pStyle w:val="Subsection"/>
      </w:pPr>
      <w:r>
        <w:tab/>
        <w:t>(2)</w:t>
      </w:r>
      <w:r>
        <w:tab/>
        <w:t>The newspaper notices must appear —</w:t>
      </w:r>
    </w:p>
    <w:p>
      <w:pPr>
        <w:pStyle w:val="Indenta"/>
      </w:pPr>
      <w:r>
        <w:lastRenderedPageBreak/>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for admission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Footnotesection"/>
      </w:pPr>
      <w:r>
        <w:tab/>
        <w:t>[Rule 12 amended: Gazette 3 Mar 2017 p. 1471.]</w:t>
      </w:r>
    </w:p>
    <w:p>
      <w:pPr>
        <w:pStyle w:val="Heading5"/>
      </w:pPr>
      <w:bookmarkStart w:id="22" w:name="_Toc107481428"/>
      <w:r>
        <w:rPr>
          <w:rStyle w:val="CharSectno"/>
        </w:rPr>
        <w:t>13</w:t>
      </w:r>
      <w:r>
        <w:t>.</w:t>
      </w:r>
      <w:r>
        <w:tab/>
        <w:t>Compliance certificates (s. 31)</w:t>
      </w:r>
      <w:bookmarkEnd w:id="22"/>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Subsection"/>
      </w:pPr>
      <w:r>
        <w:tab/>
        <w:t>(4)</w:t>
      </w:r>
      <w:r>
        <w:tab/>
        <w:t xml:space="preserve">If the Board decides that it will be unable to meet the requirement set out in subrule (1) or (3) in relation to an application because the Board requires more time to consider the application, the Board must — </w:t>
      </w:r>
    </w:p>
    <w:p>
      <w:pPr>
        <w:pStyle w:val="Indenta"/>
      </w:pPr>
      <w:r>
        <w:tab/>
        <w:t>(a)</w:t>
      </w:r>
      <w:r>
        <w:tab/>
        <w:t>notify the Supreme Court and the applicant of that fact in writing at least 7 days before the proposed admission day; and</w:t>
      </w:r>
    </w:p>
    <w:p>
      <w:pPr>
        <w:pStyle w:val="Indenta"/>
      </w:pPr>
      <w:r>
        <w:lastRenderedPageBreak/>
        <w:tab/>
        <w:t>(b)</w:t>
      </w:r>
      <w:r>
        <w:tab/>
        <w:t>specify the date by which it will file either a compliance certificate or information notice.</w:t>
      </w:r>
    </w:p>
    <w:p>
      <w:pPr>
        <w:pStyle w:val="Subsection"/>
      </w:pPr>
      <w:r>
        <w:tab/>
        <w:t>(5)</w:t>
      </w:r>
      <w:r>
        <w:tab/>
        <w:t>If the Board has given a notice under subrule (4) it must, on or before the date specified in the notice, file either a compliance certificate or information notice.</w:t>
      </w:r>
    </w:p>
    <w:p>
      <w:pPr>
        <w:pStyle w:val="Footnotesection"/>
      </w:pPr>
      <w:r>
        <w:tab/>
        <w:t>[Rule 13 amended: Gazette 3 Mar 2017 p. 1472; 3 Mar 2017 p. 1472.]</w:t>
      </w:r>
    </w:p>
    <w:p>
      <w:pPr>
        <w:pStyle w:val="Heading2"/>
      </w:pPr>
      <w:bookmarkStart w:id="23" w:name="_Toc107394200"/>
      <w:bookmarkStart w:id="24" w:name="_Toc107394499"/>
      <w:bookmarkStart w:id="25" w:name="_Toc107481429"/>
      <w:r>
        <w:rPr>
          <w:rStyle w:val="CharPartNo"/>
        </w:rPr>
        <w:lastRenderedPageBreak/>
        <w:t>Part 3</w:t>
      </w:r>
      <w:r>
        <w:rPr>
          <w:rStyle w:val="CharDivNo"/>
        </w:rPr>
        <w:t> </w:t>
      </w:r>
      <w:r>
        <w:t>—</w:t>
      </w:r>
      <w:r>
        <w:rPr>
          <w:rStyle w:val="CharDivText"/>
        </w:rPr>
        <w:t> </w:t>
      </w:r>
      <w:r>
        <w:rPr>
          <w:rStyle w:val="CharPartText"/>
        </w:rPr>
        <w:t>Articles of clerkship</w:t>
      </w:r>
      <w:bookmarkEnd w:id="23"/>
      <w:bookmarkEnd w:id="24"/>
      <w:bookmarkEnd w:id="25"/>
    </w:p>
    <w:p>
      <w:pPr>
        <w:pStyle w:val="Heading5"/>
      </w:pPr>
      <w:bookmarkStart w:id="26" w:name="_Toc107481430"/>
      <w:r>
        <w:rPr>
          <w:rStyle w:val="CharSectno"/>
        </w:rPr>
        <w:t>14</w:t>
      </w:r>
      <w:r>
        <w:t>.</w:t>
      </w:r>
      <w:r>
        <w:tab/>
        <w:t>Terms used</w:t>
      </w:r>
      <w:bookmarkEnd w:id="26"/>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27" w:name="_Toc107481431"/>
      <w:r>
        <w:rPr>
          <w:rStyle w:val="CharSectno"/>
        </w:rPr>
        <w:t>15</w:t>
      </w:r>
      <w:r>
        <w:t>.</w:t>
      </w:r>
      <w:r>
        <w:tab/>
        <w:t>Eligibility</w:t>
      </w:r>
      <w:bookmarkEnd w:id="27"/>
    </w:p>
    <w:p>
      <w:pPr>
        <w:pStyle w:val="Subsection"/>
      </w:pPr>
      <w:r>
        <w:tab/>
        <w:t>(1)</w:t>
      </w:r>
      <w:r>
        <w:tab/>
        <w:t>A person is eligible to be an articled clerk only if the person has attained academic qualifications sufficient to satisfy section 21(2)(b) of the Act.</w:t>
      </w:r>
    </w:p>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8" w:name="_Toc107481432"/>
      <w:r>
        <w:rPr>
          <w:rStyle w:val="CharSectno"/>
        </w:rPr>
        <w:t>16</w:t>
      </w:r>
      <w:r>
        <w:t>.</w:t>
      </w:r>
      <w:r>
        <w:tab/>
        <w:t>Form and registration of articles of clerkship</w:t>
      </w:r>
      <w:bookmarkEnd w:id="28"/>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lastRenderedPageBreak/>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9" w:name="_Toc107481433"/>
      <w:r>
        <w:rPr>
          <w:rStyle w:val="CharSectno"/>
        </w:rPr>
        <w:t>17</w:t>
      </w:r>
      <w:r>
        <w:t>.</w:t>
      </w:r>
      <w:r>
        <w:tab/>
        <w:t>Assignment or replacement of articles</w:t>
      </w:r>
      <w:bookmarkEnd w:id="29"/>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30" w:name="_Toc107481434"/>
      <w:r>
        <w:rPr>
          <w:rStyle w:val="CharSectno"/>
        </w:rPr>
        <w:lastRenderedPageBreak/>
        <w:t>18</w:t>
      </w:r>
      <w:r>
        <w:t>.</w:t>
      </w:r>
      <w:r>
        <w:tab/>
        <w:t>Cancellation of registration of articles</w:t>
      </w:r>
      <w:bookmarkEnd w:id="30"/>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31" w:name="_Toc107481435"/>
      <w:r>
        <w:rPr>
          <w:rStyle w:val="CharSectno"/>
        </w:rPr>
        <w:t>19</w:t>
      </w:r>
      <w:r>
        <w:t>.</w:t>
      </w:r>
      <w:r>
        <w:tab/>
        <w:t>Supervision of articled clerks</w:t>
      </w:r>
      <w:bookmarkEnd w:id="31"/>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32" w:name="_Toc107481436"/>
      <w:r>
        <w:rPr>
          <w:rStyle w:val="CharSectno"/>
        </w:rPr>
        <w:t>20</w:t>
      </w:r>
      <w:r>
        <w:t>.</w:t>
      </w:r>
      <w:r>
        <w:tab/>
        <w:t>Articled clerks training</w:t>
      </w:r>
      <w:bookmarkEnd w:id="32"/>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Model Admission Rules.</w:t>
      </w:r>
    </w:p>
    <w:p>
      <w:pPr>
        <w:pStyle w:val="Subsection"/>
        <w:keepNext/>
      </w:pPr>
      <w:r>
        <w:lastRenderedPageBreak/>
        <w:tab/>
        <w:t>(3)</w:t>
      </w:r>
      <w:r>
        <w:tab/>
        <w:t>A programme approved by the Board under subrule (1) may be conducted in whole or in part by the Board.</w:t>
      </w:r>
    </w:p>
    <w:p>
      <w:pPr>
        <w:pStyle w:val="Footnotesection"/>
      </w:pPr>
      <w:r>
        <w:tab/>
        <w:t>[Rule 20 inserted: Gazette 6 Jul 2010 p. 3224; amended: Gazette 3 Mar 2017 p. 1472.]</w:t>
      </w:r>
    </w:p>
    <w:p>
      <w:pPr>
        <w:pStyle w:val="Heading5"/>
      </w:pPr>
      <w:bookmarkStart w:id="33" w:name="_Toc107481437"/>
      <w:r>
        <w:rPr>
          <w:rStyle w:val="CharSectno"/>
        </w:rPr>
        <w:t>21</w:t>
      </w:r>
      <w:r>
        <w:t>.</w:t>
      </w:r>
      <w:r>
        <w:tab/>
        <w:t>Conduct of principal for articled clerk</w:t>
      </w:r>
      <w:bookmarkEnd w:id="33"/>
    </w:p>
    <w:p>
      <w:pPr>
        <w:pStyle w:val="Subsection"/>
      </w:pPr>
      <w:r>
        <w:tab/>
      </w:r>
      <w:r>
        <w:tab/>
        <w:t>A local legal practitioner who is the principal for an articled clerk under articles of clerkship must comply with that deed.</w:t>
      </w:r>
    </w:p>
    <w:p>
      <w:pPr>
        <w:pStyle w:val="Heading2"/>
      </w:pPr>
      <w:bookmarkStart w:id="34" w:name="_Toc107394209"/>
      <w:bookmarkStart w:id="35" w:name="_Toc107394508"/>
      <w:bookmarkStart w:id="36" w:name="_Toc107481438"/>
      <w:r>
        <w:rPr>
          <w:rStyle w:val="CharPartNo"/>
        </w:rPr>
        <w:lastRenderedPageBreak/>
        <w:t>Part 4</w:t>
      </w:r>
      <w:r>
        <w:rPr>
          <w:rStyle w:val="CharDivNo"/>
        </w:rPr>
        <w:t> </w:t>
      </w:r>
      <w:r>
        <w:t>—</w:t>
      </w:r>
      <w:r>
        <w:rPr>
          <w:rStyle w:val="CharDivText"/>
        </w:rPr>
        <w:t> </w:t>
      </w:r>
      <w:r>
        <w:rPr>
          <w:rStyle w:val="CharPartText"/>
        </w:rPr>
        <w:t>General matters</w:t>
      </w:r>
      <w:bookmarkEnd w:id="34"/>
      <w:bookmarkEnd w:id="35"/>
      <w:bookmarkEnd w:id="36"/>
    </w:p>
    <w:p>
      <w:pPr>
        <w:pStyle w:val="Heading5"/>
      </w:pPr>
      <w:bookmarkStart w:id="37" w:name="_Toc107481439"/>
      <w:r>
        <w:rPr>
          <w:rStyle w:val="CharSectno"/>
        </w:rPr>
        <w:t>22</w:t>
      </w:r>
      <w:r>
        <w:t>.</w:t>
      </w:r>
      <w:r>
        <w:tab/>
        <w:t>Documents given to or by Board</w:t>
      </w:r>
      <w:bookmarkEnd w:id="37"/>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8" w:name="_Toc107481440"/>
      <w:r>
        <w:rPr>
          <w:rStyle w:val="CharSectno"/>
        </w:rPr>
        <w:t>23</w:t>
      </w:r>
      <w:r>
        <w:t>.</w:t>
      </w:r>
      <w:r>
        <w:tab/>
        <w:t>Board may excuse non-compliance</w:t>
      </w:r>
      <w:bookmarkEnd w:id="38"/>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9" w:name="_Toc107394212"/>
      <w:bookmarkStart w:id="40" w:name="_Toc107394511"/>
      <w:bookmarkStart w:id="41" w:name="_Toc107481441"/>
      <w:r>
        <w:rPr>
          <w:rStyle w:val="CharPartNo"/>
        </w:rPr>
        <w:lastRenderedPageBreak/>
        <w:t>Part 5</w:t>
      </w:r>
      <w:r>
        <w:rPr>
          <w:rStyle w:val="CharDivNo"/>
        </w:rPr>
        <w:t> </w:t>
      </w:r>
      <w:r>
        <w:t>—</w:t>
      </w:r>
      <w:r>
        <w:rPr>
          <w:rStyle w:val="CharDivText"/>
        </w:rPr>
        <w:t> </w:t>
      </w:r>
      <w:r>
        <w:rPr>
          <w:rStyle w:val="CharPartText"/>
        </w:rPr>
        <w:t>Transitional provisions</w:t>
      </w:r>
      <w:bookmarkEnd w:id="39"/>
      <w:bookmarkEnd w:id="40"/>
      <w:bookmarkEnd w:id="41"/>
    </w:p>
    <w:p>
      <w:pPr>
        <w:pStyle w:val="Heading5"/>
      </w:pPr>
      <w:bookmarkStart w:id="42" w:name="_Toc107481442"/>
      <w:r>
        <w:rPr>
          <w:rStyle w:val="CharSectno"/>
        </w:rPr>
        <w:t>24</w:t>
      </w:r>
      <w:r>
        <w:t>.</w:t>
      </w:r>
      <w:r>
        <w:tab/>
        <w:t>Terms used</w:t>
      </w:r>
      <w:bookmarkEnd w:id="42"/>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r>
        <w:rPr>
          <w:vertAlign w:val="superscript"/>
        </w:rPr>
        <w:t> 1</w:t>
      </w:r>
      <w:r>
        <w:t>;</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43" w:name="_Toc107481443"/>
      <w:r>
        <w:rPr>
          <w:rStyle w:val="CharSectno"/>
        </w:rPr>
        <w:t>25</w:t>
      </w:r>
      <w:r>
        <w:t>.</w:t>
      </w:r>
      <w:r>
        <w:tab/>
        <w:t>Articles registered under 2003 Act</w:t>
      </w:r>
      <w:bookmarkEnd w:id="43"/>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 xml:space="preserve">in relation to a person who is an articled clerk under a deed to which subrule (1) applies that is in force immediately before the </w:t>
      </w:r>
      <w:r>
        <w:lastRenderedPageBreak/>
        <w:t>commencement day, continues for the purposes of the provision that is to be taken to be included in that deed under subrule (2).</w:t>
      </w:r>
    </w:p>
    <w:p>
      <w:pPr>
        <w:pStyle w:val="Heading5"/>
      </w:pPr>
      <w:bookmarkStart w:id="44" w:name="_Toc107481444"/>
      <w:r>
        <w:rPr>
          <w:rStyle w:val="CharSectno"/>
        </w:rPr>
        <w:t>26</w:t>
      </w:r>
      <w:r>
        <w:t>.</w:t>
      </w:r>
      <w:r>
        <w:tab/>
        <w:t>Managing clerks — approval of qualifications and training</w:t>
      </w:r>
      <w:bookmarkEnd w:id="44"/>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5" w:name="_Toc107394216"/>
      <w:bookmarkStart w:id="46" w:name="_Toc107394515"/>
      <w:bookmarkStart w:id="47" w:name="_Toc107481445"/>
      <w:r>
        <w:rPr>
          <w:rStyle w:val="CharSchNo"/>
        </w:rPr>
        <w:lastRenderedPageBreak/>
        <w:t>Schedule 1</w:t>
      </w:r>
      <w:r>
        <w:rPr>
          <w:rStyle w:val="CharSDivNo"/>
        </w:rPr>
        <w:t> </w:t>
      </w:r>
      <w:r>
        <w:t>—</w:t>
      </w:r>
      <w:r>
        <w:rPr>
          <w:rStyle w:val="CharSDivText"/>
        </w:rPr>
        <w:t> </w:t>
      </w:r>
      <w:r>
        <w:rPr>
          <w:rStyle w:val="CharSchText"/>
        </w:rPr>
        <w:t>Fees</w:t>
      </w:r>
      <w:bookmarkEnd w:id="45"/>
      <w:bookmarkEnd w:id="46"/>
      <w:bookmarkEnd w:id="47"/>
    </w:p>
    <w:p>
      <w:pPr>
        <w:pStyle w:val="yShoulderClause"/>
        <w:spacing w:after="60"/>
      </w:pPr>
      <w:r>
        <w:t>[r. 4(2)(c)]</w:t>
      </w:r>
    </w:p>
    <w:tbl>
      <w:tblPr>
        <w:tblW w:w="0" w:type="auto"/>
        <w:tblInd w:w="108" w:type="dxa"/>
        <w:tblLayout w:type="fixed"/>
        <w:tblCellMar>
          <w:bottom w:w="113" w:type="dxa"/>
        </w:tblCellMar>
        <w:tblLook w:val="0000" w:firstRow="0" w:lastRow="0" w:firstColumn="0" w:lastColumn="0" w:noHBand="0" w:noVBand="0"/>
      </w:tblPr>
      <w:tblGrid>
        <w:gridCol w:w="856"/>
        <w:gridCol w:w="5523"/>
        <w:gridCol w:w="709"/>
      </w:tblGrid>
      <w:tr>
        <w:trPr>
          <w:tblHeader/>
        </w:trPr>
        <w:tc>
          <w:tcPr>
            <w:tcW w:w="856" w:type="dxa"/>
            <w:tcBorders>
              <w:top w:val="single" w:sz="4" w:space="0" w:color="auto"/>
              <w:bottom w:val="single" w:sz="4" w:space="0" w:color="auto"/>
            </w:tcBorders>
          </w:tcPr>
          <w:p>
            <w:pPr>
              <w:pStyle w:val="yTableNAm"/>
              <w:jc w:val="center"/>
              <w:rPr>
                <w:b/>
                <w:bCs/>
              </w:rPr>
            </w:pPr>
            <w:r>
              <w:rPr>
                <w:b/>
                <w:bCs/>
              </w:rPr>
              <w:t>Rule</w:t>
            </w:r>
          </w:p>
        </w:tc>
        <w:tc>
          <w:tcPr>
            <w:tcW w:w="5523" w:type="dxa"/>
            <w:tcBorders>
              <w:top w:val="single" w:sz="4" w:space="0" w:color="auto"/>
              <w:bottom w:val="single" w:sz="4" w:space="0" w:color="auto"/>
            </w:tcBorders>
          </w:tcPr>
          <w:p>
            <w:pPr>
              <w:pStyle w:val="yTableNAm"/>
              <w:jc w:val="center"/>
              <w:rPr>
                <w:b/>
                <w:bCs/>
              </w:rPr>
            </w:pPr>
            <w:r>
              <w:rPr>
                <w:b/>
                <w:bCs/>
              </w:rPr>
              <w:t>Subject matter</w:t>
            </w:r>
          </w:p>
        </w:tc>
        <w:tc>
          <w:tcPr>
            <w:tcW w:w="709"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c>
          <w:tcPr>
            <w:tcW w:w="856" w:type="dxa"/>
            <w:tcBorders>
              <w:top w:val="single" w:sz="4" w:space="0" w:color="auto"/>
            </w:tcBorders>
          </w:tcPr>
          <w:p>
            <w:pPr>
              <w:pStyle w:val="yTableNAm"/>
            </w:pPr>
            <w:r>
              <w:t xml:space="preserve">r. 6 </w:t>
            </w:r>
          </w:p>
        </w:tc>
        <w:tc>
          <w:tcPr>
            <w:tcW w:w="5523" w:type="dxa"/>
            <w:tcBorders>
              <w:top w:val="single" w:sz="4" w:space="0" w:color="auto"/>
            </w:tcBorders>
          </w:tcPr>
          <w:p>
            <w:pPr>
              <w:pStyle w:val="yTableNAm"/>
              <w:tabs>
                <w:tab w:val="clear" w:pos="567"/>
                <w:tab w:val="right" w:leader="dot" w:pos="5307"/>
              </w:tabs>
            </w:pPr>
            <w:r>
              <w:t xml:space="preserve">Approval of qualification: application by individual </w:t>
            </w:r>
            <w:r>
              <w:tab/>
            </w:r>
          </w:p>
        </w:tc>
        <w:tc>
          <w:tcPr>
            <w:tcW w:w="709" w:type="dxa"/>
            <w:tcBorders>
              <w:top w:val="single" w:sz="4" w:space="0" w:color="auto"/>
            </w:tcBorders>
            <w:tcMar>
              <w:left w:w="0" w:type="dxa"/>
              <w:right w:w="0" w:type="dxa"/>
            </w:tcMar>
          </w:tcPr>
          <w:p>
            <w:pPr>
              <w:pStyle w:val="yTableNAm"/>
              <w:jc w:val="center"/>
            </w:pPr>
            <w:r>
              <w:t>$200</w:t>
            </w:r>
          </w:p>
        </w:tc>
      </w:tr>
      <w:tr>
        <w:tc>
          <w:tcPr>
            <w:tcW w:w="856" w:type="dxa"/>
          </w:tcPr>
          <w:p>
            <w:pPr>
              <w:pStyle w:val="yTableNAm"/>
            </w:pPr>
            <w:r>
              <w:t>r. 9</w:t>
            </w:r>
          </w:p>
        </w:tc>
        <w:tc>
          <w:tcPr>
            <w:tcW w:w="5523" w:type="dxa"/>
          </w:tcPr>
          <w:p>
            <w:pPr>
              <w:pStyle w:val="yTableNAm"/>
              <w:tabs>
                <w:tab w:val="clear" w:pos="567"/>
                <w:tab w:val="right" w:leader="dot" w:pos="5307"/>
              </w:tabs>
            </w:pPr>
            <w:r>
              <w:t xml:space="preserve">Approval of practical legal training: application by individual </w:t>
            </w:r>
            <w:r>
              <w:tab/>
            </w:r>
          </w:p>
        </w:tc>
        <w:tc>
          <w:tcPr>
            <w:tcW w:w="709" w:type="dxa"/>
            <w:tcMar>
              <w:left w:w="0" w:type="dxa"/>
              <w:right w:w="0" w:type="dxa"/>
            </w:tcMar>
          </w:tcPr>
          <w:p>
            <w:pPr>
              <w:pStyle w:val="yTableNAm"/>
              <w:jc w:val="center"/>
            </w:pPr>
            <w:r>
              <w:br/>
              <w:t>$200</w:t>
            </w:r>
          </w:p>
        </w:tc>
      </w:tr>
      <w:tr>
        <w:tc>
          <w:tcPr>
            <w:tcW w:w="856" w:type="dxa"/>
          </w:tcPr>
          <w:p>
            <w:pPr>
              <w:pStyle w:val="yTableNAm"/>
            </w:pPr>
            <w:r>
              <w:t>r. 10</w:t>
            </w:r>
          </w:p>
        </w:tc>
        <w:tc>
          <w:tcPr>
            <w:tcW w:w="5523" w:type="dxa"/>
          </w:tcPr>
          <w:p>
            <w:pPr>
              <w:pStyle w:val="yTableNAm"/>
              <w:tabs>
                <w:tab w:val="clear" w:pos="567"/>
                <w:tab w:val="right" w:leader="dot" w:pos="5307"/>
              </w:tabs>
            </w:pPr>
            <w:r>
              <w:t>Early consideration of suitability</w:t>
            </w:r>
            <w:r>
              <w:br/>
              <w:t xml:space="preserve">application for declaration under s. 23 of Act </w:t>
            </w:r>
            <w:r>
              <w:tab/>
            </w:r>
          </w:p>
        </w:tc>
        <w:tc>
          <w:tcPr>
            <w:tcW w:w="709" w:type="dxa"/>
            <w:tcMar>
              <w:left w:w="0" w:type="dxa"/>
              <w:right w:w="0" w:type="dxa"/>
            </w:tcMar>
          </w:tcPr>
          <w:p>
            <w:pPr>
              <w:pStyle w:val="yTableNAm"/>
              <w:jc w:val="center"/>
            </w:pPr>
            <w:r>
              <w:br/>
              <w:t>$300</w:t>
            </w:r>
          </w:p>
        </w:tc>
      </w:tr>
      <w:tr>
        <w:tc>
          <w:tcPr>
            <w:tcW w:w="856" w:type="dxa"/>
          </w:tcPr>
          <w:p>
            <w:pPr>
              <w:pStyle w:val="yTableNAm"/>
            </w:pPr>
            <w:r>
              <w:t>r. 11</w:t>
            </w:r>
          </w:p>
        </w:tc>
        <w:tc>
          <w:tcPr>
            <w:tcW w:w="5523" w:type="dxa"/>
          </w:tcPr>
          <w:p>
            <w:pPr>
              <w:pStyle w:val="yTableNAm"/>
              <w:tabs>
                <w:tab w:val="clear" w:pos="567"/>
                <w:tab w:val="right" w:leader="dot" w:pos="5307"/>
              </w:tabs>
            </w:pPr>
            <w:r>
              <w:t xml:space="preserve">Notice to Board of application for admission </w:t>
            </w:r>
            <w:r>
              <w:tab/>
            </w:r>
          </w:p>
        </w:tc>
        <w:tc>
          <w:tcPr>
            <w:tcW w:w="709" w:type="dxa"/>
            <w:tcMar>
              <w:left w:w="0" w:type="dxa"/>
              <w:right w:w="0" w:type="dxa"/>
            </w:tcMar>
          </w:tcPr>
          <w:p>
            <w:pPr>
              <w:pStyle w:val="yTableNAm"/>
              <w:jc w:val="center"/>
            </w:pPr>
            <w:r>
              <w:t>$360</w:t>
            </w:r>
          </w:p>
        </w:tc>
      </w:tr>
      <w:tr>
        <w:tc>
          <w:tcPr>
            <w:tcW w:w="856" w:type="dxa"/>
            <w:tcBorders>
              <w:bottom w:val="single" w:sz="4" w:space="0" w:color="auto"/>
            </w:tcBorders>
          </w:tcPr>
          <w:p>
            <w:pPr>
              <w:pStyle w:val="yTableNAm"/>
            </w:pPr>
            <w:r>
              <w:t>r. 16</w:t>
            </w:r>
          </w:p>
        </w:tc>
        <w:tc>
          <w:tcPr>
            <w:tcW w:w="5523" w:type="dxa"/>
            <w:tcBorders>
              <w:bottom w:val="single" w:sz="4" w:space="0" w:color="auto"/>
            </w:tcBorders>
          </w:tcPr>
          <w:p>
            <w:pPr>
              <w:pStyle w:val="yTableNAm"/>
              <w:tabs>
                <w:tab w:val="clear" w:pos="567"/>
                <w:tab w:val="right" w:leader="dot" w:pos="5307"/>
              </w:tabs>
            </w:pPr>
            <w:r>
              <w:t xml:space="preserve">Articles of clerkship: application for registration </w:t>
            </w:r>
            <w:r>
              <w:tab/>
            </w:r>
          </w:p>
        </w:tc>
        <w:tc>
          <w:tcPr>
            <w:tcW w:w="709" w:type="dxa"/>
            <w:tcBorders>
              <w:bottom w:val="single" w:sz="4" w:space="0" w:color="auto"/>
            </w:tcBorders>
            <w:tcMar>
              <w:left w:w="0" w:type="dxa"/>
              <w:right w:w="0" w:type="dxa"/>
            </w:tcMar>
          </w:tcPr>
          <w:p>
            <w:pPr>
              <w:pStyle w:val="yTableNAm"/>
              <w:jc w:val="center"/>
            </w:pPr>
            <w:r>
              <w:t>$200</w:t>
            </w:r>
          </w:p>
        </w:tc>
      </w:tr>
    </w:tbl>
    <w:p>
      <w:pPr>
        <w:pStyle w:val="yFootnotesection"/>
      </w:pPr>
      <w:r>
        <w:tab/>
        <w:t>[Schedule 1 amended: Gazette 3 Mar 2017 p. 1472.]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9" w:name="_Toc107394516"/>
      <w:bookmarkStart w:id="50" w:name="_Toc107481446"/>
      <w:bookmarkStart w:id="51" w:name="_Toc107394219"/>
      <w:r>
        <w:lastRenderedPageBreak/>
        <w:t>Notes</w:t>
      </w:r>
      <w:bookmarkEnd w:id="49"/>
      <w:bookmarkEnd w:id="50"/>
    </w:p>
    <w:p>
      <w:pPr>
        <w:pStyle w:val="nStatement"/>
      </w:pPr>
      <w:r>
        <w:t xml:space="preserve">This is a compilation of the </w:t>
      </w:r>
      <w:r>
        <w:rPr>
          <w:i/>
          <w:noProof/>
        </w:rPr>
        <w:t>Legal Profession (Admission) Rules 2009</w:t>
      </w:r>
      <w:r>
        <w:t xml:space="preserve"> and includes amendments made by other written laws. For provisions that have come into operation, and for information about any reprints, see the compilation table.</w:t>
      </w:r>
    </w:p>
    <w:p>
      <w:pPr>
        <w:pStyle w:val="nHeading3"/>
      </w:pPr>
      <w:bookmarkStart w:id="52" w:name="_Toc107481447"/>
      <w:r>
        <w:t>Compilation table</w:t>
      </w:r>
      <w:bookmarkEnd w:id="5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Legal Profession (Admission) Rules 2009</w:t>
            </w:r>
          </w:p>
        </w:tc>
        <w:tc>
          <w:tcPr>
            <w:tcW w:w="1276" w:type="dxa"/>
            <w:tcBorders>
              <w:top w:val="single" w:sz="8" w:space="0" w:color="auto"/>
              <w:bottom w:val="nil"/>
            </w:tcBorders>
          </w:tcPr>
          <w:p>
            <w:pPr>
              <w:pStyle w:val="nTable"/>
              <w:spacing w:after="40"/>
            </w:pPr>
            <w:r>
              <w:t>24 Feb 2009 p. 449</w:t>
            </w:r>
            <w:r>
              <w:noBreakHyphen/>
              <w:t>67</w:t>
            </w:r>
          </w:p>
        </w:tc>
        <w:tc>
          <w:tcPr>
            <w:tcW w:w="2693" w:type="dxa"/>
            <w:tcBorders>
              <w:top w:val="single" w:sz="8" w:space="0" w:color="auto"/>
              <w:bottom w:val="nil"/>
            </w:tcBorders>
          </w:tcPr>
          <w:p>
            <w:pPr>
              <w:pStyle w:val="nTable"/>
              <w:spacing w:after="40"/>
            </w:pPr>
            <w:r>
              <w:rPr>
                <w:snapToGrid w:val="0"/>
              </w:rPr>
              <w:t>r. 1 and 2: 24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c>
          <w:tcPr>
            <w:tcW w:w="3119" w:type="dxa"/>
            <w:tcBorders>
              <w:top w:val="nil"/>
              <w:bottom w:val="nil"/>
            </w:tcBorders>
          </w:tcPr>
          <w:p>
            <w:pPr>
              <w:pStyle w:val="nTable"/>
              <w:spacing w:after="40"/>
              <w:rPr>
                <w:i/>
              </w:rPr>
            </w:pPr>
            <w:r>
              <w:rPr>
                <w:i/>
              </w:rPr>
              <w:t>Legal Profession (Admission) Amendment Rules 2010</w:t>
            </w:r>
          </w:p>
        </w:tc>
        <w:tc>
          <w:tcPr>
            <w:tcW w:w="1276" w:type="dxa"/>
            <w:tcBorders>
              <w:top w:val="nil"/>
              <w:bottom w:val="nil"/>
            </w:tcBorders>
          </w:tcPr>
          <w:p>
            <w:pPr>
              <w:pStyle w:val="nTable"/>
              <w:spacing w:after="40"/>
            </w:pPr>
            <w:r>
              <w:t>6 Jul 2010 p. 3223-4</w:t>
            </w:r>
          </w:p>
        </w:tc>
        <w:tc>
          <w:tcPr>
            <w:tcW w:w="2693" w:type="dxa"/>
            <w:tcBorders>
              <w:top w:val="nil"/>
              <w:bottom w:val="nil"/>
            </w:tcBorders>
          </w:tcPr>
          <w:p>
            <w:pPr>
              <w:pStyle w:val="nTable"/>
              <w:spacing w:after="40"/>
              <w:rPr>
                <w:snapToGrid w:val="0"/>
              </w:rPr>
            </w:pPr>
            <w:r>
              <w:rPr>
                <w:snapToGrid w:val="0"/>
              </w:rPr>
              <w:t>r. 1 and 2: 6 Jul 2010 (see r. 2(a));</w:t>
            </w:r>
            <w:r>
              <w:rPr>
                <w:snapToGrid w:val="0"/>
              </w:rPr>
              <w:br/>
              <w:t>Rules other than r. 1 and 2: 7 Jul 2010 (see r. 2(b))</w:t>
            </w:r>
          </w:p>
        </w:tc>
      </w:tr>
      <w:tr>
        <w:tc>
          <w:tcPr>
            <w:tcW w:w="3119" w:type="dxa"/>
            <w:tcBorders>
              <w:top w:val="nil"/>
              <w:bottom w:val="nil"/>
            </w:tcBorders>
          </w:tcPr>
          <w:p>
            <w:pPr>
              <w:pStyle w:val="nTable"/>
              <w:spacing w:after="40"/>
              <w:rPr>
                <w:i/>
              </w:rPr>
            </w:pPr>
            <w:r>
              <w:rPr>
                <w:i/>
              </w:rPr>
              <w:t>Legal Profession (Admission) Amendment Rules 2011</w:t>
            </w:r>
          </w:p>
        </w:tc>
        <w:tc>
          <w:tcPr>
            <w:tcW w:w="1276" w:type="dxa"/>
            <w:tcBorders>
              <w:top w:val="nil"/>
              <w:bottom w:val="nil"/>
            </w:tcBorders>
          </w:tcPr>
          <w:p>
            <w:pPr>
              <w:pStyle w:val="nTable"/>
              <w:spacing w:after="40"/>
            </w:pPr>
            <w:r>
              <w:t>15 Nov 2011 p. 4794-5</w:t>
            </w:r>
          </w:p>
        </w:tc>
        <w:tc>
          <w:tcPr>
            <w:tcW w:w="2693" w:type="dxa"/>
            <w:tcBorders>
              <w:top w:val="nil"/>
              <w:bottom w:val="nil"/>
            </w:tcBorders>
          </w:tcPr>
          <w:p>
            <w:pPr>
              <w:pStyle w:val="nTable"/>
              <w:spacing w:after="40"/>
              <w:rPr>
                <w:snapToGrid w:val="0"/>
              </w:rPr>
            </w:pPr>
            <w:r>
              <w:rPr>
                <w:snapToGrid w:val="0"/>
              </w:rPr>
              <w:t>r. 1 and 2: 15 Nov 2011 (see r. 2(a));</w:t>
            </w:r>
            <w:r>
              <w:rPr>
                <w:snapToGrid w:val="0"/>
              </w:rPr>
              <w:br/>
              <w:t>Rules other than r. 1 and 2: 16 Nov 2011 (see r. 2(b))</w:t>
            </w:r>
          </w:p>
        </w:tc>
      </w:tr>
      <w:tr>
        <w:tc>
          <w:tcPr>
            <w:tcW w:w="3119" w:type="dxa"/>
            <w:tcBorders>
              <w:top w:val="nil"/>
              <w:bottom w:val="nil"/>
            </w:tcBorders>
            <w:shd w:val="clear" w:color="auto" w:fill="auto"/>
          </w:tcPr>
          <w:p>
            <w:pPr>
              <w:pStyle w:val="nTable"/>
              <w:spacing w:after="40"/>
              <w:rPr>
                <w:i/>
              </w:rPr>
            </w:pPr>
            <w:r>
              <w:rPr>
                <w:i/>
              </w:rPr>
              <w:t>Legal Profession (Admission) Amendment Rules 2013</w:t>
            </w:r>
          </w:p>
        </w:tc>
        <w:tc>
          <w:tcPr>
            <w:tcW w:w="1276" w:type="dxa"/>
            <w:tcBorders>
              <w:top w:val="nil"/>
              <w:bottom w:val="nil"/>
            </w:tcBorders>
            <w:shd w:val="clear" w:color="auto" w:fill="auto"/>
          </w:tcPr>
          <w:p>
            <w:pPr>
              <w:pStyle w:val="nTable"/>
              <w:spacing w:after="40"/>
            </w:pPr>
            <w:r>
              <w:t>5 Apr 2013 p. 1466-7</w:t>
            </w:r>
          </w:p>
        </w:tc>
        <w:tc>
          <w:tcPr>
            <w:tcW w:w="2693" w:type="dxa"/>
            <w:tcBorders>
              <w:top w:val="nil"/>
              <w:bottom w:val="nil"/>
            </w:tcBorders>
            <w:shd w:val="clear" w:color="auto" w:fill="auto"/>
          </w:tcPr>
          <w:p>
            <w:pPr>
              <w:pStyle w:val="nTable"/>
              <w:spacing w:after="40"/>
              <w:rPr>
                <w:snapToGrid w:val="0"/>
              </w:rPr>
            </w:pPr>
            <w:r>
              <w:rPr>
                <w:snapToGrid w:val="0"/>
              </w:rPr>
              <w:t>r. 1 and 2: 5 Apr 2013 (see r. 2(a));</w:t>
            </w:r>
            <w:r>
              <w:rPr>
                <w:snapToGrid w:val="0"/>
              </w:rPr>
              <w:br/>
              <w:t>Rules other than r. 1 and 2: 6 Apr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Legal Profession (Admission) Rules 2009</w:t>
            </w:r>
            <w:r>
              <w:rPr>
                <w:b/>
                <w:snapToGrid w:val="0"/>
              </w:rPr>
              <w:t xml:space="preserve"> as at 5 Feb 2016</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Legal Profession (Admission) Amendment Rules 2017</w:t>
            </w:r>
          </w:p>
        </w:tc>
        <w:tc>
          <w:tcPr>
            <w:tcW w:w="1276" w:type="dxa"/>
            <w:tcBorders>
              <w:top w:val="nil"/>
              <w:bottom w:val="nil"/>
            </w:tcBorders>
            <w:shd w:val="clear" w:color="auto" w:fill="auto"/>
          </w:tcPr>
          <w:p>
            <w:pPr>
              <w:pStyle w:val="nTable"/>
              <w:spacing w:after="40"/>
            </w:pPr>
            <w:r>
              <w:t>3 Mar 2017 p. 1469</w:t>
            </w:r>
            <w:r>
              <w:noBreakHyphen/>
              <w:t>72</w:t>
            </w:r>
          </w:p>
        </w:tc>
        <w:tc>
          <w:tcPr>
            <w:tcW w:w="2693" w:type="dxa"/>
            <w:tcBorders>
              <w:top w:val="nil"/>
              <w:bottom w:val="nil"/>
            </w:tcBorders>
            <w:shd w:val="clear" w:color="auto" w:fill="auto"/>
          </w:tcPr>
          <w:p>
            <w:pPr>
              <w:pStyle w:val="nTable"/>
              <w:spacing w:after="40"/>
              <w:rPr>
                <w:snapToGrid w:val="0"/>
              </w:rPr>
            </w:pPr>
            <w:r>
              <w:rPr>
                <w:snapToGrid w:val="0"/>
              </w:rPr>
              <w:t>r. 1 and 2: 3 Mar 2017 (see r. 2(a));</w:t>
            </w:r>
            <w:r>
              <w:rPr>
                <w:snapToGrid w:val="0"/>
              </w:rPr>
              <w:br/>
              <w:t>Rules other than r. 1 and 2: 4 Mar 2017 (see r. 2(b))</w:t>
            </w:r>
          </w:p>
        </w:tc>
      </w:tr>
      <w:tr>
        <w:tc>
          <w:tcPr>
            <w:tcW w:w="7088" w:type="dxa"/>
            <w:gridSpan w:val="3"/>
            <w:tcBorders>
              <w:top w:val="nil"/>
              <w:bottom w:val="single" w:sz="4" w:space="0" w:color="auto"/>
            </w:tcBorders>
            <w:shd w:val="clear" w:color="auto" w:fill="auto"/>
          </w:tcPr>
          <w:p>
            <w:pPr>
              <w:pStyle w:val="nTable"/>
              <w:spacing w:after="40"/>
              <w:rPr>
                <w:b/>
                <w:snapToGrid w:val="0"/>
                <w:color w:val="FF0000"/>
              </w:rPr>
            </w:pPr>
            <w:r>
              <w:rPr>
                <w:b/>
                <w:snapToGrid w:val="0"/>
                <w:color w:val="FF0000"/>
              </w:rPr>
              <w:t xml:space="preserve">These rules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p>
        </w:tc>
      </w:tr>
    </w:tbl>
    <w:p>
      <w:pPr>
        <w:pStyle w:val="nHeading3"/>
      </w:pPr>
      <w:bookmarkStart w:id="53" w:name="_Toc107481448"/>
      <w:r>
        <w:t>Other notes</w:t>
      </w:r>
      <w:bookmarkEnd w:id="53"/>
    </w:p>
    <w:p>
      <w:pPr>
        <w:pStyle w:val="nNote"/>
      </w:pPr>
      <w:r>
        <w:rPr>
          <w:vertAlign w:val="superscript"/>
        </w:rPr>
        <w:t>1</w:t>
      </w:r>
      <w:r>
        <w:tab/>
      </w:r>
      <w:r>
        <w:rPr>
          <w:color w:val="000000"/>
        </w:rPr>
        <w:t>1 March 2009.</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5" w:name="_Toc107481449"/>
      <w:bookmarkEnd w:id="51"/>
      <w:r>
        <w:rPr>
          <w:sz w:val="28"/>
        </w:rPr>
        <w:lastRenderedPageBreak/>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24</w:t>
      </w:r>
    </w:p>
    <w:p>
      <w:pPr>
        <w:pStyle w:val="DefinedTerms"/>
      </w:pPr>
      <w:r>
        <w:t>2004 Rules</w:t>
      </w:r>
      <w:r>
        <w:tab/>
        <w:t>24</w:t>
      </w:r>
    </w:p>
    <w:p>
      <w:pPr>
        <w:pStyle w:val="DefinedTerms"/>
      </w:pPr>
      <w:r>
        <w:t>application</w:t>
      </w:r>
      <w:r>
        <w:tab/>
        <w:t>4(1)</w:t>
      </w:r>
    </w:p>
    <w:p>
      <w:pPr>
        <w:pStyle w:val="DefinedTerms"/>
      </w:pPr>
      <w:r>
        <w:t>articled clerk</w:t>
      </w:r>
      <w:r>
        <w:tab/>
        <w:t>14</w:t>
      </w:r>
    </w:p>
    <w:p>
      <w:pPr>
        <w:pStyle w:val="DefinedTerms"/>
      </w:pPr>
      <w:r>
        <w:t>articles of clerkship</w:t>
      </w:r>
      <w:r>
        <w:tab/>
        <w:t>16(1)</w:t>
      </w:r>
    </w:p>
    <w:p>
      <w:pPr>
        <w:pStyle w:val="DefinedTerms"/>
      </w:pPr>
      <w:r>
        <w:t>commencement day</w:t>
      </w:r>
      <w:r>
        <w:tab/>
        <w:t>24</w:t>
      </w:r>
    </w:p>
    <w:p>
      <w:pPr>
        <w:pStyle w:val="DefinedTerms"/>
      </w:pPr>
      <w:r>
        <w:t>continued 1893 provisions</w:t>
      </w:r>
      <w:r>
        <w:tab/>
        <w:t>24</w:t>
      </w:r>
    </w:p>
    <w:p>
      <w:pPr>
        <w:pStyle w:val="DefinedTerms"/>
      </w:pPr>
      <w:r>
        <w:t>course provider</w:t>
      </w:r>
      <w:r>
        <w:tab/>
        <w:t>8(1)</w:t>
      </w:r>
    </w:p>
    <w:p>
      <w:pPr>
        <w:pStyle w:val="DefinedTerms"/>
      </w:pPr>
      <w:r>
        <w:t>existing managing clerk</w:t>
      </w:r>
      <w:r>
        <w:tab/>
        <w:t>24</w:t>
      </w:r>
    </w:p>
    <w:p>
      <w:pPr>
        <w:pStyle w:val="DefinedTerms"/>
      </w:pPr>
      <w:r>
        <w:t>grounds for assignment</w:t>
      </w:r>
      <w:r>
        <w:tab/>
        <w:t>17(1)</w:t>
      </w:r>
    </w:p>
    <w:p>
      <w:pPr>
        <w:pStyle w:val="DefinedTerms"/>
      </w:pPr>
      <w:r>
        <w:t>Model Admission Rules</w:t>
      </w:r>
      <w:r>
        <w:tab/>
        <w:t>3</w:t>
      </w:r>
    </w:p>
    <w:p>
      <w:pPr>
        <w:pStyle w:val="DefinedTerms"/>
      </w:pPr>
      <w:r>
        <w:t>Model Admission Rules 2015</w:t>
      </w:r>
      <w:r>
        <w:tab/>
        <w:t>3</w:t>
      </w:r>
    </w:p>
    <w:p>
      <w:pPr>
        <w:pStyle w:val="DefinedTerms"/>
      </w:pPr>
      <w:r>
        <w:t>principal</w:t>
      </w:r>
      <w:r>
        <w:tab/>
        <w:t>14</w:t>
      </w:r>
    </w:p>
    <w:p>
      <w:pPr>
        <w:pStyle w:val="DefinedTerms"/>
      </w:pPr>
      <w:r>
        <w:t>proposed admission day</w:t>
      </w:r>
      <w:r>
        <w:tab/>
        <w:t>3</w:t>
      </w:r>
    </w:p>
    <w:p>
      <w:pPr>
        <w:pStyle w:val="DefinedTerms"/>
      </w:pPr>
      <w:r>
        <w:t>required period</w:t>
      </w:r>
      <w:r>
        <w:tab/>
        <w:t>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(Admission) Rules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(Admission)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506"/>
    <w:docVar w:name="WAFER_20150527152547" w:val="ResetPageSize,UpdateArrangement,UpdateNTable"/>
    <w:docVar w:name="WAFER_20150527152547_GUID" w:val="0b24f48c-872a-47cf-91ce-6392d6c8a298"/>
    <w:docVar w:name="WAFER_20151105113130" w:val="UpdateStyles"/>
    <w:docVar w:name="WAFER_20151105113130_GUID" w:val="560d963d-0135-40f4-9b54-920c9db68f29"/>
    <w:docVar w:name="WAFER_20151105114147" w:val="UpdateStyles"/>
    <w:docVar w:name="WAFER_20151105114147_GUID" w:val="45a93efe-5223-4aa5-b188-4a5607b839b3"/>
    <w:docVar w:name="WAFER_20151105133600" w:val="UsedStyles"/>
    <w:docVar w:name="WAFER_20151105133600_GUID" w:val="3a97fb2a-44a7-4df0-805c-cccdd0c3a89e"/>
    <w:docVar w:name="WAFER_20151105133647" w:val="UsedStyles"/>
    <w:docVar w:name="WAFER_20151105133647_GUID" w:val="6c7d9506-f518-4412-a529-7ed97ebb0f40"/>
    <w:docVar w:name="WAFER_20160419090516" w:val="UsedStyles"/>
    <w:docVar w:name="WAFER_20160419090516_GUID" w:val="a5d79da3-68e9-4aa4-9f25-3e0cb8d15c2b"/>
    <w:docVar w:name="WAFER_20160427133613" w:val="RemoveTrackChanges"/>
    <w:docVar w:name="WAFER_20160427133613_GUID" w:val="d85fdbb3-658a-4d2e-8d6a-074a3cc190d5"/>
    <w:docVar w:name="WAFER_202206291115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506_GUID" w:val="f74d5a60-423a-429e-9128-e55e530344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3793</Words>
  <Characters>18250</Characters>
  <Application>Microsoft Office Word</Application>
  <DocSecurity>0</DocSecurity>
  <Lines>570</Lines>
  <Paragraphs>386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2009 - 01-c0-00</dc:title>
  <dc:subject/>
  <dc:creator/>
  <cp:keywords/>
  <dc:description/>
  <cp:lastModifiedBy>Master Repository Process</cp:lastModifiedBy>
  <cp:revision>4</cp:revision>
  <cp:lastPrinted>2016-01-29T01:00:00Z</cp:lastPrinted>
  <dcterms:created xsi:type="dcterms:W3CDTF">2022-06-30T07:26:00Z</dcterms:created>
  <dcterms:modified xsi:type="dcterms:W3CDTF">2022-06-30T07:26:00Z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OwlsUID">
    <vt:i4>41371</vt:i4>
  </property>
  <property fmtid="{D5CDD505-2E9C-101B-9397-08002B2CF9AE}" pid="4" name="DocumentType">
    <vt:lpwstr>Reg</vt:lpwstr>
  </property>
  <property fmtid="{D5CDD505-2E9C-101B-9397-08002B2CF9AE}" pid="5" name="ReprintedAsAt">
    <vt:filetime>2016-02-04T16:00:00Z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01-c0-00</vt:lpwstr>
  </property>
  <property fmtid="{D5CDD505-2E9C-101B-9397-08002B2CF9AE}" pid="9" name="Status">
    <vt:lpwstr>NIF</vt:lpwstr>
  </property>
  <property fmtid="{D5CDD505-2E9C-101B-9397-08002B2CF9AE}" pid="10" name="CommencementDate">
    <vt:lpwstr>20220701</vt:lpwstr>
  </property>
</Properties>
</file>