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t>Official Prosecutions (Accused’s Costs) Act 1973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t>Official Prosecutions (Accused’s Costs)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_Toc107485250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_Toc107485251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_Toc107485252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_Toc107485253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Successful accused entitled to costs</w:t>
      </w:r>
      <w:r>
        <w:tab/>
      </w:r>
      <w:r>
        <w:fldChar w:fldCharType="begin"/>
      </w:r>
      <w:r>
        <w:instrText xml:space="preserve"> PAGEREF _Toc107485254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revoke or reduce accused’s entitlement to costs</w:t>
      </w:r>
      <w:r>
        <w:tab/>
      </w:r>
      <w:r>
        <w:fldChar w:fldCharType="begin"/>
      </w:r>
      <w:r>
        <w:instrText xml:space="preserve"> PAGEREF _Toc107485255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Partly successful accused may be awarded costs</w:t>
      </w:r>
      <w:r>
        <w:tab/>
      </w:r>
      <w:r>
        <w:fldChar w:fldCharType="begin"/>
      </w:r>
      <w:r>
        <w:instrText xml:space="preserve"> PAGEREF _Toc107485256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Question of costs may be adjourned to chambers</w:t>
      </w:r>
      <w:r>
        <w:tab/>
      </w:r>
      <w:r>
        <w:fldChar w:fldCharType="begin"/>
      </w:r>
      <w:r>
        <w:instrText xml:space="preserve"> PAGEREF _Toc107485257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of costs ordered</w:t>
      </w:r>
      <w:r>
        <w:tab/>
      </w:r>
      <w:r>
        <w:fldChar w:fldCharType="begin"/>
      </w:r>
      <w:r>
        <w:instrText xml:space="preserve"> PAGEREF _Toc107485258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_Toc107485260 \h </w:instrText>
      </w:r>
      <w:r>
        <w:fldChar w:fldCharType="separate"/>
      </w:r>
      <w:r>
        <w:t>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_Toc107485261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 xml:space="preserve">An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3" w:name="_Toc10748525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snapToGrid w:val="0"/>
        </w:rPr>
        <w:t>.</w:t>
      </w:r>
    </w:p>
    <w:p>
      <w:pPr>
        <w:pStyle w:val="Footnotesection"/>
      </w:pPr>
      <w:r>
        <w:tab/>
        <w:t>[Section 1 amended: No. 84 of 2004 s. 82.]</w:t>
      </w:r>
    </w:p>
    <w:p>
      <w:pPr>
        <w:pStyle w:val="Heading5"/>
        <w:keepNext w:val="0"/>
        <w:keepLines w:val="0"/>
        <w:rPr>
          <w:snapToGrid w:val="0"/>
        </w:rPr>
      </w:pPr>
      <w:bookmarkStart w:id="4" w:name="_Toc10748525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w:t>
      </w:r>
    </w:p>
    <w:p>
      <w:pPr>
        <w:pStyle w:val="Heading5"/>
        <w:keepNext w:val="0"/>
        <w:keepLines w:val="0"/>
        <w:rPr>
          <w:snapToGrid w:val="0"/>
        </w:rPr>
      </w:pPr>
      <w:bookmarkStart w:id="5" w:name="_Toc107485252"/>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6" w:name="_Toc107485253"/>
      <w:r>
        <w:rPr>
          <w:rStyle w:val="CharSectno"/>
        </w:rPr>
        <w:lastRenderedPageBreak/>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lastRenderedPageBreak/>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7" w:name="_Toc107485254"/>
      <w:r>
        <w:rPr>
          <w:rStyle w:val="CharSectno"/>
        </w:rPr>
        <w:t>5</w:t>
      </w:r>
      <w:r>
        <w:rPr>
          <w:snapToGrid w:val="0"/>
        </w:rPr>
        <w:t>.</w:t>
      </w:r>
      <w:r>
        <w:rPr>
          <w:snapToGrid w:val="0"/>
        </w:rPr>
        <w:tab/>
        <w:t>Successful accused entitled to costs</w:t>
      </w:r>
      <w:bookmarkEnd w:id="7"/>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lastRenderedPageBreak/>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made under the </w:t>
      </w:r>
      <w:r>
        <w:rPr>
          <w:i/>
        </w:rPr>
        <w:t>Legal Profession Uniform Law Application Act 2022</w:t>
      </w:r>
      <w:r>
        <w:t xml:space="preserve"> section 133.</w:t>
      </w:r>
    </w:p>
    <w:p>
      <w:pPr>
        <w:pStyle w:val="Footnotesection"/>
      </w:pPr>
      <w:bookmarkStart w:id="8" w:name="_Hlk107386220"/>
      <w:r>
        <w:tab/>
        <w:t>[Section 5 amended: No. 29 of 1997 s. 4; No. 65 of 2003 s. 54; No. 84 of 2004 s. 82; No. 21 of 2008 s. 686; No. 9 of 2022 s. 424.]</w:t>
      </w:r>
    </w:p>
    <w:p>
      <w:pPr>
        <w:pStyle w:val="Heading5"/>
        <w:rPr>
          <w:snapToGrid w:val="0"/>
        </w:rPr>
      </w:pPr>
      <w:bookmarkStart w:id="9" w:name="_Toc107485255"/>
      <w:bookmarkEnd w:id="8"/>
      <w:r>
        <w:rPr>
          <w:rStyle w:val="CharSectno"/>
        </w:rPr>
        <w:t>6</w:t>
      </w:r>
      <w:r>
        <w:rPr>
          <w:snapToGrid w:val="0"/>
        </w:rPr>
        <w:t>.</w:t>
      </w:r>
      <w:r>
        <w:rPr>
          <w:snapToGrid w:val="0"/>
        </w:rPr>
        <w:tab/>
        <w:t>Court may revoke or reduce accused’s entitlement to costs</w:t>
      </w:r>
      <w:bookmarkEnd w:id="9"/>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lastRenderedPageBreak/>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10" w:name="_Toc107485256"/>
      <w:r>
        <w:rPr>
          <w:rStyle w:val="CharSectno"/>
        </w:rPr>
        <w:t>7</w:t>
      </w:r>
      <w:r>
        <w:rPr>
          <w:snapToGrid w:val="0"/>
        </w:rPr>
        <w:t>.</w:t>
      </w:r>
      <w:r>
        <w:rPr>
          <w:snapToGrid w:val="0"/>
        </w:rPr>
        <w:tab/>
        <w:t>Partly successful accused may be awarded costs</w:t>
      </w:r>
      <w:bookmarkEnd w:id="10"/>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11" w:name="_Toc107485257"/>
      <w:r>
        <w:rPr>
          <w:rStyle w:val="CharSectno"/>
        </w:rPr>
        <w:t>8</w:t>
      </w:r>
      <w:r>
        <w:rPr>
          <w:snapToGrid w:val="0"/>
        </w:rPr>
        <w:t>.</w:t>
      </w:r>
      <w:r>
        <w:rPr>
          <w:snapToGrid w:val="0"/>
        </w:rPr>
        <w:tab/>
        <w:t>Question of costs may be adjourned to chambers</w:t>
      </w:r>
      <w:bookmarkEnd w:id="11"/>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2" w:name="_Toc107485258"/>
      <w:r>
        <w:rPr>
          <w:rStyle w:val="CharSectno"/>
        </w:rPr>
        <w:t>9</w:t>
      </w:r>
      <w:r>
        <w:rPr>
          <w:snapToGrid w:val="0"/>
        </w:rPr>
        <w:t>.</w:t>
      </w:r>
      <w:r>
        <w:rPr>
          <w:snapToGrid w:val="0"/>
        </w:rPr>
        <w:tab/>
        <w:t>Payment of costs ordered</w:t>
      </w:r>
      <w:bookmarkEnd w:id="12"/>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 xml:space="preserve">if the public official a party to the proceedings is a Minister of the Crown, a person employed in the Public Service of the State, a member of the Police Force, or </w:t>
      </w:r>
      <w:r>
        <w:rPr>
          <w:snapToGrid w:val="0"/>
        </w:rPr>
        <w:lastRenderedPageBreak/>
        <w:t>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Ednotesection"/>
        <w:rPr>
          <w:i w:val="0"/>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107382600"/>
      <w:bookmarkStart w:id="14" w:name="_Toc107383179"/>
      <w:bookmarkStart w:id="15" w:name="_Toc107485259"/>
      <w:r>
        <w:lastRenderedPageBreak/>
        <w:t>Notes</w:t>
      </w:r>
      <w:bookmarkEnd w:id="13"/>
      <w:bookmarkEnd w:id="14"/>
      <w:bookmarkEnd w:id="15"/>
    </w:p>
    <w:p>
      <w:pPr>
        <w:pStyle w:val="nStatement"/>
      </w:pPr>
      <w:r>
        <w:t xml:space="preserve">This is a compilation of the </w:t>
      </w:r>
      <w:r>
        <w:rPr>
          <w:i/>
          <w:noProof/>
        </w:rPr>
        <w:t>Official Prosecutions (Accused’s Costs) Act 1973</w:t>
      </w:r>
      <w:r>
        <w:t xml:space="preserve"> and includes amendments made by other written laws. For provisions that have come into operation, and for information about any reprints, see the compilation table. </w:t>
      </w:r>
    </w:p>
    <w:p>
      <w:pPr>
        <w:pStyle w:val="nHeading3"/>
      </w:pPr>
      <w:bookmarkStart w:id="16" w:name="_Toc107485260"/>
      <w:r>
        <w:t>Compilation table</w:t>
      </w:r>
      <w:bookmarkEnd w:id="1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1</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3: The </w:t>
            </w:r>
            <w:r>
              <w:rPr>
                <w:b/>
                <w:bCs/>
                <w:i/>
              </w:rPr>
              <w:t>Official Prosecutions (Accus</w:t>
            </w:r>
            <w:r>
              <w:rPr>
                <w:b/>
                <w:bCs/>
                <w:i/>
                <w:noProof/>
                <w:snapToGrid w:val="0"/>
              </w:rPr>
              <w:t xml:space="preserve">ed’s </w:t>
            </w:r>
            <w:r>
              <w:rPr>
                <w:b/>
                <w:bCs/>
                <w:i/>
              </w:rPr>
              <w:t>Costs)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single" w:sz="8" w:space="0" w:color="auto"/>
            </w:tcBorders>
          </w:tcPr>
          <w:p>
            <w:pPr>
              <w:pStyle w:val="nTable"/>
              <w:spacing w:after="40"/>
              <w:rPr>
                <w:snapToGrid w:val="0"/>
              </w:rPr>
            </w:pPr>
            <w:r>
              <w:t>9 of 2022</w:t>
            </w:r>
          </w:p>
        </w:tc>
        <w:tc>
          <w:tcPr>
            <w:tcW w:w="1134" w:type="dxa"/>
            <w:tcBorders>
              <w:top w:val="nil"/>
              <w:bottom w:val="single" w:sz="8" w:space="0" w:color="auto"/>
            </w:tcBorders>
          </w:tcPr>
          <w:p>
            <w:pPr>
              <w:pStyle w:val="nTable"/>
              <w:spacing w:after="40"/>
              <w:rPr>
                <w:snapToGrid w:val="0"/>
              </w:rPr>
            </w:pPr>
            <w:r>
              <w:t>14 Apr 2022</w:t>
            </w:r>
          </w:p>
        </w:tc>
        <w:tc>
          <w:tcPr>
            <w:tcW w:w="2552" w:type="dxa"/>
            <w:tcBorders>
              <w:top w:val="nil"/>
              <w:bottom w:val="single" w:sz="8" w:space="0" w:color="auto"/>
            </w:tcBorders>
          </w:tcPr>
          <w:p>
            <w:pPr>
              <w:pStyle w:val="nTable"/>
              <w:spacing w:after="40"/>
              <w:rPr>
                <w:snapToGrid w:val="0"/>
                <w:spacing w:val="-2"/>
              </w:rPr>
            </w:pPr>
            <w:r>
              <w:rPr>
                <w:snapToGrid w:val="0"/>
              </w:rPr>
              <w:t>1 Jul 2022 (see s. 2(c) and SL 2022/113 cl. 2)</w:t>
            </w:r>
          </w:p>
        </w:tc>
      </w:tr>
    </w:tbl>
    <w:p>
      <w:pPr>
        <w:pStyle w:val="nHeading3"/>
      </w:pPr>
      <w:bookmarkStart w:id="17" w:name="_Toc107485261"/>
      <w:r>
        <w:t>Other notes</w:t>
      </w:r>
      <w:bookmarkEnd w:id="17"/>
    </w:p>
    <w:p>
      <w:pPr>
        <w:pStyle w:val="nNote"/>
        <w:spacing w:before="160"/>
      </w:pPr>
      <w:r>
        <w:rPr>
          <w:vertAlign w:val="superscript"/>
        </w:rPr>
        <w:t>1</w:t>
      </w:r>
      <w:r>
        <w:tab/>
        <w:t xml:space="preserve">Now known as the </w:t>
      </w:r>
      <w:r>
        <w:rPr>
          <w:i/>
          <w:iCs/>
        </w:rPr>
        <w:t>Official Prosecutions (Accused’s Costs) Act 1973</w:t>
      </w:r>
      <w:r>
        <w:t>; short title changed (see note under s. 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9" w:name="_Toc107382604"/>
      <w:bookmarkStart w:id="20" w:name="_Toc107383182"/>
      <w:bookmarkStart w:id="21" w:name="_Toc107485262"/>
      <w:r>
        <w:rPr>
          <w:sz w:val="28"/>
        </w:rPr>
        <w:lastRenderedPageBreak/>
        <w:t>Defined terms</w:t>
      </w:r>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4(1)</w:t>
      </w:r>
    </w:p>
    <w:p>
      <w:pPr>
        <w:pStyle w:val="DefinedTerms"/>
      </w:pPr>
      <w:r>
        <w:t>appeal</w:t>
      </w:r>
      <w:r>
        <w:tab/>
        <w:t>4(1)</w:t>
      </w:r>
    </w:p>
    <w:p>
      <w:pPr>
        <w:pStyle w:val="DefinedTerms"/>
      </w:pPr>
      <w:r>
        <w:t>appeal court</w:t>
      </w:r>
      <w:r>
        <w:tab/>
        <w:t>4(1)</w:t>
      </w:r>
    </w:p>
    <w:p>
      <w:pPr>
        <w:pStyle w:val="DefinedTerms"/>
      </w:pPr>
      <w:r>
        <w:t>costs</w:t>
      </w:r>
      <w:r>
        <w:tab/>
        <w:t>4(1)</w:t>
      </w:r>
    </w:p>
    <w:p>
      <w:pPr>
        <w:pStyle w:val="DefinedTerms"/>
      </w:pPr>
      <w:r>
        <w:t>court</w:t>
      </w:r>
      <w:r>
        <w:tab/>
        <w:t>4(1)</w:t>
      </w:r>
    </w:p>
    <w:p>
      <w:pPr>
        <w:pStyle w:val="DefinedTerms"/>
      </w:pPr>
      <w:r>
        <w:t>official prosecution</w:t>
      </w:r>
      <w:r>
        <w:tab/>
        <w:t>4(1)</w:t>
      </w:r>
    </w:p>
    <w:p>
      <w:pPr>
        <w:pStyle w:val="DefinedTerms"/>
      </w:pPr>
      <w:r>
        <w:t>public official</w:t>
      </w:r>
      <w:r>
        <w:tab/>
        <w:t>4(1)</w:t>
      </w:r>
    </w:p>
    <w:p>
      <w:pPr>
        <w:pStyle w:val="DefinedTerms"/>
      </w:pPr>
      <w:r>
        <w:t>section</w:t>
      </w:r>
      <w:r>
        <w:tab/>
        <w:t>4(1)</w:t>
      </w:r>
    </w:p>
    <w:p>
      <w:pPr>
        <w:pStyle w:val="DefinedTerms"/>
      </w:pPr>
      <w:r>
        <w:t>summary court</w:t>
      </w:r>
      <w:r>
        <w:tab/>
        <w:t>4(1)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0803"/>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 w:name="WAFER_2022041109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5058_GUID" w:val="aa11be41-0536-442e-8b2f-f57acf78cb33"/>
    <w:docVar w:name="WAFER_20220629080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80803_GUID" w:val="486164f0-69e2-4ef2-83e2-d5a2bc431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5C707C85-4204-45C8-9AF1-0AD83C8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2224</Words>
  <Characters>9876</Characters>
  <Application>Microsoft Office Word</Application>
  <DocSecurity>0</DocSecurity>
  <Lines>352</Lines>
  <Paragraphs>224</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1973 - 03-h0-00</dc:title>
  <dc:subject/>
  <dc:creator/>
  <cp:keywords/>
  <dc:description/>
  <cp:lastModifiedBy>Master Repository Process</cp:lastModifiedBy>
  <cp:revision>4</cp:revision>
  <cp:lastPrinted>2006-02-13T01:09:00Z</cp:lastPrinted>
  <dcterms:created xsi:type="dcterms:W3CDTF">2022-06-30T08:00:00Z</dcterms:created>
  <dcterms:modified xsi:type="dcterms:W3CDTF">2022-06-30T08:00:00Z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DocumentType">
    <vt:lpwstr>Act</vt:lpwstr>
  </property>
  <property fmtid="{D5CDD505-2E9C-101B-9397-08002B2CF9AE}" pid="4" name="OwlsUID">
    <vt:i4>558</vt:i4>
  </property>
  <property fmtid="{D5CDD505-2E9C-101B-9397-08002B2CF9AE}" pid="5" name="AsAtDate">
    <vt:lpwstr>01 Jul 2022</vt:lpwstr>
  </property>
  <property fmtid="{D5CDD505-2E9C-101B-9397-08002B2CF9AE}" pid="6" name="Suffix">
    <vt:lpwstr>03-h0-00</vt:lpwstr>
  </property>
  <property fmtid="{D5CDD505-2E9C-101B-9397-08002B2CF9AE}" pid="7" name="CommencementDate">
    <vt:lpwstr>20220701</vt:lpwstr>
  </property>
</Properties>
</file>