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rPr>
          <w:vertAlign w:val="superscript"/>
        </w:rPr>
      </w:pPr>
      <w:r>
        <w:fldChar w:fldCharType="begin"/>
      </w:r>
      <w:r>
        <w:instrText xml:space="preserve"> STYLEREF "PrincipalAct_Reg"</w:instrText>
      </w:r>
      <w:r>
        <w:fldChar w:fldCharType="separate"/>
      </w:r>
      <w:r>
        <w:rPr>
          <w:noProof/>
        </w:rPr>
        <w:t>Private Hospitals and Health Services Act 1927</w:t>
      </w:r>
      <w:r>
        <w:fldChar w:fldCharType="end"/>
      </w:r>
      <w:r>
        <w:rPr>
          <w:vertAlign w:val="superscript"/>
        </w:rPr>
        <w:t> 1</w:t>
      </w:r>
    </w:p>
    <w:p>
      <w:pPr>
        <w:pStyle w:val="NameofActRegPage1"/>
        <w:spacing w:before="1800" w:after="42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_Toc108620500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_Toc108620501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license</w:t>
      </w:r>
      <w:r>
        <w:tab/>
      </w:r>
      <w:r>
        <w:fldChar w:fldCharType="begin"/>
      </w:r>
      <w:r>
        <w:instrText xml:space="preserve"> PAGEREF _Toc108620502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grant or renewal of licence</w:t>
      </w:r>
      <w:r>
        <w:tab/>
      </w:r>
      <w:r>
        <w:fldChar w:fldCharType="begin"/>
      </w:r>
      <w:r>
        <w:instrText xml:space="preserve"> PAGEREF _Toc108620503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Endorsement of licence to allow admission etc. under </w:t>
      </w:r>
      <w:r>
        <w:rPr>
          <w:i/>
          <w:snapToGrid w:val="0"/>
        </w:rPr>
        <w:t>Mental Health Act 1996</w:t>
      </w:r>
      <w:r>
        <w:tab/>
      </w:r>
      <w:r>
        <w:fldChar w:fldCharType="begin"/>
      </w:r>
      <w:r>
        <w:instrText xml:space="preserve"> PAGEREF _Toc108620504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 for application for approval of premises</w:t>
      </w:r>
      <w:r>
        <w:tab/>
      </w:r>
      <w:r>
        <w:fldChar w:fldCharType="begin"/>
      </w:r>
      <w:r>
        <w:instrText xml:space="preserve"> PAGEREF _Toc108620505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duties of licence holder</w:t>
      </w:r>
      <w:r>
        <w:tab/>
      </w:r>
      <w:r>
        <w:fldChar w:fldCharType="begin"/>
      </w:r>
      <w:r>
        <w:instrText xml:space="preserve"> PAGEREF _Toc108620506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Qualified staff to be provided</w:t>
      </w:r>
      <w:r>
        <w:tab/>
      </w:r>
      <w:r>
        <w:fldChar w:fldCharType="begin"/>
      </w:r>
      <w:r>
        <w:instrText xml:space="preserve"> PAGEREF _Toc108620507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Staff accommodation</w:t>
      </w:r>
      <w:r>
        <w:tab/>
      </w:r>
      <w:r>
        <w:fldChar w:fldCharType="begin"/>
      </w:r>
      <w:r>
        <w:instrText xml:space="preserve"> PAGEREF _Toc108620508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Information to be recorded</w:t>
      </w:r>
      <w:r>
        <w:tab/>
      </w:r>
      <w:r>
        <w:fldChar w:fldCharType="begin"/>
      </w:r>
      <w:r>
        <w:instrText xml:space="preserve"> PAGEREF _Toc108620509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 and penalties</w:t>
      </w:r>
      <w:r>
        <w:tab/>
      </w:r>
      <w:r>
        <w:fldChar w:fldCharType="begin"/>
      </w:r>
      <w:r>
        <w:instrText xml:space="preserve"> PAGEREF _Toc108620510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_Toc108620513 \h </w:instrText>
      </w:r>
      <w:r>
        <w:fldChar w:fldCharType="separate"/>
      </w:r>
      <w:r>
        <w:t>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_Toc108620514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Private Hospitals and Health Services Act 1927</w:t>
      </w:r>
    </w:p>
    <w:p>
      <w:pPr>
        <w:pStyle w:val="NameofActReg"/>
      </w:pPr>
      <w:r>
        <w:t>Private Hospitals (Licensing and Conduct of Private Hospitals) Regulations 1987</w:t>
      </w:r>
    </w:p>
    <w:p>
      <w:pPr>
        <w:pStyle w:val="Heading5"/>
      </w:pPr>
      <w:bookmarkStart w:id="3" w:name="_Toc108620500"/>
      <w:r>
        <w:rPr>
          <w:rStyle w:val="CharSectno"/>
        </w:rPr>
        <w:t>1</w:t>
      </w:r>
      <w:r>
        <w:t>.</w:t>
      </w:r>
      <w:r>
        <w:tab/>
        <w:t>Citation</w:t>
      </w:r>
      <w:bookmarkEnd w:id="3"/>
    </w:p>
    <w:p>
      <w:pPr>
        <w:pStyle w:val="Subsection"/>
        <w:rPr>
          <w:snapToGrid w:val="0"/>
        </w:rPr>
      </w:pPr>
      <w:r>
        <w:tab/>
      </w:r>
      <w:r>
        <w:tab/>
      </w:r>
      <w:r>
        <w:rPr>
          <w:snapToGrid w:val="0"/>
        </w:rPr>
        <w:t xml:space="preserve">These regulations are the </w:t>
      </w:r>
      <w:r>
        <w:rPr>
          <w:i/>
          <w:snapToGrid w:val="0"/>
        </w:rPr>
        <w:t>Private Hospitals (Licensing and Conduct of Private Hospitals) Regulations 1987</w:t>
      </w:r>
      <w:r>
        <w:rPr>
          <w:snapToGrid w:val="0"/>
        </w:rPr>
        <w:t>.</w:t>
      </w:r>
    </w:p>
    <w:p>
      <w:pPr>
        <w:pStyle w:val="Footnotesection"/>
      </w:pPr>
      <w:r>
        <w:tab/>
        <w:t>[Regulation 1 inserted: SL 2020/115 r. 4.]</w:t>
      </w:r>
    </w:p>
    <w:p>
      <w:pPr>
        <w:pStyle w:val="Heading5"/>
        <w:rPr>
          <w:snapToGrid w:val="0"/>
        </w:rPr>
      </w:pPr>
      <w:bookmarkStart w:id="4" w:name="_Toc10862050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p>
    <w:p>
      <w:pPr>
        <w:pStyle w:val="Heading5"/>
        <w:rPr>
          <w:snapToGrid w:val="0"/>
        </w:rPr>
      </w:pPr>
      <w:bookmarkStart w:id="5" w:name="_Toc108620502"/>
      <w:r>
        <w:rPr>
          <w:rStyle w:val="CharSectno"/>
        </w:rPr>
        <w:t>3</w:t>
      </w:r>
      <w:r>
        <w:rPr>
          <w:snapToGrid w:val="0"/>
        </w:rPr>
        <w:t>.</w:t>
      </w:r>
      <w:r>
        <w:rPr>
          <w:snapToGrid w:val="0"/>
        </w:rPr>
        <w:tab/>
        <w:t>Term used: license</w:t>
      </w:r>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6" w:name="_Toc108620503"/>
      <w:r>
        <w:rPr>
          <w:rStyle w:val="CharSectno"/>
        </w:rPr>
        <w:t>4</w:t>
      </w:r>
      <w:r>
        <w:rPr>
          <w:snapToGrid w:val="0"/>
        </w:rPr>
        <w:t>.</w:t>
      </w:r>
      <w:r>
        <w:rPr>
          <w:snapToGrid w:val="0"/>
        </w:rPr>
        <w:tab/>
        <w:t>Application for grant or renewal of licence</w:t>
      </w:r>
      <w:bookmarkEnd w:id="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lastRenderedPageBreak/>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7" w:name="_Toc108620504"/>
      <w:r>
        <w:rPr>
          <w:rStyle w:val="CharSectno"/>
        </w:rPr>
        <w:t>4A</w:t>
      </w:r>
      <w:r>
        <w:rPr>
          <w:snapToGrid w:val="0"/>
        </w:rPr>
        <w:t>.</w:t>
      </w:r>
      <w:r>
        <w:rPr>
          <w:snapToGrid w:val="0"/>
        </w:rPr>
        <w:tab/>
        <w:t xml:space="preserve">Endorsement of licence to allow admission etc. under </w:t>
      </w:r>
      <w:r>
        <w:rPr>
          <w:i/>
          <w:snapToGrid w:val="0"/>
        </w:rPr>
        <w:t>Mental Health Act 1996</w:t>
      </w:r>
      <w:bookmarkEnd w:id="7"/>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8" w:name="_Toc108620505"/>
      <w:r>
        <w:rPr>
          <w:rStyle w:val="CharSectno"/>
        </w:rPr>
        <w:t>5</w:t>
      </w:r>
      <w:r>
        <w:rPr>
          <w:snapToGrid w:val="0"/>
        </w:rPr>
        <w:t>.</w:t>
      </w:r>
      <w:r>
        <w:rPr>
          <w:snapToGrid w:val="0"/>
        </w:rPr>
        <w:tab/>
        <w:t>Fee for application for approval of premises</w:t>
      </w:r>
      <w:bookmarkEnd w:id="8"/>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9" w:name="_Toc108620506"/>
      <w:r>
        <w:rPr>
          <w:rStyle w:val="CharSectno"/>
        </w:rPr>
        <w:lastRenderedPageBreak/>
        <w:t>6</w:t>
      </w:r>
      <w:r>
        <w:rPr>
          <w:snapToGrid w:val="0"/>
        </w:rPr>
        <w:t>.</w:t>
      </w:r>
      <w:r>
        <w:rPr>
          <w:snapToGrid w:val="0"/>
        </w:rPr>
        <w:tab/>
        <w:t>General duties of licence holder</w:t>
      </w:r>
      <w:bookmarkEnd w:id="9"/>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pPr>
      <w:r>
        <w:tab/>
        <w:t>(b)</w:t>
      </w:r>
      <w:r>
        <w:tab/>
        <w:t xml:space="preserve">if the licence holder permits a person to bring an animal onto the premises of the private hospital, the animal — </w:t>
      </w:r>
    </w:p>
    <w:p>
      <w:pPr>
        <w:pStyle w:val="Indenti"/>
      </w:pPr>
      <w:r>
        <w:tab/>
        <w:t>(i)</w:t>
      </w:r>
      <w:r>
        <w:tab/>
        <w:t>is effectively managed; and</w:t>
      </w:r>
    </w:p>
    <w:p>
      <w:pPr>
        <w:pStyle w:val="Indenti"/>
      </w:pPr>
      <w:r>
        <w:tab/>
        <w:t>(ii)</w:t>
      </w:r>
      <w:r>
        <w:tab/>
        <w:t>does not constitute a nuisance or health risk to the patients in the private hospital;</w:t>
      </w:r>
    </w:p>
    <w:p>
      <w:pPr>
        <w:pStyle w:val="Indenta"/>
      </w:pPr>
      <w:r>
        <w:tab/>
      </w:r>
      <w:r>
        <w:tab/>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vertAlign w:val="superscript"/>
        </w:rPr>
        <w:t> 2</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lastRenderedPageBreak/>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SL 2020/115 r. 5.] </w:t>
      </w:r>
    </w:p>
    <w:p>
      <w:pPr>
        <w:pStyle w:val="Heading5"/>
        <w:rPr>
          <w:snapToGrid w:val="0"/>
        </w:rPr>
      </w:pPr>
      <w:bookmarkStart w:id="10" w:name="_Toc108620507"/>
      <w:r>
        <w:rPr>
          <w:rStyle w:val="CharSectno"/>
        </w:rPr>
        <w:t>7</w:t>
      </w:r>
      <w:r>
        <w:rPr>
          <w:snapToGrid w:val="0"/>
        </w:rPr>
        <w:t>.</w:t>
      </w:r>
      <w:r>
        <w:rPr>
          <w:snapToGrid w:val="0"/>
        </w:rPr>
        <w:tab/>
        <w:t>Qualified staff to be provided</w:t>
      </w:r>
      <w:bookmarkEnd w:id="10"/>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keepNext/>
        <w:rPr>
          <w:snapToGrid w:val="0"/>
        </w:rPr>
      </w:pPr>
      <w:r>
        <w:rPr>
          <w:snapToGrid w:val="0"/>
        </w:rPr>
        <w:lastRenderedPageBreak/>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1" w:name="_Toc108620508"/>
      <w:r>
        <w:rPr>
          <w:rStyle w:val="CharSectno"/>
        </w:rPr>
        <w:t>8</w:t>
      </w:r>
      <w:r>
        <w:rPr>
          <w:snapToGrid w:val="0"/>
        </w:rPr>
        <w:t>.</w:t>
      </w:r>
      <w:r>
        <w:rPr>
          <w:snapToGrid w:val="0"/>
        </w:rPr>
        <w:tab/>
        <w:t>Staff accommodation</w:t>
      </w:r>
      <w:bookmarkEnd w:id="11"/>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12" w:name="_Toc108620509"/>
      <w:r>
        <w:rPr>
          <w:rStyle w:val="CharSectno"/>
        </w:rPr>
        <w:t>9</w:t>
      </w:r>
      <w:r>
        <w:rPr>
          <w:snapToGrid w:val="0"/>
        </w:rPr>
        <w:t>.</w:t>
      </w:r>
      <w:r>
        <w:rPr>
          <w:snapToGrid w:val="0"/>
        </w:rPr>
        <w:tab/>
        <w:t>Information to be recorded</w:t>
      </w:r>
      <w:bookmarkEnd w:id="12"/>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w:t>
      </w:r>
      <w:r>
        <w:rPr>
          <w:snapToGrid w:val="0"/>
        </w:rPr>
        <w:lastRenderedPageBreak/>
        <w:t>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13" w:name="_Toc108620510"/>
      <w:r>
        <w:rPr>
          <w:rStyle w:val="CharSectno"/>
        </w:rPr>
        <w:t>10</w:t>
      </w:r>
      <w:r>
        <w:rPr>
          <w:snapToGrid w:val="0"/>
        </w:rPr>
        <w:t>.</w:t>
      </w:r>
      <w:r>
        <w:rPr>
          <w:snapToGrid w:val="0"/>
        </w:rPr>
        <w:tab/>
        <w:t>Offences and penalties</w:t>
      </w:r>
      <w:bookmarkEnd w:id="1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Heading2"/>
      </w:pPr>
      <w:bookmarkStart w:id="15" w:name="_Toc108617027"/>
      <w:bookmarkStart w:id="16" w:name="_Toc108620511"/>
      <w:bookmarkStart w:id="17" w:name="_Toc108616819"/>
      <w:r>
        <w:rPr>
          <w:rStyle w:val="CharSchNo"/>
        </w:rPr>
        <w:lastRenderedPageBreak/>
        <w:t>Schedule 1</w:t>
      </w:r>
      <w:r>
        <w:t> — </w:t>
      </w:r>
      <w:r>
        <w:rPr>
          <w:rStyle w:val="CharSchText"/>
        </w:rPr>
        <w:t>Fees</w:t>
      </w:r>
      <w:bookmarkEnd w:id="15"/>
      <w:bookmarkEnd w:id="16"/>
    </w:p>
    <w:p>
      <w:pPr>
        <w:pStyle w:val="zyShoulderClause"/>
      </w:pPr>
      <w:r>
        <w:t>[r. 4 and 5]</w:t>
      </w:r>
    </w:p>
    <w:p>
      <w:pPr>
        <w:pStyle w:val="yFootnoteheading"/>
      </w:pPr>
      <w:r>
        <w:tab/>
        <w:t>[Heading inserted: SL 2022/136 r. 16.]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noWrap/>
          </w:tcPr>
          <w:p>
            <w:pPr>
              <w:pStyle w:val="yTableNAm"/>
              <w:rPr>
                <w:b/>
                <w:bCs/>
              </w:rPr>
            </w:pPr>
            <w:r>
              <w:rPr>
                <w:b/>
                <w:bCs/>
              </w:rPr>
              <w:t>Item</w:t>
            </w:r>
          </w:p>
        </w:tc>
        <w:tc>
          <w:tcPr>
            <w:tcW w:w="4961" w:type="dxa"/>
            <w:gridSpan w:val="2"/>
            <w:noWrap/>
          </w:tcPr>
          <w:p>
            <w:pPr>
              <w:pStyle w:val="yTableNAm"/>
              <w:rPr>
                <w:b/>
                <w:bCs/>
              </w:rPr>
            </w:pPr>
            <w:r>
              <w:rPr>
                <w:b/>
                <w:bCs/>
              </w:rPr>
              <w:t>Description</w:t>
            </w:r>
          </w:p>
        </w:tc>
        <w:tc>
          <w:tcPr>
            <w:tcW w:w="992" w:type="dxa"/>
            <w:noWrap/>
          </w:tcPr>
          <w:p>
            <w:pPr>
              <w:pStyle w:val="yTableNAm"/>
              <w:rPr>
                <w:b/>
                <w:bCs/>
              </w:rPr>
            </w:pPr>
            <w:r>
              <w:rPr>
                <w:b/>
                <w:bCs/>
              </w:rPr>
              <w:t>Fee ($)</w:t>
            </w:r>
          </w:p>
        </w:tc>
      </w:tr>
      <w:tr>
        <w:trPr>
          <w:cantSplit/>
        </w:trPr>
        <w:tc>
          <w:tcPr>
            <w:tcW w:w="851" w:type="dxa"/>
            <w:noWrap/>
          </w:tcPr>
          <w:p>
            <w:pPr>
              <w:pStyle w:val="yTableNAm"/>
              <w:rPr>
                <w:szCs w:val="22"/>
              </w:rPr>
            </w:pPr>
            <w:r>
              <w:br w:type="page"/>
            </w:r>
            <w:r>
              <w:rPr>
                <w:szCs w:val="22"/>
              </w:rPr>
              <w:t>1.</w:t>
            </w:r>
          </w:p>
        </w:tc>
        <w:tc>
          <w:tcPr>
            <w:tcW w:w="2551" w:type="dxa"/>
            <w:noWrap/>
          </w:tcPr>
          <w:p>
            <w:pPr>
              <w:pStyle w:val="yTableNAm"/>
              <w:rPr>
                <w:szCs w:val="22"/>
              </w:rPr>
            </w:pPr>
            <w:r>
              <w:rPr>
                <w:szCs w:val="22"/>
              </w:rPr>
              <w:t>Grant of licence (r. 4(1))</w:t>
            </w:r>
          </w:p>
        </w:tc>
        <w:tc>
          <w:tcPr>
            <w:tcW w:w="2410" w:type="dxa"/>
            <w:noWrap/>
          </w:tcPr>
          <w:p>
            <w:pPr>
              <w:pStyle w:val="yTableNAm"/>
              <w:rPr>
                <w:szCs w:val="22"/>
              </w:rPr>
            </w:pPr>
          </w:p>
        </w:tc>
        <w:tc>
          <w:tcPr>
            <w:tcW w:w="992" w:type="dxa"/>
            <w:noWrap/>
            <w:vAlign w:val="bottom"/>
          </w:tcPr>
          <w:p>
            <w:pPr>
              <w:pStyle w:val="yTableNAm"/>
              <w:tabs>
                <w:tab w:val="clear" w:pos="567"/>
              </w:tabs>
              <w:ind w:left="-505" w:right="147"/>
              <w:jc w:val="right"/>
            </w:pPr>
            <w:r>
              <w:t>1 360</w:t>
            </w:r>
          </w:p>
        </w:tc>
      </w:tr>
      <w:tr>
        <w:trPr>
          <w:cantSplit/>
        </w:trPr>
        <w:tc>
          <w:tcPr>
            <w:tcW w:w="851" w:type="dxa"/>
            <w:noWrap/>
          </w:tcPr>
          <w:p>
            <w:pPr>
              <w:pStyle w:val="yTableNAm"/>
            </w:pPr>
            <w:r>
              <w:t>2.</w:t>
            </w:r>
          </w:p>
        </w:tc>
        <w:tc>
          <w:tcPr>
            <w:tcW w:w="2551" w:type="dxa"/>
            <w:noWrap/>
          </w:tcPr>
          <w:p>
            <w:pPr>
              <w:pStyle w:val="yTableNAm"/>
            </w:pPr>
            <w:r>
              <w:t>Renewal of licence (r. 4(3))</w:t>
            </w:r>
          </w:p>
        </w:tc>
        <w:tc>
          <w:tcPr>
            <w:tcW w:w="2410" w:type="dxa"/>
            <w:noWrap/>
          </w:tcPr>
          <w:p>
            <w:pPr>
              <w:pStyle w:val="yTableNAm"/>
              <w:tabs>
                <w:tab w:val="right" w:leader="dot" w:pos="2189"/>
              </w:tabs>
            </w:pPr>
            <w:r>
              <w:t xml:space="preserve">Number of persons licensed to be accommodated — </w:t>
            </w:r>
          </w:p>
          <w:p>
            <w:pPr>
              <w:pStyle w:val="yTableNAm"/>
              <w:tabs>
                <w:tab w:val="right" w:leader="dot" w:pos="2189"/>
              </w:tabs>
            </w:pPr>
            <w:r>
              <w:t>Fewer than 25</w:t>
            </w:r>
            <w:r>
              <w:tab/>
            </w:r>
          </w:p>
          <w:p>
            <w:pPr>
              <w:pStyle w:val="yTableNAm"/>
              <w:tabs>
                <w:tab w:val="clear" w:pos="567"/>
                <w:tab w:val="right" w:leader="dot" w:pos="2189"/>
              </w:tabs>
            </w:pPr>
            <w:r>
              <w:t>25</w:t>
            </w:r>
            <w:r>
              <w:noBreakHyphen/>
              <w:t>50</w:t>
            </w:r>
            <w:r>
              <w:tab/>
            </w:r>
          </w:p>
          <w:p>
            <w:pPr>
              <w:pStyle w:val="yTableNAm"/>
              <w:tabs>
                <w:tab w:val="right" w:leader="dot" w:pos="2189"/>
              </w:tabs>
            </w:pPr>
            <w:r>
              <w:t>51</w:t>
            </w:r>
            <w:r>
              <w:noBreakHyphen/>
              <w:t>100</w:t>
            </w:r>
            <w:r>
              <w:tab/>
            </w:r>
          </w:p>
          <w:p>
            <w:pPr>
              <w:pStyle w:val="yTableNAm"/>
              <w:tabs>
                <w:tab w:val="right" w:leader="dot" w:pos="2189"/>
              </w:tabs>
            </w:pPr>
            <w:r>
              <w:t>101</w:t>
            </w:r>
            <w:r>
              <w:noBreakHyphen/>
              <w:t>200</w:t>
            </w:r>
            <w:r>
              <w:tab/>
            </w:r>
          </w:p>
          <w:p>
            <w:pPr>
              <w:pStyle w:val="yTableNAm"/>
              <w:tabs>
                <w:tab w:val="right" w:leader="dot" w:pos="2189"/>
              </w:tabs>
            </w:pPr>
            <w:r>
              <w:t>201</w:t>
            </w:r>
            <w:r>
              <w:noBreakHyphen/>
              <w:t>500</w:t>
            </w:r>
            <w:r>
              <w:tab/>
            </w:r>
          </w:p>
          <w:p>
            <w:pPr>
              <w:pStyle w:val="yTableNAm"/>
              <w:tabs>
                <w:tab w:val="right" w:leader="dot" w:pos="2189"/>
              </w:tabs>
            </w:pPr>
            <w:r>
              <w:t>more than 500</w:t>
            </w:r>
            <w:r>
              <w:tab/>
            </w:r>
          </w:p>
        </w:tc>
        <w:tc>
          <w:tcPr>
            <w:tcW w:w="992" w:type="dxa"/>
            <w:noWrap/>
            <w:vAlign w:val="bottom"/>
          </w:tcPr>
          <w:p>
            <w:pPr>
              <w:pStyle w:val="yTableNAm"/>
              <w:tabs>
                <w:tab w:val="clear" w:pos="567"/>
              </w:tabs>
              <w:ind w:left="-505" w:right="147"/>
              <w:jc w:val="right"/>
              <w:rPr>
                <w:szCs w:val="22"/>
              </w:rPr>
            </w:pPr>
            <w:r>
              <w:t>2 </w:t>
            </w:r>
            <w:r>
              <w:rPr>
                <w:szCs w:val="22"/>
              </w:rPr>
              <w:t>675</w:t>
            </w:r>
          </w:p>
          <w:p>
            <w:pPr>
              <w:pStyle w:val="yTableNAm"/>
              <w:tabs>
                <w:tab w:val="clear" w:pos="567"/>
              </w:tabs>
              <w:ind w:left="-505" w:right="147"/>
              <w:jc w:val="right"/>
              <w:rPr>
                <w:szCs w:val="22"/>
              </w:rPr>
            </w:pPr>
            <w:r>
              <w:rPr>
                <w:szCs w:val="22"/>
              </w:rPr>
              <w:t>3 200</w:t>
            </w:r>
          </w:p>
          <w:p>
            <w:pPr>
              <w:pStyle w:val="yTableNAm"/>
              <w:tabs>
                <w:tab w:val="clear" w:pos="567"/>
              </w:tabs>
              <w:ind w:left="-505" w:right="147"/>
              <w:jc w:val="right"/>
              <w:rPr>
                <w:szCs w:val="22"/>
              </w:rPr>
            </w:pPr>
            <w:r>
              <w:rPr>
                <w:szCs w:val="22"/>
              </w:rPr>
              <w:t>3 700</w:t>
            </w:r>
          </w:p>
          <w:p>
            <w:pPr>
              <w:pStyle w:val="yTableNAm"/>
              <w:tabs>
                <w:tab w:val="clear" w:pos="567"/>
              </w:tabs>
              <w:ind w:left="-505" w:right="147"/>
              <w:jc w:val="right"/>
              <w:rPr>
                <w:szCs w:val="22"/>
              </w:rPr>
            </w:pPr>
            <w:r>
              <w:rPr>
                <w:szCs w:val="22"/>
              </w:rPr>
              <w:t>4 200</w:t>
            </w:r>
          </w:p>
          <w:p>
            <w:pPr>
              <w:pStyle w:val="yTableNAm"/>
              <w:tabs>
                <w:tab w:val="clear" w:pos="567"/>
              </w:tabs>
              <w:ind w:left="-505" w:right="147"/>
              <w:jc w:val="right"/>
              <w:rPr>
                <w:szCs w:val="22"/>
              </w:rPr>
            </w:pPr>
            <w:r>
              <w:rPr>
                <w:szCs w:val="22"/>
              </w:rPr>
              <w:t>4 813</w:t>
            </w:r>
          </w:p>
          <w:p>
            <w:pPr>
              <w:pStyle w:val="yTableNAm"/>
              <w:tabs>
                <w:tab w:val="clear" w:pos="567"/>
              </w:tabs>
              <w:ind w:left="-505" w:right="147"/>
              <w:jc w:val="right"/>
            </w:pPr>
            <w:r>
              <w:rPr>
                <w:szCs w:val="22"/>
              </w:rPr>
              <w:t>5 313</w:t>
            </w:r>
          </w:p>
        </w:tc>
      </w:tr>
      <w:tr>
        <w:trPr>
          <w:cantSplit/>
        </w:trPr>
        <w:tc>
          <w:tcPr>
            <w:tcW w:w="851" w:type="dxa"/>
            <w:noWrap/>
          </w:tcPr>
          <w:p>
            <w:pPr>
              <w:pStyle w:val="yTableNAm"/>
            </w:pPr>
            <w:r>
              <w:t>3.</w:t>
            </w:r>
          </w:p>
        </w:tc>
        <w:tc>
          <w:tcPr>
            <w:tcW w:w="2551" w:type="dxa"/>
            <w:noWrap/>
          </w:tcPr>
          <w:p>
            <w:pPr>
              <w:pStyle w:val="yTableNAm"/>
            </w:pPr>
            <w:r>
              <w:t>Replacement licence (r. 4(6))</w:t>
            </w:r>
          </w:p>
        </w:tc>
        <w:tc>
          <w:tcPr>
            <w:tcW w:w="2410" w:type="dxa"/>
            <w:noWrap/>
          </w:tcPr>
          <w:p>
            <w:pPr>
              <w:pStyle w:val="yTableNAm"/>
            </w:pPr>
          </w:p>
        </w:tc>
        <w:tc>
          <w:tcPr>
            <w:tcW w:w="992" w:type="dxa"/>
            <w:noWrap/>
            <w:vAlign w:val="bottom"/>
          </w:tcPr>
          <w:p>
            <w:pPr>
              <w:pStyle w:val="yTableNAm"/>
              <w:tabs>
                <w:tab w:val="clear" w:pos="567"/>
              </w:tabs>
              <w:ind w:left="-505" w:right="147"/>
              <w:jc w:val="right"/>
            </w:pPr>
            <w:r>
              <w:rPr>
                <w:szCs w:val="22"/>
              </w:rPr>
              <w:t>255</w:t>
            </w:r>
          </w:p>
        </w:tc>
      </w:tr>
      <w:tr>
        <w:trPr>
          <w:cantSplit/>
        </w:trPr>
        <w:tc>
          <w:tcPr>
            <w:tcW w:w="851" w:type="dxa"/>
            <w:noWrap/>
          </w:tcPr>
          <w:p>
            <w:pPr>
              <w:pStyle w:val="yTableNAm"/>
            </w:pPr>
            <w:r>
              <w:t>4.</w:t>
            </w:r>
          </w:p>
        </w:tc>
        <w:tc>
          <w:tcPr>
            <w:tcW w:w="2551" w:type="dxa"/>
            <w:noWrap/>
          </w:tcPr>
          <w:p>
            <w:pPr>
              <w:pStyle w:val="yTableNAm"/>
            </w:pPr>
            <w:r>
              <w:t>Approval of premises as a private hospital (r. 5)</w:t>
            </w:r>
          </w:p>
        </w:tc>
        <w:tc>
          <w:tcPr>
            <w:tcW w:w="2410" w:type="dxa"/>
            <w:noWrap/>
          </w:tcPr>
          <w:p>
            <w:pPr>
              <w:pStyle w:val="yTableNAm"/>
              <w:tabs>
                <w:tab w:val="right" w:leader="dot" w:pos="2189"/>
              </w:tabs>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pPr>
            <w:r>
              <w:t>201</w:t>
            </w:r>
            <w:r>
              <w:noBreakHyphen/>
              <w:t>500</w:t>
            </w:r>
            <w:r>
              <w:tab/>
            </w:r>
          </w:p>
          <w:p>
            <w:pPr>
              <w:pStyle w:val="yTableNAm"/>
              <w:tabs>
                <w:tab w:val="clear" w:pos="567"/>
                <w:tab w:val="right" w:leader="dot" w:pos="2189"/>
              </w:tabs>
            </w:pPr>
            <w:r>
              <w:t>more than 500</w:t>
            </w:r>
            <w:r>
              <w:tab/>
            </w:r>
          </w:p>
        </w:tc>
        <w:tc>
          <w:tcPr>
            <w:tcW w:w="992" w:type="dxa"/>
            <w:noWrap/>
            <w:vAlign w:val="bottom"/>
          </w:tcPr>
          <w:p>
            <w:pPr>
              <w:pStyle w:val="yTableNAm"/>
              <w:tabs>
                <w:tab w:val="clear" w:pos="567"/>
              </w:tabs>
              <w:ind w:left="-505" w:right="147"/>
              <w:jc w:val="right"/>
              <w:rPr>
                <w:szCs w:val="22"/>
              </w:rPr>
            </w:pPr>
            <w:r>
              <w:rPr>
                <w:szCs w:val="22"/>
              </w:rPr>
              <w:t>8 960</w:t>
            </w:r>
          </w:p>
          <w:p>
            <w:pPr>
              <w:pStyle w:val="yTableNAm"/>
              <w:tabs>
                <w:tab w:val="clear" w:pos="567"/>
              </w:tabs>
              <w:ind w:left="-505" w:right="147"/>
              <w:jc w:val="right"/>
              <w:rPr>
                <w:szCs w:val="22"/>
              </w:rPr>
            </w:pPr>
            <w:r>
              <w:rPr>
                <w:szCs w:val="22"/>
              </w:rPr>
              <w:t>10 110</w:t>
            </w:r>
          </w:p>
          <w:p>
            <w:pPr>
              <w:pStyle w:val="yTableNAm"/>
              <w:tabs>
                <w:tab w:val="clear" w:pos="567"/>
              </w:tabs>
              <w:ind w:left="-505" w:right="147"/>
              <w:jc w:val="right"/>
              <w:rPr>
                <w:szCs w:val="22"/>
              </w:rPr>
            </w:pPr>
            <w:r>
              <w:rPr>
                <w:szCs w:val="22"/>
              </w:rPr>
              <w:t>13 110</w:t>
            </w:r>
          </w:p>
          <w:p>
            <w:pPr>
              <w:pStyle w:val="yTableNAm"/>
              <w:tabs>
                <w:tab w:val="clear" w:pos="567"/>
              </w:tabs>
              <w:ind w:left="-505" w:right="147"/>
              <w:jc w:val="right"/>
              <w:rPr>
                <w:szCs w:val="22"/>
              </w:rPr>
            </w:pPr>
            <w:r>
              <w:rPr>
                <w:szCs w:val="22"/>
              </w:rPr>
              <w:t>16 110</w:t>
            </w:r>
          </w:p>
          <w:p>
            <w:pPr>
              <w:pStyle w:val="yTableNAm"/>
              <w:tabs>
                <w:tab w:val="clear" w:pos="567"/>
              </w:tabs>
              <w:ind w:left="-505" w:right="147"/>
              <w:jc w:val="right"/>
            </w:pPr>
            <w:r>
              <w:rPr>
                <w:szCs w:val="22"/>
              </w:rPr>
              <w:t>19 110</w:t>
            </w:r>
          </w:p>
        </w:tc>
      </w:tr>
    </w:tbl>
    <w:p>
      <w:pPr>
        <w:pStyle w:val="yFootnotesection"/>
      </w:pPr>
      <w:r>
        <w:tab/>
        <w:t>[Schedule 1 inserted: SL 2022/136 r. 16.]</w:t>
      </w:r>
    </w:p>
    <w:bookmarkEnd w:id="17"/>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4"/>
          <w:pgSz w:w="11907" w:h="16840" w:code="9"/>
          <w:pgMar w:top="2376" w:right="2405" w:bottom="3542" w:left="2405" w:header="706" w:footer="3380" w:gutter="0"/>
          <w:cols w:space="720"/>
          <w:noEndnote/>
          <w:titlePg/>
          <w:docGrid w:linePitch="326"/>
        </w:sectPr>
      </w:pPr>
    </w:p>
    <w:p>
      <w:pPr>
        <w:pStyle w:val="nHeading2"/>
      </w:pPr>
      <w:bookmarkStart w:id="18" w:name="_Toc108616820"/>
      <w:bookmarkStart w:id="19" w:name="_Toc108617028"/>
      <w:bookmarkStart w:id="20" w:name="_Toc108620512"/>
      <w:r>
        <w:lastRenderedPageBreak/>
        <w:t>Notes</w:t>
      </w:r>
      <w:bookmarkEnd w:id="18"/>
      <w:bookmarkEnd w:id="19"/>
      <w:bookmarkEnd w:id="20"/>
    </w:p>
    <w:p>
      <w:pPr>
        <w:pStyle w:val="nStatement"/>
      </w:pPr>
      <w:r>
        <w:t xml:space="preserve">This is a compilation of the </w:t>
      </w:r>
      <w:r>
        <w:rPr>
          <w:i/>
        </w:rPr>
        <w:t>Private Hospitals (Licensing and Conduct of Private Hospitals) Regulations 1987</w:t>
      </w:r>
      <w:r>
        <w:t xml:space="preserve"> and includes amendments made by other written laws. For provisions that have come into operation, and for information about any reprints, see the compilation table.</w:t>
      </w:r>
    </w:p>
    <w:p>
      <w:pPr>
        <w:pStyle w:val="nHeading3"/>
      </w:pPr>
      <w:bookmarkStart w:id="21" w:name="_Toc108620513"/>
      <w:r>
        <w:t>Compilation table</w:t>
      </w:r>
      <w:bookmarkEnd w:id="2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r>
              <w:rPr>
                <w:vertAlign w:val="superscript"/>
              </w:rPr>
              <w:t> 3</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lastRenderedPageBreak/>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r>
        <w:tc>
          <w:tcPr>
            <w:tcW w:w="3119" w:type="dxa"/>
            <w:tcBorders>
              <w:top w:val="nil"/>
              <w:bottom w:val="nil"/>
            </w:tcBorders>
            <w:shd w:val="clear" w:color="auto" w:fill="auto"/>
          </w:tcPr>
          <w:p>
            <w:pPr>
              <w:pStyle w:val="nTable"/>
              <w:spacing w:after="40"/>
              <w:rPr>
                <w:i/>
              </w:rPr>
            </w:pPr>
            <w:r>
              <w:rPr>
                <w:i/>
              </w:rPr>
              <w:t>Hospitals (Licensing and Conduct of Private Hospitals) Amendment Regulations 2020</w:t>
            </w:r>
          </w:p>
        </w:tc>
        <w:tc>
          <w:tcPr>
            <w:tcW w:w="1276" w:type="dxa"/>
            <w:tcBorders>
              <w:top w:val="nil"/>
              <w:bottom w:val="nil"/>
            </w:tcBorders>
            <w:shd w:val="clear" w:color="auto" w:fill="auto"/>
          </w:tcPr>
          <w:p>
            <w:pPr>
              <w:pStyle w:val="nTable"/>
              <w:spacing w:after="40"/>
            </w:pPr>
            <w:r>
              <w:t>SL 2020/115 10 Jul 2020</w:t>
            </w:r>
          </w:p>
        </w:tc>
        <w:tc>
          <w:tcPr>
            <w:tcW w:w="2693" w:type="dxa"/>
            <w:tcBorders>
              <w:top w:val="nil"/>
              <w:bottom w:val="nil"/>
            </w:tcBorders>
            <w:shd w:val="clear" w:color="auto" w:fill="auto"/>
          </w:tcPr>
          <w:p>
            <w:pPr>
              <w:pStyle w:val="nTable"/>
              <w:spacing w:after="40"/>
            </w:pPr>
            <w:r>
              <w:t>r. 1 and 2: 10 Jul 2020 (see r. 2(a));</w:t>
            </w:r>
            <w:r>
              <w:br/>
              <w:t>Regulations other than r. 1 and 2: 11 Jul 2020 (see r. 2(b))</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shd w:val="clear" w:color="auto" w:fill="auto"/>
          </w:tcPr>
          <w:p>
            <w:pPr>
              <w:pStyle w:val="nTable"/>
              <w:spacing w:after="40"/>
              <w:rPr>
                <w:i/>
              </w:rPr>
            </w:pPr>
            <w:r>
              <w:rPr>
                <w:i/>
              </w:rPr>
              <w:t xml:space="preserve">Health Regulations Amendment (Fees and Charges) Regulations 2022 </w:t>
            </w:r>
            <w:r>
              <w:t>Pt. 7</w:t>
            </w:r>
          </w:p>
        </w:tc>
        <w:tc>
          <w:tcPr>
            <w:tcW w:w="1276" w:type="dxa"/>
            <w:tcBorders>
              <w:bottom w:val="single" w:sz="8" w:space="0" w:color="auto"/>
            </w:tcBorders>
            <w:shd w:val="clear" w:color="auto" w:fill="auto"/>
          </w:tcPr>
          <w:p>
            <w:pPr>
              <w:pStyle w:val="nTable"/>
              <w:spacing w:after="40"/>
            </w:pPr>
            <w:r>
              <w:t>SL 2022/136 15 Jul 2022</w:t>
            </w:r>
          </w:p>
        </w:tc>
        <w:tc>
          <w:tcPr>
            <w:tcW w:w="2693" w:type="dxa"/>
            <w:tcBorders>
              <w:bottom w:val="single" w:sz="8" w:space="0" w:color="auto"/>
            </w:tcBorders>
            <w:shd w:val="clear" w:color="auto" w:fill="auto"/>
          </w:tcPr>
          <w:p>
            <w:pPr>
              <w:pStyle w:val="nTable"/>
              <w:spacing w:after="40"/>
            </w:pPr>
            <w:r>
              <w:rPr>
                <w:bCs/>
                <w:snapToGrid w:val="0"/>
              </w:rPr>
              <w:t>16 Jul 2022 (see r. 2(b))</w:t>
            </w:r>
          </w:p>
        </w:tc>
      </w:tr>
    </w:tbl>
    <w:p>
      <w:pPr>
        <w:pStyle w:val="nHeading3"/>
      </w:pPr>
      <w:bookmarkStart w:id="22" w:name="_Toc108620514"/>
      <w:r>
        <w:t>Other notes</w:t>
      </w:r>
      <w:bookmarkEnd w:id="22"/>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tab/>
        <w:t xml:space="preserve">Repealed by the </w:t>
      </w:r>
      <w:r>
        <w:rPr>
          <w:i/>
        </w:rPr>
        <w:t>National Health and Medical Research Council Act 1992</w:t>
      </w:r>
      <w:r>
        <w:t xml:space="preserve"> s. 54 (No. 225 of 1992) of the Commonwealth.</w:t>
      </w:r>
    </w:p>
    <w:p>
      <w:pPr>
        <w:pStyle w:val="nNote"/>
        <w:spacing w:before="160"/>
      </w:pPr>
      <w:r>
        <w:rPr>
          <w:vertAlign w:val="superscript"/>
        </w:rPr>
        <w:t>3</w:t>
      </w:r>
      <w:r>
        <w:tab/>
        <w:t xml:space="preserve">Now known as the </w:t>
      </w:r>
      <w:r>
        <w:rPr>
          <w:i/>
        </w:rPr>
        <w:t>Private Hospitals (Licensing and Conduct of Private Hospitals) Regulations 1987</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4" w:name="_Toc108616823"/>
      <w:bookmarkStart w:id="25" w:name="_Toc108617031"/>
      <w:bookmarkStart w:id="26" w:name="_Toc108620515"/>
      <w:r>
        <w:rPr>
          <w:sz w:val="28"/>
        </w:rPr>
        <w:lastRenderedPageBreak/>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general private hospital</w:t>
      </w:r>
      <w:r>
        <w:tab/>
        <w:t>7(3)</w:t>
      </w:r>
    </w:p>
    <w:p>
      <w:pPr>
        <w:pStyle w:val="DefinedTerms"/>
      </w:pPr>
      <w:r>
        <w:t>licence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4" w:name="Schedule"/>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22"/>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 w:name="WAFER_202207131442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22_GUID" w:val="dc9fd85a-dc0c-498c-a75e-9d554b782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2238</Words>
  <Characters>10703</Characters>
  <Application>Microsoft Office Word</Application>
  <DocSecurity>0</DocSecurity>
  <Lines>411</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1987 - 02-h0-00</dc:title>
  <dc:subject/>
  <dc:creator/>
  <cp:keywords/>
  <dc:description/>
  <cp:lastModifiedBy>Master Repository Process</cp:lastModifiedBy>
  <cp:revision>4</cp:revision>
  <cp:lastPrinted>2017-06-30T06:36:00Z</cp:lastPrinted>
  <dcterms:created xsi:type="dcterms:W3CDTF">2022-07-14T08:25:00Z</dcterms:created>
  <dcterms:modified xsi:type="dcterms:W3CDTF">2022-07-14T08:25:00Z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16 Jul 2022</vt:lpwstr>
  </property>
  <property fmtid="{D5CDD505-2E9C-101B-9397-08002B2CF9AE}" pid="8" name="Suffix">
    <vt:lpwstr>02-h0-00</vt:lpwstr>
  </property>
  <property fmtid="{D5CDD505-2E9C-101B-9397-08002B2CF9AE}" pid="9" name="CommencementDate">
    <vt:lpwstr>20220716</vt:lpwstr>
  </property>
</Properties>
</file>