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Agencies (Powers)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Agencies (Water Use) By-laws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(Water Use) By-laws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_Toc110859992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_Toc110859993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_Toc110859994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Water restrictions</w:t>
      </w:r>
    </w:p>
    <w:p>
      <w:pPr>
        <w:pStyle w:val="TOC8"/>
        <w:rPr>
          <w:rFonts w:asciiTheme="minorHAnsi" w:eastAsiaTheme="minorEastAsia" w:hAnsiTheme="minorHAnsi" w:cstheme="minorBidi"/>
          <w:szCs w:val="22"/>
        </w:rPr>
      </w:pPr>
      <w:r>
        <w:t>4.</w:t>
      </w:r>
      <w:r>
        <w:tab/>
        <w:t>Contravening restrictions, offence</w:t>
      </w:r>
      <w:r>
        <w:tab/>
      </w:r>
      <w:r>
        <w:fldChar w:fldCharType="begin"/>
      </w:r>
      <w:r>
        <w:instrText xml:space="preserve"> PAGEREF _Toc110859996 \h </w:instrText>
      </w:r>
      <w:r>
        <w:fldChar w:fldCharType="separate"/>
      </w:r>
      <w:r>
        <w:t>4</w:t>
      </w:r>
      <w:r>
        <w:fldChar w:fldCharType="end"/>
      </w:r>
    </w:p>
    <w:p>
      <w:pPr>
        <w:pStyle w:val="TOC8"/>
        <w:rPr>
          <w:rFonts w:asciiTheme="minorHAnsi" w:eastAsiaTheme="minorEastAsia" w:hAnsiTheme="minorHAnsi" w:cstheme="minorBidi"/>
          <w:szCs w:val="22"/>
        </w:rPr>
      </w:pPr>
      <w:r>
        <w:t>5.</w:t>
      </w:r>
      <w:r>
        <w:tab/>
        <w:t>Area 1’s restrictions</w:t>
      </w:r>
      <w:r>
        <w:tab/>
      </w:r>
      <w:r>
        <w:fldChar w:fldCharType="begin"/>
      </w:r>
      <w:r>
        <w:instrText xml:space="preserve"> PAGEREF _Toc110859997 \h </w:instrText>
      </w:r>
      <w:r>
        <w:fldChar w:fldCharType="separate"/>
      </w:r>
      <w:r>
        <w:t>4</w:t>
      </w:r>
      <w:r>
        <w:fldChar w:fldCharType="end"/>
      </w:r>
    </w:p>
    <w:p>
      <w:pPr>
        <w:pStyle w:val="TOC8"/>
        <w:rPr>
          <w:rFonts w:asciiTheme="minorHAnsi" w:eastAsiaTheme="minorEastAsia" w:hAnsiTheme="minorHAnsi" w:cstheme="minorBidi"/>
          <w:szCs w:val="22"/>
        </w:rPr>
      </w:pPr>
      <w:r>
        <w:t>6.</w:t>
      </w:r>
      <w:r>
        <w:tab/>
        <w:t>Area 2’s restrictions</w:t>
      </w:r>
      <w:r>
        <w:tab/>
      </w:r>
      <w:r>
        <w:fldChar w:fldCharType="begin"/>
      </w:r>
      <w:r>
        <w:instrText xml:space="preserve"> PAGEREF _Toc110859998 \h </w:instrText>
      </w:r>
      <w:r>
        <w:fldChar w:fldCharType="separate"/>
      </w:r>
      <w:r>
        <w:t>4</w:t>
      </w:r>
      <w:r>
        <w:fldChar w:fldCharType="end"/>
      </w:r>
    </w:p>
    <w:p>
      <w:pPr>
        <w:pStyle w:val="TOC8"/>
        <w:rPr>
          <w:rFonts w:asciiTheme="minorHAnsi" w:eastAsiaTheme="minorEastAsia" w:hAnsiTheme="minorHAnsi" w:cstheme="minorBidi"/>
          <w:szCs w:val="22"/>
        </w:rPr>
      </w:pPr>
      <w:r>
        <w:t>7.</w:t>
      </w:r>
      <w:r>
        <w:tab/>
        <w:t>Area 3’s restrictions</w:t>
      </w:r>
      <w:r>
        <w:tab/>
      </w:r>
      <w:r>
        <w:fldChar w:fldCharType="begin"/>
      </w:r>
      <w:r>
        <w:instrText xml:space="preserve"> PAGEREF _Toc110859999 \h </w:instrText>
      </w:r>
      <w:r>
        <w:fldChar w:fldCharType="separate"/>
      </w:r>
      <w:r>
        <w:t>5</w:t>
      </w:r>
      <w:r>
        <w:fldChar w:fldCharType="end"/>
      </w:r>
    </w:p>
    <w:p>
      <w:pPr>
        <w:pStyle w:val="TOC8"/>
        <w:rPr>
          <w:rFonts w:asciiTheme="minorHAnsi" w:eastAsiaTheme="minorEastAsia" w:hAnsiTheme="minorHAnsi" w:cstheme="minorBidi"/>
          <w:szCs w:val="22"/>
        </w:rPr>
      </w:pPr>
      <w:r>
        <w:t>8.</w:t>
      </w:r>
      <w:r>
        <w:tab/>
        <w:t>Area 4’s restrictions</w:t>
      </w:r>
      <w:r>
        <w:tab/>
      </w:r>
      <w:r>
        <w:fldChar w:fldCharType="begin"/>
      </w:r>
      <w:r>
        <w:instrText xml:space="preserve"> PAGEREF _Toc110860000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from water restrictions</w:t>
      </w:r>
    </w:p>
    <w:p>
      <w:pPr>
        <w:pStyle w:val="TOC8"/>
        <w:rPr>
          <w:rFonts w:asciiTheme="minorHAnsi" w:eastAsiaTheme="minorEastAsia" w:hAnsiTheme="minorHAnsi" w:cstheme="minorBidi"/>
          <w:szCs w:val="22"/>
        </w:rPr>
      </w:pPr>
      <w:r>
        <w:t>10.</w:t>
      </w:r>
      <w:r>
        <w:tab/>
      </w:r>
      <w:r>
        <w:rPr>
          <w:i/>
        </w:rPr>
        <w:t>Rights in Water and Irrigation Act </w:t>
      </w:r>
      <w:r>
        <w:rPr>
          <w:i/>
          <w:iCs/>
        </w:rPr>
        <w:t>1914</w:t>
      </w:r>
      <w:r>
        <w:t xml:space="preserve"> s. 5C, use of water under is exempt</w:t>
      </w:r>
      <w:r>
        <w:tab/>
      </w:r>
      <w:r>
        <w:fldChar w:fldCharType="begin"/>
      </w:r>
      <w:r>
        <w:instrText xml:space="preserve"> PAGEREF _Toc110860002 \h </w:instrText>
      </w:r>
      <w:r>
        <w:fldChar w:fldCharType="separate"/>
      </w:r>
      <w:r>
        <w:t>6</w:t>
      </w:r>
      <w:r>
        <w:fldChar w:fldCharType="end"/>
      </w:r>
    </w:p>
    <w:p>
      <w:pPr>
        <w:pStyle w:val="TOC8"/>
        <w:rPr>
          <w:rFonts w:asciiTheme="minorHAnsi" w:eastAsiaTheme="minorEastAsia" w:hAnsiTheme="minorHAnsi" w:cstheme="minorBidi"/>
          <w:szCs w:val="22"/>
        </w:rPr>
      </w:pPr>
      <w:r>
        <w:t>11.</w:t>
      </w:r>
      <w:r>
        <w:tab/>
        <w:t>Domestic bore on other property, using water from</w:t>
      </w:r>
      <w:r>
        <w:tab/>
      </w:r>
      <w:r>
        <w:fldChar w:fldCharType="begin"/>
      </w:r>
      <w:r>
        <w:instrText xml:space="preserve"> PAGEREF _Toc110860003 \h </w:instrText>
      </w:r>
      <w:r>
        <w:fldChar w:fldCharType="separate"/>
      </w:r>
      <w:r>
        <w:t>6</w:t>
      </w:r>
      <w:r>
        <w:fldChar w:fldCharType="end"/>
      </w:r>
    </w:p>
    <w:p>
      <w:pPr>
        <w:pStyle w:val="TOC8"/>
        <w:rPr>
          <w:rFonts w:asciiTheme="minorHAnsi" w:eastAsiaTheme="minorEastAsia" w:hAnsiTheme="minorHAnsi" w:cstheme="minorBidi"/>
          <w:szCs w:val="22"/>
        </w:rPr>
      </w:pPr>
      <w:r>
        <w:t>12.</w:t>
      </w:r>
      <w:r>
        <w:tab/>
        <w:t>Installing etc. reticulation system, using water for</w:t>
      </w:r>
      <w:r>
        <w:tab/>
      </w:r>
      <w:r>
        <w:fldChar w:fldCharType="begin"/>
      </w:r>
      <w:r>
        <w:instrText xml:space="preserve"> PAGEREF _Toc110860004 \h </w:instrText>
      </w:r>
      <w:r>
        <w:fldChar w:fldCharType="separate"/>
      </w:r>
      <w:r>
        <w:t>6</w:t>
      </w:r>
      <w:r>
        <w:fldChar w:fldCharType="end"/>
      </w:r>
    </w:p>
    <w:p>
      <w:pPr>
        <w:pStyle w:val="TOC8"/>
        <w:rPr>
          <w:rFonts w:asciiTheme="minorHAnsi" w:eastAsiaTheme="minorEastAsia" w:hAnsiTheme="minorHAnsi" w:cstheme="minorBidi"/>
          <w:szCs w:val="22"/>
        </w:rPr>
      </w:pPr>
      <w:r>
        <w:t>13.</w:t>
      </w:r>
      <w:r>
        <w:tab/>
        <w:t>Vertimowing, fertilising etc. by commercial operator, watering after</w:t>
      </w:r>
      <w:r>
        <w:tab/>
      </w:r>
      <w:r>
        <w:fldChar w:fldCharType="begin"/>
      </w:r>
      <w:r>
        <w:instrText xml:space="preserve"> PAGEREF _Toc110860005 \h </w:instrText>
      </w:r>
      <w:r>
        <w:fldChar w:fldCharType="separate"/>
      </w:r>
      <w:r>
        <w:t>7</w:t>
      </w:r>
      <w:r>
        <w:fldChar w:fldCharType="end"/>
      </w:r>
    </w:p>
    <w:p>
      <w:pPr>
        <w:pStyle w:val="TOC8"/>
        <w:rPr>
          <w:rFonts w:asciiTheme="minorHAnsi" w:eastAsiaTheme="minorEastAsia" w:hAnsiTheme="minorHAnsi" w:cstheme="minorBidi"/>
          <w:szCs w:val="22"/>
        </w:rPr>
      </w:pPr>
      <w:r>
        <w:t>14.</w:t>
      </w:r>
      <w:r>
        <w:tab/>
        <w:t>Market garden or plant nursery, watering of</w:t>
      </w:r>
      <w:r>
        <w:tab/>
      </w:r>
      <w:r>
        <w:fldChar w:fldCharType="begin"/>
      </w:r>
      <w:r>
        <w:instrText xml:space="preserve"> PAGEREF _Toc110860006 \h </w:instrText>
      </w:r>
      <w:r>
        <w:fldChar w:fldCharType="separate"/>
      </w:r>
      <w:r>
        <w:t>7</w:t>
      </w:r>
      <w:r>
        <w:fldChar w:fldCharType="end"/>
      </w:r>
    </w:p>
    <w:p>
      <w:pPr>
        <w:pStyle w:val="TOC8"/>
        <w:rPr>
          <w:rFonts w:asciiTheme="minorHAnsi" w:eastAsiaTheme="minorEastAsia" w:hAnsiTheme="minorHAnsi" w:cstheme="minorBidi"/>
          <w:szCs w:val="22"/>
        </w:rPr>
      </w:pPr>
      <w:r>
        <w:t>15.</w:t>
      </w:r>
      <w:r>
        <w:tab/>
        <w:t>Caravan park site etc., watering of after vacation of</w:t>
      </w:r>
      <w:r>
        <w:tab/>
      </w:r>
      <w:r>
        <w:fldChar w:fldCharType="begin"/>
      </w:r>
      <w:r>
        <w:instrText xml:space="preserve"> PAGEREF _Toc110860007 \h </w:instrText>
      </w:r>
      <w:r>
        <w:fldChar w:fldCharType="separate"/>
      </w:r>
      <w:r>
        <w:t>7</w:t>
      </w:r>
      <w:r>
        <w:fldChar w:fldCharType="end"/>
      </w:r>
    </w:p>
    <w:p>
      <w:pPr>
        <w:pStyle w:val="TOC8"/>
        <w:rPr>
          <w:rFonts w:asciiTheme="minorHAnsi" w:eastAsiaTheme="minorEastAsia" w:hAnsiTheme="minorHAnsi" w:cstheme="minorBidi"/>
          <w:szCs w:val="22"/>
        </w:rPr>
      </w:pPr>
      <w:r>
        <w:t>16.</w:t>
      </w:r>
      <w:r>
        <w:tab/>
        <w:t>Aviary, water for birds in</w:t>
      </w:r>
      <w:r>
        <w:tab/>
      </w:r>
      <w:r>
        <w:fldChar w:fldCharType="begin"/>
      </w:r>
      <w:r>
        <w:instrText xml:space="preserve"> PAGEREF _Toc110860008 \h </w:instrText>
      </w:r>
      <w:r>
        <w:fldChar w:fldCharType="separate"/>
      </w:r>
      <w:r>
        <w:t>7</w:t>
      </w:r>
      <w:r>
        <w:fldChar w:fldCharType="end"/>
      </w:r>
    </w:p>
    <w:p>
      <w:pPr>
        <w:pStyle w:val="TOC8"/>
        <w:rPr>
          <w:rFonts w:asciiTheme="minorHAnsi" w:eastAsiaTheme="minorEastAsia" w:hAnsiTheme="minorHAnsi" w:cstheme="minorBidi"/>
          <w:szCs w:val="22"/>
        </w:rPr>
      </w:pPr>
      <w:r>
        <w:t>17.</w:t>
      </w:r>
      <w:r>
        <w:tab/>
        <w:t>Fire fighting, using water for</w:t>
      </w:r>
      <w:r>
        <w:tab/>
      </w:r>
      <w:r>
        <w:fldChar w:fldCharType="begin"/>
      </w:r>
      <w:r>
        <w:instrText xml:space="preserve"> PAGEREF _Toc110860009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Maps showing Areas 1, 2, 3 and 4</w:t>
      </w:r>
    </w:p>
    <w:p>
      <w:pPr>
        <w:pStyle w:val="TOC2"/>
        <w:tabs>
          <w:tab w:val="right" w:leader="dot" w:pos="7077"/>
        </w:tabs>
        <w:rPr>
          <w:rFonts w:asciiTheme="minorHAnsi" w:eastAsiaTheme="minorEastAsia" w:hAnsiTheme="minorHAnsi" w:cstheme="minorBidi"/>
          <w:b w:val="0"/>
          <w:sz w:val="22"/>
          <w:szCs w:val="22"/>
        </w:rPr>
      </w:pPr>
      <w:r>
        <w:t>Schedule 2 — Stages of restrictions</w:t>
      </w:r>
    </w:p>
    <w:p>
      <w:pPr>
        <w:pStyle w:val="TOC8"/>
        <w:rPr>
          <w:rFonts w:asciiTheme="minorHAnsi" w:eastAsiaTheme="minorEastAsia" w:hAnsiTheme="minorHAnsi" w:cstheme="minorBidi"/>
          <w:szCs w:val="22"/>
        </w:rPr>
      </w:pPr>
      <w:r>
        <w:t>1.</w:t>
      </w:r>
      <w:r>
        <w:tab/>
        <w:t>Stage 1</w:t>
      </w:r>
      <w:r>
        <w:tab/>
      </w:r>
      <w:r>
        <w:fldChar w:fldCharType="begin"/>
      </w:r>
      <w:r>
        <w:instrText xml:space="preserve"> PAGEREF _Toc110860012 \h </w:instrText>
      </w:r>
      <w:r>
        <w:fldChar w:fldCharType="separate"/>
      </w:r>
      <w:r>
        <w:t>11</w:t>
      </w:r>
      <w:r>
        <w:fldChar w:fldCharType="end"/>
      </w:r>
    </w:p>
    <w:p>
      <w:pPr>
        <w:pStyle w:val="TOC8"/>
        <w:rPr>
          <w:rFonts w:asciiTheme="minorHAnsi" w:eastAsiaTheme="minorEastAsia" w:hAnsiTheme="minorHAnsi" w:cstheme="minorBidi"/>
          <w:szCs w:val="22"/>
        </w:rPr>
      </w:pPr>
      <w:r>
        <w:t>2.</w:t>
      </w:r>
      <w:r>
        <w:tab/>
        <w:t>Stage 2</w:t>
      </w:r>
      <w:r>
        <w:tab/>
      </w:r>
      <w:r>
        <w:fldChar w:fldCharType="begin"/>
      </w:r>
      <w:r>
        <w:instrText xml:space="preserve"> PAGEREF _Toc110860013 \h </w:instrText>
      </w:r>
      <w:r>
        <w:fldChar w:fldCharType="separate"/>
      </w:r>
      <w:r>
        <w:t>11</w:t>
      </w:r>
      <w:r>
        <w:fldChar w:fldCharType="end"/>
      </w:r>
    </w:p>
    <w:p>
      <w:pPr>
        <w:pStyle w:val="TOC8"/>
        <w:rPr>
          <w:rFonts w:asciiTheme="minorHAnsi" w:eastAsiaTheme="minorEastAsia" w:hAnsiTheme="minorHAnsi" w:cstheme="minorBidi"/>
          <w:szCs w:val="22"/>
        </w:rPr>
      </w:pPr>
      <w:r>
        <w:t>3.</w:t>
      </w:r>
      <w:r>
        <w:tab/>
        <w:t>Stage 3</w:t>
      </w:r>
      <w:r>
        <w:tab/>
      </w:r>
      <w:r>
        <w:fldChar w:fldCharType="begin"/>
      </w:r>
      <w:r>
        <w:instrText xml:space="preserve"> PAGEREF _Toc110860014 \h </w:instrText>
      </w:r>
      <w:r>
        <w:fldChar w:fldCharType="separate"/>
      </w:r>
      <w:r>
        <w:t>12</w:t>
      </w:r>
      <w:r>
        <w:fldChar w:fldCharType="end"/>
      </w:r>
    </w:p>
    <w:p>
      <w:pPr>
        <w:pStyle w:val="TOC8"/>
        <w:rPr>
          <w:rFonts w:asciiTheme="minorHAnsi" w:eastAsiaTheme="minorEastAsia" w:hAnsiTheme="minorHAnsi" w:cstheme="minorBidi"/>
          <w:szCs w:val="22"/>
        </w:rPr>
      </w:pPr>
      <w:r>
        <w:t>4.</w:t>
      </w:r>
      <w:r>
        <w:tab/>
        <w:t>Stage 4</w:t>
      </w:r>
      <w:r>
        <w:tab/>
      </w:r>
      <w:r>
        <w:fldChar w:fldCharType="begin"/>
      </w:r>
      <w:r>
        <w:instrText xml:space="preserve"> PAGEREF _Toc110860015 \h </w:instrText>
      </w:r>
      <w:r>
        <w:fldChar w:fldCharType="separate"/>
      </w:r>
      <w:r>
        <w:t>13</w:t>
      </w:r>
      <w:r>
        <w:fldChar w:fldCharType="end"/>
      </w:r>
    </w:p>
    <w:p>
      <w:pPr>
        <w:pStyle w:val="TOC8"/>
        <w:rPr>
          <w:rFonts w:asciiTheme="minorHAnsi" w:eastAsiaTheme="minorEastAsia" w:hAnsiTheme="minorHAnsi" w:cstheme="minorBidi"/>
          <w:szCs w:val="22"/>
        </w:rPr>
      </w:pPr>
      <w:r>
        <w:t>5.</w:t>
      </w:r>
      <w:r>
        <w:tab/>
        <w:t>Stage 5</w:t>
      </w:r>
      <w:r>
        <w:tab/>
      </w:r>
      <w:r>
        <w:fldChar w:fldCharType="begin"/>
      </w:r>
      <w:r>
        <w:instrText xml:space="preserve"> PAGEREF _Toc110860016 \h </w:instrText>
      </w:r>
      <w:r>
        <w:fldChar w:fldCharType="separate"/>
      </w:r>
      <w:r>
        <w:t>14</w:t>
      </w:r>
      <w:r>
        <w:fldChar w:fldCharType="end"/>
      </w:r>
    </w:p>
    <w:p>
      <w:pPr>
        <w:pStyle w:val="TOC8"/>
        <w:rPr>
          <w:rFonts w:asciiTheme="minorHAnsi" w:eastAsiaTheme="minorEastAsia" w:hAnsiTheme="minorHAnsi" w:cstheme="minorBidi"/>
          <w:szCs w:val="22"/>
        </w:rPr>
      </w:pPr>
      <w:r>
        <w:t>6.</w:t>
      </w:r>
      <w:r>
        <w:tab/>
        <w:t>Stage 6</w:t>
      </w:r>
      <w:r>
        <w:tab/>
      </w:r>
      <w:r>
        <w:fldChar w:fldCharType="begin"/>
      </w:r>
      <w:r>
        <w:instrText xml:space="preserve"> PAGEREF _Toc110860017 \h </w:instrText>
      </w:r>
      <w:r>
        <w:fldChar w:fldCharType="separate"/>
      </w:r>
      <w:r>
        <w:t>15</w:t>
      </w:r>
      <w:r>
        <w:fldChar w:fldCharType="end"/>
      </w:r>
    </w:p>
    <w:p>
      <w:pPr>
        <w:pStyle w:val="TOC8"/>
        <w:rPr>
          <w:rFonts w:asciiTheme="minorHAnsi" w:eastAsiaTheme="minorEastAsia" w:hAnsiTheme="minorHAnsi" w:cstheme="minorBidi"/>
          <w:szCs w:val="22"/>
        </w:rPr>
      </w:pPr>
      <w:r>
        <w:t>7.</w:t>
      </w:r>
      <w:r>
        <w:tab/>
        <w:t>Stage 7</w:t>
      </w:r>
      <w:r>
        <w:tab/>
      </w:r>
      <w:r>
        <w:fldChar w:fldCharType="begin"/>
      </w:r>
      <w:r>
        <w:instrText xml:space="preserve"> PAGEREF _Toc110860018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3 — Specified days for watering by reticulation</w:t>
      </w:r>
    </w:p>
    <w:p>
      <w:pPr>
        <w:pStyle w:val="TOC4"/>
        <w:tabs>
          <w:tab w:val="right" w:leader="dot" w:pos="7077"/>
        </w:tabs>
        <w:rPr>
          <w:rFonts w:asciiTheme="minorHAnsi" w:eastAsiaTheme="minorEastAsia" w:hAnsiTheme="minorHAnsi" w:cstheme="minorBidi"/>
          <w:b w:val="0"/>
          <w:szCs w:val="22"/>
        </w:rPr>
      </w:pPr>
      <w:r>
        <w:t>Division 1 — Specified days for Schedule 2 clauses 3(1)(a), 4(2)(a), 5(2)(a) and 6(2)(a)</w:t>
      </w:r>
    </w:p>
    <w:p>
      <w:pPr>
        <w:pStyle w:val="TOC4"/>
        <w:tabs>
          <w:tab w:val="right" w:leader="dot" w:pos="7077"/>
        </w:tabs>
        <w:rPr>
          <w:rFonts w:asciiTheme="minorHAnsi" w:eastAsiaTheme="minorEastAsia" w:hAnsiTheme="minorHAnsi" w:cstheme="minorBidi"/>
          <w:b w:val="0"/>
          <w:szCs w:val="22"/>
        </w:rPr>
      </w:pPr>
      <w:r>
        <w:t>Division 2 — Specified days for Schedule 2 clause 4(1)(a)</w:t>
      </w:r>
    </w:p>
    <w:p>
      <w:pPr>
        <w:pStyle w:val="TOC4"/>
        <w:tabs>
          <w:tab w:val="right" w:leader="dot" w:pos="7077"/>
        </w:tabs>
        <w:rPr>
          <w:rFonts w:asciiTheme="minorHAnsi" w:eastAsiaTheme="minorEastAsia" w:hAnsiTheme="minorHAnsi" w:cstheme="minorBidi"/>
          <w:b w:val="0"/>
          <w:szCs w:val="22"/>
        </w:rPr>
      </w:pPr>
      <w:r>
        <w:t>Division 3 — Specified days for Schedule 2 clause 5(1)(a)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_Toc110860024 \h </w:instrText>
      </w:r>
      <w:r>
        <w:fldChar w:fldCharType="separate"/>
      </w:r>
      <w:r>
        <w:t>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_Toc110860025 \h </w:instrText>
      </w:r>
      <w:r>
        <w:fldChar w:fldCharType="separate"/>
      </w:r>
      <w:r>
        <w:t>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_Toc110860026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Water Agencies (Powers) Act 1984</w:t>
      </w:r>
    </w:p>
    <w:p>
      <w:pPr>
        <w:pStyle w:val="NameofActReg"/>
      </w:pPr>
      <w:r>
        <w:t>Water Agencies (Water Use) By</w:t>
      </w:r>
      <w:r>
        <w:noBreakHyphen/>
        <w:t>laws 2010</w:t>
      </w:r>
    </w:p>
    <w:p>
      <w:pPr>
        <w:pStyle w:val="Heading2"/>
        <w:pageBreakBefore w:val="0"/>
        <w:spacing w:before="320"/>
      </w:pPr>
      <w:bookmarkStart w:id="3" w:name="_Toc110606133"/>
      <w:bookmarkStart w:id="4" w:name="_Toc110606450"/>
      <w:bookmarkStart w:id="5" w:name="_Toc11085999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0859992"/>
      <w:r>
        <w:rPr>
          <w:rStyle w:val="CharSectno"/>
        </w:rPr>
        <w:t>1</w:t>
      </w:r>
      <w:r>
        <w:t>.</w:t>
      </w:r>
      <w:r>
        <w:tab/>
        <w:t>Citation</w:t>
      </w:r>
      <w:bookmarkEnd w:id="6"/>
    </w:p>
    <w:p>
      <w:pPr>
        <w:pStyle w:val="Subsection"/>
        <w:ind w:right="990"/>
        <w:rPr>
          <w:i/>
        </w:rPr>
      </w:pPr>
      <w:r>
        <w:tab/>
      </w:r>
      <w:r>
        <w:tab/>
      </w:r>
      <w:bookmarkStart w:id="7" w:name="Start_Cursor"/>
      <w:bookmarkEnd w:id="7"/>
      <w:r>
        <w:rPr>
          <w:spacing w:val="-2"/>
        </w:rPr>
        <w:t>These</w:t>
      </w:r>
      <w:r>
        <w:t xml:space="preserve"> </w:t>
      </w:r>
      <w:r>
        <w:rPr>
          <w:spacing w:val="-2"/>
        </w:rPr>
        <w:t>by</w:t>
      </w:r>
      <w:r>
        <w:rPr>
          <w:spacing w:val="-2"/>
        </w:rPr>
        <w:noBreakHyphen/>
        <w:t>laws</w:t>
      </w:r>
      <w:r>
        <w:t xml:space="preserve"> are the </w:t>
      </w:r>
      <w:r>
        <w:rPr>
          <w:i/>
        </w:rPr>
        <w:t>Water Agencies (Water Use) By</w:t>
      </w:r>
      <w:r>
        <w:rPr>
          <w:i/>
        </w:rPr>
        <w:noBreakHyphen/>
        <w:t>laws 2010</w:t>
      </w:r>
      <w:r>
        <w:t>.</w:t>
      </w:r>
    </w:p>
    <w:p>
      <w:pPr>
        <w:pStyle w:val="Heading5"/>
        <w:rPr>
          <w:spacing w:val="-2"/>
        </w:rPr>
      </w:pPr>
      <w:bookmarkStart w:id="8" w:name="_Toc11085999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by</w:t>
      </w:r>
      <w:r>
        <w:rPr>
          <w:spacing w:val="-2"/>
        </w:rPr>
        <w:noBreakHyphen/>
        <w:t>laws come into operation as follows</w:t>
      </w:r>
      <w:r>
        <w:t> —</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1 April 2010.</w:t>
      </w:r>
    </w:p>
    <w:p>
      <w:pPr>
        <w:pStyle w:val="Heading5"/>
      </w:pPr>
      <w:bookmarkStart w:id="9" w:name="_Toc110859994"/>
      <w:r>
        <w:rPr>
          <w:rStyle w:val="CharSectno"/>
        </w:rPr>
        <w:t>3</w:t>
      </w:r>
      <w:r>
        <w:t>.</w:t>
      </w:r>
      <w:r>
        <w:tab/>
        <w:t>Terms used</w:t>
      </w:r>
      <w:bookmarkEnd w:id="9"/>
    </w:p>
    <w:p>
      <w:pPr>
        <w:pStyle w:val="Subsection"/>
        <w:keepNext/>
        <w:keepLines/>
      </w:pPr>
      <w:r>
        <w:tab/>
      </w:r>
      <w:r>
        <w:tab/>
        <w:t>In these by</w:t>
      </w:r>
      <w:r>
        <w:noBreakHyphen/>
        <w:t>laws, unless the contrary intention appears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as illustrated for information purposes on the maps shown in Schedule 1;</w:t>
      </w:r>
    </w:p>
    <w:p>
      <w:pPr>
        <w:pStyle w:val="Defstart"/>
        <w:keepNext/>
      </w:pPr>
      <w:r>
        <w:lastRenderedPageBreak/>
        <w:tab/>
      </w:r>
      <w:r>
        <w:rPr>
          <w:rStyle w:val="CharDefText"/>
        </w:rPr>
        <w:t>Area 2</w:t>
      </w:r>
      <w:r>
        <w:t xml:space="preserve"> means that part of the State that is south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local government districts of Bayswater, Mandurah, Murray, Joondalup, Wanneroo, Swan, Perth, Canning, Belmont, Vincent, Kwinana, Rockingham, Cockburn, Armadale, Gosnells, Peppermint Grove, Stirling, Fremantle, Claremont, Subiaco, Cottesloe, East Fremantle, Victoria Park, South Perth, Mundaring, Kalamunda, Melville, Serpentine</w:t>
      </w:r>
      <w:r>
        <w:noBreakHyphen/>
        <w:t>Jarrahdale, Nedlands, Mosman Park, Bassendean and Cambridge, as illustrated for information purposes on the maps shown in Schedule 1;</w:t>
      </w:r>
    </w:p>
    <w:p>
      <w:pPr>
        <w:pStyle w:val="Defstart"/>
      </w:pPr>
      <w:r>
        <w:tab/>
      </w:r>
      <w:r>
        <w:rPr>
          <w:rStyle w:val="CharDefText"/>
        </w:rPr>
        <w:t>Area 4</w:t>
      </w:r>
      <w:r>
        <w:t xml:space="preserve"> means the local government districts of Dardanup, Bunbury, Cranbrook, Donnybrook</w:t>
      </w:r>
      <w:r>
        <w:noBreakHyphen/>
        <w:t>Balingup, Collie, Capel, Busselton, Nannup, Augusta</w:t>
      </w:r>
      <w:r>
        <w:noBreakHyphen/>
        <w:t>Margaret River, Albany, Boyup Brook, Manjimup, Bridgetown</w:t>
      </w:r>
      <w:r>
        <w:noBreakHyphen/>
        <w:t>Greenbushes, Waroona, Harvey, Plantagenet and Denmark, as illustrated for information purposes on the maps shown in Schedule 1;</w:t>
      </w:r>
    </w:p>
    <w:p>
      <w:pPr>
        <w:pStyle w:val="Defstart"/>
      </w:pPr>
      <w:r>
        <w:tab/>
      </w:r>
      <w:r>
        <w:rPr>
          <w:rStyle w:val="CharDefText"/>
        </w:rPr>
        <w:t>domestic bore</w:t>
      </w:r>
      <w:r>
        <w:t xml:space="preserve"> means a non</w:t>
      </w:r>
      <w:r>
        <w:noBreakHyphen/>
        <w:t xml:space="preserve">artesian well as defined in the </w:t>
      </w:r>
      <w:r>
        <w:rPr>
          <w:i/>
        </w:rPr>
        <w:t>Rights in Water and Irrigation Act </w:t>
      </w:r>
      <w:r>
        <w:rPr>
          <w:i/>
          <w:iCs/>
        </w:rPr>
        <w:t>1914</w:t>
      </w:r>
      <w:r>
        <w:t xml:space="preserve"> section 2(1) from which the only water that can be taken is from the water table aquifer;</w:t>
      </w:r>
    </w:p>
    <w:p>
      <w:pPr>
        <w:pStyle w:val="Defstart"/>
      </w:pPr>
      <w:r>
        <w:tab/>
      </w:r>
      <w:r>
        <w:rPr>
          <w:rStyle w:val="CharDefText"/>
        </w:rPr>
        <w:t>domestic bore water</w:t>
      </w:r>
      <w:r>
        <w:rPr>
          <w:b/>
          <w:i/>
        </w:rPr>
        <w:t xml:space="preserve"> </w:t>
      </w:r>
      <w:r>
        <w:t xml:space="preserve">or </w:t>
      </w:r>
      <w:r>
        <w:rPr>
          <w:rStyle w:val="CharDefText"/>
        </w:rPr>
        <w:t>water</w:t>
      </w:r>
      <w:r>
        <w:t xml:space="preserve"> means water taken from a domestic bore;</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lastRenderedPageBreak/>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week</w:t>
      </w:r>
      <w:r>
        <w:t xml:space="preserve"> means a period of 7 successive days beginning with Sunday.</w:t>
      </w:r>
    </w:p>
    <w:p>
      <w:pPr>
        <w:pStyle w:val="Footnotesection"/>
      </w:pPr>
      <w:r>
        <w:tab/>
        <w:t>[By</w:t>
      </w:r>
      <w:r>
        <w:noBreakHyphen/>
        <w:t>law 3 amended: Gazette 30 Nov 2010 p. 6016; 14 Nov 2013 p. 5097; 9 May 2017 p. 2431.]</w:t>
      </w:r>
    </w:p>
    <w:p>
      <w:pPr>
        <w:pStyle w:val="Heading2"/>
      </w:pPr>
      <w:bookmarkStart w:id="10" w:name="_Toc110606137"/>
      <w:bookmarkStart w:id="11" w:name="_Toc110606454"/>
      <w:bookmarkStart w:id="12" w:name="_Toc110859995"/>
      <w:r>
        <w:rPr>
          <w:rStyle w:val="CharPartNo"/>
        </w:rPr>
        <w:lastRenderedPageBreak/>
        <w:t>Part 2</w:t>
      </w:r>
      <w:r>
        <w:t> — </w:t>
      </w:r>
      <w:r>
        <w:rPr>
          <w:rStyle w:val="CharPartText"/>
        </w:rPr>
        <w:t>Water restrictions</w:t>
      </w:r>
      <w:bookmarkEnd w:id="10"/>
      <w:bookmarkEnd w:id="11"/>
      <w:bookmarkEnd w:id="12"/>
    </w:p>
    <w:p>
      <w:pPr>
        <w:pStyle w:val="Ednotedivision"/>
      </w:pPr>
      <w:r>
        <w:t>[Division 1A (r. 4A) deleted: Gazette 9 May 2017 p. 2431.]</w:t>
      </w:r>
    </w:p>
    <w:p>
      <w:pPr>
        <w:pStyle w:val="Ednotedivision"/>
      </w:pPr>
      <w:r>
        <w:t>[Division 1 heading deleted: Gazette 9 May 2017 p. 2432.]</w:t>
      </w:r>
    </w:p>
    <w:p>
      <w:pPr>
        <w:pStyle w:val="Heading5"/>
      </w:pPr>
      <w:bookmarkStart w:id="13" w:name="_Toc110859996"/>
      <w:r>
        <w:rPr>
          <w:rStyle w:val="CharSectno"/>
        </w:rPr>
        <w:t>4</w:t>
      </w:r>
      <w:r>
        <w:t>.</w:t>
      </w:r>
      <w:r>
        <w:tab/>
        <w:t>Contravening restrictions, offence</w:t>
      </w:r>
      <w:bookmarkEnd w:id="13"/>
    </w:p>
    <w:p>
      <w:pPr>
        <w:pStyle w:val="Ednotesubsection"/>
      </w:pPr>
      <w:r>
        <w:tab/>
        <w:t>[(1)</w:t>
      </w:r>
      <w:r>
        <w:tab/>
        <w:t>deleted]</w:t>
      </w:r>
    </w:p>
    <w:p>
      <w:pPr>
        <w:pStyle w:val="Subsection"/>
      </w:pPr>
      <w:r>
        <w:tab/>
        <w:t>(2)</w:t>
      </w:r>
      <w:r>
        <w:tab/>
        <w:t>A person must not, without written approval of the CEO, use water in contravention of the stage of restrictions applicable under these by</w:t>
      </w:r>
      <w:r>
        <w:noBreakHyphen/>
        <w:t>laws.</w:t>
      </w:r>
    </w:p>
    <w:p>
      <w:pPr>
        <w:pStyle w:val="Penstart"/>
      </w:pPr>
      <w:r>
        <w:tab/>
        <w:t>Penalty: a fine of $500.</w:t>
      </w:r>
    </w:p>
    <w:p>
      <w:pPr>
        <w:pStyle w:val="Footnotesection"/>
      </w:pPr>
      <w:r>
        <w:tab/>
        <w:t>[By</w:t>
      </w:r>
      <w:r>
        <w:noBreakHyphen/>
        <w:t>law 4 amended: Gazette 28 Sep 2010 p. 5063; 14 Nov 2013 p. 5098.]</w:t>
      </w:r>
    </w:p>
    <w:p>
      <w:pPr>
        <w:pStyle w:val="Heading5"/>
      </w:pPr>
      <w:bookmarkStart w:id="14" w:name="_Toc110859997"/>
      <w:r>
        <w:rPr>
          <w:rStyle w:val="CharSectno"/>
        </w:rPr>
        <w:t>5</w:t>
      </w:r>
      <w:r>
        <w:t>.</w:t>
      </w:r>
      <w:r>
        <w:tab/>
        <w:t>Area 1’s restrictions</w:t>
      </w:r>
      <w:bookmarkEnd w:id="14"/>
    </w:p>
    <w:p>
      <w:pPr>
        <w:pStyle w:val="Ednotesubsection"/>
      </w:pPr>
      <w:r>
        <w:tab/>
        <w:t>[(1)</w:t>
      </w:r>
      <w:r>
        <w:tab/>
        <w:t>deleted]</w:t>
      </w:r>
    </w:p>
    <w:p>
      <w:pPr>
        <w:pStyle w:val="Subsection"/>
      </w:pPr>
      <w:r>
        <w:tab/>
        <w:t>(2)</w:t>
      </w:r>
      <w:r>
        <w:tab/>
        <w:t>The stage of restrictions that applies in relation to the use of domestic bore water in Area 1 is stage 1.</w:t>
      </w:r>
    </w:p>
    <w:p>
      <w:pPr>
        <w:pStyle w:val="Footnotesection"/>
      </w:pPr>
      <w:r>
        <w:tab/>
        <w:t>[By</w:t>
      </w:r>
      <w:r>
        <w:noBreakHyphen/>
        <w:t>law 5 amended: Gazette 28 Sep 2010 p. 5063; 14 Nov 2013 p. 5098.]</w:t>
      </w:r>
    </w:p>
    <w:p>
      <w:pPr>
        <w:pStyle w:val="Heading5"/>
      </w:pPr>
      <w:bookmarkStart w:id="15" w:name="_Toc110859998"/>
      <w:r>
        <w:rPr>
          <w:rStyle w:val="CharSectno"/>
        </w:rPr>
        <w:t>6</w:t>
      </w:r>
      <w:r>
        <w:t>.</w:t>
      </w:r>
      <w:r>
        <w:tab/>
        <w:t>Area 2’s restrictions</w:t>
      </w:r>
      <w:bookmarkEnd w:id="15"/>
    </w:p>
    <w:p>
      <w:pPr>
        <w:pStyle w:val="Ednotesubsection"/>
      </w:pPr>
      <w:r>
        <w:tab/>
        <w:t>[(1)</w:t>
      </w:r>
      <w:r>
        <w:tab/>
        <w:t>deleted]</w:t>
      </w:r>
    </w:p>
    <w:p>
      <w:pPr>
        <w:pStyle w:val="Subsection"/>
      </w:pPr>
      <w:r>
        <w:tab/>
        <w:t>(2)</w:t>
      </w:r>
      <w:r>
        <w:tab/>
        <w:t>The stage of restrictions that applies in relation to the use of domestic bore water in Area 2 is stage 1.</w:t>
      </w:r>
    </w:p>
    <w:p>
      <w:pPr>
        <w:pStyle w:val="Footnotesection"/>
      </w:pPr>
      <w:r>
        <w:tab/>
        <w:t>[By</w:t>
      </w:r>
      <w:r>
        <w:noBreakHyphen/>
        <w:t>law 6 amended: Gazette 28 Sep 2010 p. 5064; 8 Mar 2011 p. 801; 14 Nov 2013 p. 5098.]</w:t>
      </w:r>
    </w:p>
    <w:p>
      <w:pPr>
        <w:pStyle w:val="Heading5"/>
      </w:pPr>
      <w:bookmarkStart w:id="16" w:name="_Toc110859999"/>
      <w:r>
        <w:rPr>
          <w:rStyle w:val="CharSectno"/>
        </w:rPr>
        <w:lastRenderedPageBreak/>
        <w:t>7</w:t>
      </w:r>
      <w:r>
        <w:t>.</w:t>
      </w:r>
      <w:r>
        <w:tab/>
        <w:t>Area 3’s restrictions</w:t>
      </w:r>
      <w:bookmarkEnd w:id="16"/>
    </w:p>
    <w:p>
      <w:pPr>
        <w:pStyle w:val="Ednotesubsection"/>
        <w:keepNext/>
      </w:pPr>
      <w:r>
        <w:tab/>
        <w:t>[(1)</w:t>
      </w:r>
      <w:r>
        <w:tab/>
        <w:t>deleted]</w:t>
      </w:r>
    </w:p>
    <w:p>
      <w:pPr>
        <w:pStyle w:val="Subsection"/>
        <w:spacing w:before="120"/>
      </w:pPr>
      <w:r>
        <w:tab/>
        <w:t>(2)</w:t>
      </w:r>
      <w:r>
        <w:tab/>
        <w:t xml:space="preserve">The stage of restrictions that applies in relation to the use of domestic bore water in Area 3 is — </w:t>
      </w:r>
    </w:p>
    <w:p>
      <w:pPr>
        <w:pStyle w:val="Indenta"/>
      </w:pPr>
      <w:r>
        <w:tab/>
        <w:t>(a)</w:t>
      </w:r>
      <w:r>
        <w:tab/>
        <w:t>from 1 June to 31 August in a particular year — stage 6; and</w:t>
      </w:r>
    </w:p>
    <w:p>
      <w:pPr>
        <w:pStyle w:val="Indenta"/>
      </w:pPr>
      <w:r>
        <w:tab/>
        <w:t>(b)</w:t>
      </w:r>
      <w:r>
        <w:tab/>
        <w:t>at any other time of the year — stage 3.</w:t>
      </w:r>
    </w:p>
    <w:p>
      <w:pPr>
        <w:pStyle w:val="Footnotesection"/>
      </w:pPr>
      <w:r>
        <w:tab/>
        <w:t>[By</w:t>
      </w:r>
      <w:r>
        <w:noBreakHyphen/>
        <w:t>law 7 amended: Gazette 28 Sep 2010 p. 5064; 30 Nov 2010 p. 6016; 14 Nov 2013 p. 5098.]</w:t>
      </w:r>
    </w:p>
    <w:p>
      <w:pPr>
        <w:pStyle w:val="Heading5"/>
      </w:pPr>
      <w:bookmarkStart w:id="17" w:name="_Toc110860000"/>
      <w:r>
        <w:rPr>
          <w:rStyle w:val="CharSectno"/>
        </w:rPr>
        <w:t>8</w:t>
      </w:r>
      <w:r>
        <w:t>.</w:t>
      </w:r>
      <w:r>
        <w:tab/>
        <w:t>Area 4’s restrictions</w:t>
      </w:r>
      <w:bookmarkEnd w:id="17"/>
    </w:p>
    <w:p>
      <w:pPr>
        <w:pStyle w:val="Ednotesubsection"/>
      </w:pPr>
      <w:r>
        <w:tab/>
        <w:t>[(1)</w:t>
      </w:r>
      <w:r>
        <w:tab/>
        <w:t>deleted]</w:t>
      </w:r>
    </w:p>
    <w:p>
      <w:pPr>
        <w:pStyle w:val="Subsection"/>
        <w:spacing w:before="120"/>
      </w:pPr>
      <w:r>
        <w:tab/>
        <w:t>(2)</w:t>
      </w:r>
      <w:r>
        <w:tab/>
        <w:t xml:space="preserve">The stage of restrictions that applies in relation to the use of domestic bore water in Area 4 is — </w:t>
      </w:r>
    </w:p>
    <w:p>
      <w:pPr>
        <w:pStyle w:val="Indenta"/>
      </w:pPr>
      <w:r>
        <w:tab/>
        <w:t>(a)</w:t>
      </w:r>
      <w:r>
        <w:tab/>
        <w:t>from 1 June to 31 August in a particular year — stage 6; and</w:t>
      </w:r>
    </w:p>
    <w:p>
      <w:pPr>
        <w:pStyle w:val="Indenta"/>
      </w:pPr>
      <w:r>
        <w:tab/>
        <w:t>(b)</w:t>
      </w:r>
      <w:r>
        <w:tab/>
        <w:t>at any other time of the year — stage 1.</w:t>
      </w:r>
    </w:p>
    <w:p>
      <w:pPr>
        <w:pStyle w:val="Footnotesection"/>
      </w:pPr>
      <w:r>
        <w:tab/>
        <w:t>[By</w:t>
      </w:r>
      <w:r>
        <w:noBreakHyphen/>
        <w:t>law 8 amended: Gazette 28 Sep 2010 p. 5064; 14 Nov 2013 p. 5098.]</w:t>
      </w:r>
    </w:p>
    <w:p>
      <w:pPr>
        <w:pStyle w:val="Ednotesection"/>
      </w:pPr>
      <w:r>
        <w:t>[</w:t>
      </w:r>
      <w:r>
        <w:rPr>
          <w:b/>
        </w:rPr>
        <w:t xml:space="preserve">9, 10AA, 10A. </w:t>
      </w:r>
      <w:r>
        <w:t>Deleted: Gazette 14 Nov 2013 p. 5098.]</w:t>
      </w:r>
    </w:p>
    <w:p>
      <w:pPr>
        <w:pStyle w:val="Ednotedivision"/>
      </w:pPr>
      <w:r>
        <w:t>[Division 2 heading deleted: Gazette 9 May 2017 p. 2432.]</w:t>
      </w:r>
    </w:p>
    <w:p>
      <w:pPr>
        <w:pStyle w:val="Heading2"/>
      </w:pPr>
      <w:bookmarkStart w:id="18" w:name="_Toc110606143"/>
      <w:bookmarkStart w:id="19" w:name="_Toc110606460"/>
      <w:bookmarkStart w:id="20" w:name="_Toc110860001"/>
      <w:r>
        <w:rPr>
          <w:rStyle w:val="CharPartNo"/>
        </w:rPr>
        <w:lastRenderedPageBreak/>
        <w:t>Part 3</w:t>
      </w:r>
      <w:r>
        <w:rPr>
          <w:rStyle w:val="CharDivNo"/>
        </w:rPr>
        <w:t> </w:t>
      </w:r>
      <w:r>
        <w:t>—</w:t>
      </w:r>
      <w:r>
        <w:rPr>
          <w:rStyle w:val="CharDivText"/>
        </w:rPr>
        <w:t> </w:t>
      </w:r>
      <w:r>
        <w:rPr>
          <w:rStyle w:val="CharPartText"/>
        </w:rPr>
        <w:t>Exemptions from water restrictions</w:t>
      </w:r>
      <w:bookmarkEnd w:id="18"/>
      <w:bookmarkEnd w:id="19"/>
      <w:bookmarkEnd w:id="20"/>
    </w:p>
    <w:p>
      <w:pPr>
        <w:pStyle w:val="Footnoteheading"/>
      </w:pPr>
      <w:r>
        <w:tab/>
        <w:t>[Heading inserted: Gazette 9 May 2017 p. 2432.]</w:t>
      </w:r>
    </w:p>
    <w:p>
      <w:pPr>
        <w:pStyle w:val="Heading5"/>
      </w:pPr>
      <w:bookmarkStart w:id="21" w:name="_Toc110860002"/>
      <w:r>
        <w:rPr>
          <w:rStyle w:val="CharSectno"/>
        </w:rPr>
        <w:t>10</w:t>
      </w:r>
      <w:r>
        <w:t>.</w:t>
      </w:r>
      <w:r>
        <w:tab/>
      </w:r>
      <w:r>
        <w:rPr>
          <w:i/>
        </w:rPr>
        <w:t>Rights in Water and Irrigation Act </w:t>
      </w:r>
      <w:r>
        <w:rPr>
          <w:i/>
          <w:iCs/>
        </w:rPr>
        <w:t>1914</w:t>
      </w:r>
      <w:r>
        <w:t xml:space="preserve"> s. 5C, use of water under is exempt</w:t>
      </w:r>
      <w:bookmarkEnd w:id="21"/>
    </w:p>
    <w:p>
      <w:pPr>
        <w:pStyle w:val="Subsection"/>
        <w:keepNext/>
        <w:keepLines/>
      </w:pPr>
      <w:r>
        <w:tab/>
      </w:r>
      <w:r>
        <w:tab/>
        <w:t>A person does not commit an offence under by</w:t>
      </w:r>
      <w:r>
        <w:noBreakHyphen/>
        <w:t xml:space="preserve">law 4 if the person uses water in accordance with a licence under the </w:t>
      </w:r>
      <w:r>
        <w:rPr>
          <w:i/>
          <w:iCs/>
        </w:rPr>
        <w:t>Rights in Water and Irrigation Act 1914</w:t>
      </w:r>
      <w:r>
        <w:t xml:space="preserve"> section 5C.</w:t>
      </w:r>
    </w:p>
    <w:p>
      <w:pPr>
        <w:pStyle w:val="Heading5"/>
      </w:pPr>
      <w:bookmarkStart w:id="22" w:name="_Toc110860003"/>
      <w:r>
        <w:rPr>
          <w:rStyle w:val="CharSectno"/>
        </w:rPr>
        <w:t>11</w:t>
      </w:r>
      <w:r>
        <w:t>.</w:t>
      </w:r>
      <w:r>
        <w:tab/>
        <w:t>Domestic bore on other property, using water from</w:t>
      </w:r>
      <w:bookmarkEnd w:id="22"/>
    </w:p>
    <w:p>
      <w:pPr>
        <w:pStyle w:val="Subsection"/>
      </w:pPr>
      <w:r>
        <w:tab/>
        <w:t>(1)</w:t>
      </w:r>
      <w:r>
        <w:tab/>
        <w:t>This by</w:t>
      </w:r>
      <w:r>
        <w:noBreakHyphen/>
        <w:t>law applies to a person using domestic bore water to water a lawn or garden by reticulation in circumstances where —</w:t>
      </w:r>
    </w:p>
    <w:p>
      <w:pPr>
        <w:pStyle w:val="Indenta"/>
      </w:pPr>
      <w:r>
        <w:tab/>
        <w:t>(a)</w:t>
      </w:r>
      <w:r>
        <w:tab/>
        <w:t>a stage of restrictions prohibits the use of the water except on a day or days of the month determined by reference to the street number or, where there is no street number, the lot number of the relevant property; and</w:t>
      </w:r>
    </w:p>
    <w:p>
      <w:pPr>
        <w:pStyle w:val="Indenta"/>
      </w:pPr>
      <w:r>
        <w:tab/>
        <w:t>(b)</w:t>
      </w:r>
      <w:r>
        <w:tab/>
        <w:t xml:space="preserve">the domestic bore is located on property with a different street or lot number (the </w:t>
      </w:r>
      <w:r>
        <w:rPr>
          <w:rStyle w:val="CharDefText"/>
        </w:rPr>
        <w:t>other property</w:t>
      </w:r>
      <w:r>
        <w:t>).</w:t>
      </w:r>
    </w:p>
    <w:p>
      <w:pPr>
        <w:pStyle w:val="Subsection"/>
      </w:pPr>
      <w:r>
        <w:tab/>
        <w:t>(2)</w:t>
      </w:r>
      <w:r>
        <w:tab/>
        <w:t>The person does not contravene the stage of restrictions only because, in any particular week —</w:t>
      </w:r>
    </w:p>
    <w:p>
      <w:pPr>
        <w:pStyle w:val="Indenta"/>
      </w:pPr>
      <w:r>
        <w:tab/>
        <w:t>(a)</w:t>
      </w:r>
      <w:r>
        <w:tab/>
        <w:t>the person uses the water on days determined by reference to the street number or, where there is no street number, the lot number of the other property; and</w:t>
      </w:r>
    </w:p>
    <w:p>
      <w:pPr>
        <w:pStyle w:val="Indenta"/>
      </w:pPr>
      <w:r>
        <w:tab/>
        <w:t>(b)</w:t>
      </w:r>
      <w:r>
        <w:tab/>
        <w:t>the person does not use the water on any other day.</w:t>
      </w:r>
    </w:p>
    <w:p>
      <w:pPr>
        <w:pStyle w:val="Heading5"/>
      </w:pPr>
      <w:bookmarkStart w:id="23" w:name="_Toc110860004"/>
      <w:r>
        <w:rPr>
          <w:rStyle w:val="CharSectno"/>
        </w:rPr>
        <w:t>12</w:t>
      </w:r>
      <w:r>
        <w:t>.</w:t>
      </w:r>
      <w:r>
        <w:tab/>
        <w:t>Installing etc. reticulation system, using water for</w:t>
      </w:r>
      <w:bookmarkEnd w:id="23"/>
    </w:p>
    <w:p>
      <w:pPr>
        <w:pStyle w:val="Subsection"/>
      </w:pPr>
      <w:r>
        <w:tab/>
        <w:t>(1)</w:t>
      </w:r>
      <w:r>
        <w:tab/>
        <w:t>A person does not commit an offence under by</w:t>
      </w:r>
      <w:r>
        <w:noBreakHyphen/>
        <w:t>law 4 if the person operates a reticulation system using domestic bore water to the minimum extent necessary while the reticulation system is being installed, maintained, tested or repaired.</w:t>
      </w:r>
    </w:p>
    <w:p>
      <w:pPr>
        <w:pStyle w:val="Subsection"/>
      </w:pPr>
      <w:r>
        <w:tab/>
        <w:t>(2)</w:t>
      </w:r>
      <w:r>
        <w:tab/>
        <w:t>A person does not commit an offence under by</w:t>
      </w:r>
      <w:r>
        <w:noBreakHyphen/>
        <w:t xml:space="preserve">law 4 if, in the course of the person’s occupation in the turf, garden or </w:t>
      </w:r>
      <w:r>
        <w:lastRenderedPageBreak/>
        <w:t>landscaping industries, the person operates a reticulation system using domestic bore water to the minimum extent necessary while the reticulation system is being installed, maintained, tested or repaired.</w:t>
      </w:r>
    </w:p>
    <w:p>
      <w:pPr>
        <w:pStyle w:val="Footnotesection"/>
      </w:pPr>
      <w:r>
        <w:tab/>
        <w:t>[By</w:t>
      </w:r>
      <w:r>
        <w:noBreakHyphen/>
        <w:t>law 12 amended: Gazette 14 Nov 2013 p. 5099.]</w:t>
      </w:r>
    </w:p>
    <w:p>
      <w:pPr>
        <w:pStyle w:val="Heading5"/>
      </w:pPr>
      <w:bookmarkStart w:id="24" w:name="_Toc110860005"/>
      <w:r>
        <w:rPr>
          <w:rStyle w:val="CharSectno"/>
        </w:rPr>
        <w:t>13</w:t>
      </w:r>
      <w:r>
        <w:t>.</w:t>
      </w:r>
      <w:r>
        <w:tab/>
        <w:t>Vertimowing, fertilising etc. by commercial operator, watering after</w:t>
      </w:r>
      <w:bookmarkEnd w:id="24"/>
    </w:p>
    <w:p>
      <w:pPr>
        <w:pStyle w:val="Subsection"/>
      </w:pPr>
      <w:r>
        <w:tab/>
        <w:t>(1)</w:t>
      </w:r>
      <w:r>
        <w:tab/>
        <w:t>This by</w:t>
      </w:r>
      <w:r>
        <w:noBreakHyphen/>
        <w:t>law applies to the use of water in an Area unless the stage of restrictions designated stage 7 applies to that Area.</w:t>
      </w:r>
    </w:p>
    <w:p>
      <w:pPr>
        <w:pStyle w:val="Subsection"/>
        <w:keepNext/>
        <w:keepLines/>
      </w:pPr>
      <w:r>
        <w:tab/>
        <w:t>(2)</w:t>
      </w:r>
      <w:r>
        <w:tab/>
        <w:t>A person does not commit an offence under by</w:t>
      </w:r>
      <w:r>
        <w:noBreakHyphen/>
        <w:t>law 4 if, in the course of the person’s occupation in the turf, garden or landscaping industries, the person waters a lawn, garden or grass</w:t>
      </w:r>
      <w:r>
        <w:noBreakHyphen/>
        <w:t>covered sporting ground immediately after —</w:t>
      </w:r>
    </w:p>
    <w:p>
      <w:pPr>
        <w:pStyle w:val="Indenta"/>
      </w:pPr>
      <w:r>
        <w:tab/>
        <w:t>(a)</w:t>
      </w:r>
      <w:r>
        <w:tab/>
        <w:t>vertimowing; or</w:t>
      </w:r>
    </w:p>
    <w:p>
      <w:pPr>
        <w:pStyle w:val="Indenta"/>
      </w:pPr>
      <w:r>
        <w:tab/>
        <w:t>(b)</w:t>
      </w:r>
      <w:r>
        <w:tab/>
        <w:t>the application of a fertiliser or wetting agent.</w:t>
      </w:r>
    </w:p>
    <w:p>
      <w:pPr>
        <w:pStyle w:val="Heading5"/>
        <w:keepNext w:val="0"/>
        <w:keepLines w:val="0"/>
      </w:pPr>
      <w:bookmarkStart w:id="25" w:name="_Toc110860006"/>
      <w:r>
        <w:rPr>
          <w:rStyle w:val="CharSectno"/>
        </w:rPr>
        <w:t>14</w:t>
      </w:r>
      <w:r>
        <w:t>.</w:t>
      </w:r>
      <w:r>
        <w:tab/>
        <w:t>Market garden or plant nursery, watering of</w:t>
      </w:r>
      <w:bookmarkEnd w:id="25"/>
    </w:p>
    <w:p>
      <w:pPr>
        <w:pStyle w:val="Subsection"/>
      </w:pPr>
      <w:r>
        <w:tab/>
      </w:r>
      <w:r>
        <w:tab/>
        <w:t>A person does not commit an offence under by</w:t>
      </w:r>
      <w:r>
        <w:noBreakHyphen/>
        <w:t>law 4 if the person waters a market garden or plant nursery to the minimum extent necessary to ensure the viable operation of the market garden or plant nursery.</w:t>
      </w:r>
    </w:p>
    <w:p>
      <w:pPr>
        <w:pStyle w:val="Heading5"/>
        <w:keepNext w:val="0"/>
      </w:pPr>
      <w:bookmarkStart w:id="26" w:name="_Toc110860007"/>
      <w:r>
        <w:rPr>
          <w:rStyle w:val="CharSectno"/>
        </w:rPr>
        <w:t>15</w:t>
      </w:r>
      <w:r>
        <w:t>.</w:t>
      </w:r>
      <w:r>
        <w:tab/>
        <w:t>Caravan park site etc., watering of after vacation of</w:t>
      </w:r>
      <w:bookmarkEnd w:id="26"/>
    </w:p>
    <w:p>
      <w:pPr>
        <w:pStyle w:val="Subsection"/>
        <w:keepLines/>
      </w:pPr>
      <w:r>
        <w:tab/>
      </w:r>
      <w:r>
        <w:tab/>
        <w:t>A person does not commit an offence under by</w:t>
      </w:r>
      <w:r>
        <w:noBreakHyphen/>
        <w:t xml:space="preserve">law 4 if the person waters a site as defined in the </w:t>
      </w:r>
      <w:r>
        <w:rPr>
          <w:i/>
        </w:rPr>
        <w:t>Caravan Parks and Camping Grounds Act 1995</w:t>
      </w:r>
      <w:r>
        <w:t xml:space="preserve"> section 5(1) immediately after the site has been vacated by an occupier.</w:t>
      </w:r>
    </w:p>
    <w:p>
      <w:pPr>
        <w:pStyle w:val="Heading5"/>
        <w:keepNext w:val="0"/>
        <w:keepLines w:val="0"/>
      </w:pPr>
      <w:bookmarkStart w:id="27" w:name="_Toc110860008"/>
      <w:r>
        <w:rPr>
          <w:rStyle w:val="CharSectno"/>
        </w:rPr>
        <w:t>16</w:t>
      </w:r>
      <w:r>
        <w:t>.</w:t>
      </w:r>
      <w:r>
        <w:tab/>
        <w:t>Aviary, water for birds in</w:t>
      </w:r>
      <w:bookmarkEnd w:id="27"/>
    </w:p>
    <w:p>
      <w:pPr>
        <w:pStyle w:val="Subsection"/>
      </w:pPr>
      <w:r>
        <w:tab/>
      </w:r>
      <w:r>
        <w:tab/>
        <w:t>A person does not commit an offence under by</w:t>
      </w:r>
      <w:r>
        <w:noBreakHyphen/>
        <w:t>law 4 if the person waters an aviary to the minimum extent necessary to maintain the birds in that aviary.</w:t>
      </w:r>
    </w:p>
    <w:p>
      <w:pPr>
        <w:pStyle w:val="Heading5"/>
        <w:keepNext w:val="0"/>
        <w:keepLines w:val="0"/>
      </w:pPr>
      <w:bookmarkStart w:id="28" w:name="_Toc110860009"/>
      <w:r>
        <w:rPr>
          <w:rStyle w:val="CharSectno"/>
        </w:rPr>
        <w:lastRenderedPageBreak/>
        <w:t>17</w:t>
      </w:r>
      <w:r>
        <w:t>.</w:t>
      </w:r>
      <w:r>
        <w:tab/>
        <w:t>Fire fighting, using water for</w:t>
      </w:r>
      <w:bookmarkEnd w:id="28"/>
    </w:p>
    <w:p>
      <w:pPr>
        <w:pStyle w:val="Subsection"/>
      </w:pPr>
      <w:r>
        <w:tab/>
      </w:r>
      <w:r>
        <w:tab/>
        <w:t>A person does not commit an offence under by</w:t>
      </w:r>
      <w:r>
        <w:noBreakHyphen/>
        <w:t>law 4 if the person uses water to the minimum extent necessary for fire fighting or training for fire fighting.</w:t>
      </w:r>
    </w:p>
    <w:p>
      <w:pPr>
        <w:pStyle w:val="Ednotepart"/>
      </w:pPr>
      <w:r>
        <w:t>[Part 3 (r. 18</w:t>
      </w:r>
      <w:r>
        <w:noBreakHyphen/>
        <w:t>29) deleted: Gazette 9 May 2017 p. 2432.]</w:t>
      </w:r>
    </w:p>
    <w:p>
      <w:pPr>
        <w:pStyle w:val="Ednotepart"/>
      </w:pPr>
      <w:r>
        <w:t>[Part 4 (r. 30</w:t>
      </w:r>
      <w:r>
        <w:noBreakHyphen/>
        <w:t>31) deleted: Gazette 9 May 2017 p. 2432.]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 w:name="_Toc110606152"/>
      <w:bookmarkStart w:id="30" w:name="_Toc110606469"/>
      <w:bookmarkStart w:id="31" w:name="_Toc110860010"/>
      <w:r>
        <w:rPr>
          <w:rStyle w:val="CharSchNo"/>
        </w:rPr>
        <w:lastRenderedPageBreak/>
        <w:t>Schedule 1</w:t>
      </w:r>
      <w:r>
        <w:rPr>
          <w:rStyle w:val="CharSDivNo"/>
        </w:rPr>
        <w:t> </w:t>
      </w:r>
      <w:r>
        <w:t>—</w:t>
      </w:r>
      <w:r>
        <w:rPr>
          <w:rStyle w:val="CharSDivText"/>
        </w:rPr>
        <w:t> </w:t>
      </w:r>
      <w:r>
        <w:rPr>
          <w:rStyle w:val="CharSchText"/>
        </w:rPr>
        <w:t>Maps showing Areas 1, 2, 3 and 4</w:t>
      </w:r>
      <w:bookmarkEnd w:id="29"/>
      <w:bookmarkEnd w:id="30"/>
      <w:bookmarkEnd w:id="31"/>
    </w:p>
    <w:p>
      <w:pPr>
        <w:pStyle w:val="yShoulderClause"/>
      </w:pPr>
      <w:r>
        <w:t>[bl. 3]</w:t>
      </w:r>
    </w:p>
    <w:p>
      <w:pPr>
        <w:pStyle w:val="Graphics"/>
        <w:jc w:val="center"/>
      </w:pPr>
      <w:r>
        <w:drawing>
          <wp:inline distT="0" distB="0" distL="0" distR="0">
            <wp:extent cx="3962400" cy="5721350"/>
            <wp:effectExtent l="0" t="0" r="0" b="0"/>
            <wp:docPr id="3" name="Picture 3"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0" cy="5721350"/>
                    </a:xfrm>
                    <a:prstGeom prst="rect">
                      <a:avLst/>
                    </a:prstGeom>
                    <a:noFill/>
                    <a:ln>
                      <a:noFill/>
                    </a:ln>
                  </pic:spPr>
                </pic:pic>
              </a:graphicData>
            </a:graphic>
          </wp:inline>
        </w:drawing>
      </w:r>
    </w:p>
    <w:p>
      <w:pPr>
        <w:pStyle w:val="Graphics"/>
        <w:jc w:val="center"/>
      </w:pPr>
      <w:r>
        <w:lastRenderedPageBreak/>
        <w:drawing>
          <wp:inline distT="0" distB="0" distL="0" distR="0">
            <wp:extent cx="3943350" cy="5670550"/>
            <wp:effectExtent l="0" t="0" r="0" b="6350"/>
            <wp:docPr id="4" name="Picture 4"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32" w:name="_Toc110606153"/>
      <w:bookmarkStart w:id="33" w:name="_Toc110606470"/>
      <w:bookmarkStart w:id="34" w:name="_Toc110860011"/>
      <w:r>
        <w:rPr>
          <w:rStyle w:val="CharSchNo"/>
        </w:rPr>
        <w:lastRenderedPageBreak/>
        <w:t>Schedule 2</w:t>
      </w:r>
      <w:r>
        <w:rPr>
          <w:rStyle w:val="CharSDivNo"/>
        </w:rPr>
        <w:t> </w:t>
      </w:r>
      <w:r>
        <w:t>—</w:t>
      </w:r>
      <w:r>
        <w:rPr>
          <w:rStyle w:val="CharSDivText"/>
        </w:rPr>
        <w:t> </w:t>
      </w:r>
      <w:r>
        <w:rPr>
          <w:rStyle w:val="CharSchText"/>
        </w:rPr>
        <w:t>Stages of restrictions</w:t>
      </w:r>
      <w:bookmarkEnd w:id="32"/>
      <w:bookmarkEnd w:id="33"/>
      <w:bookmarkEnd w:id="34"/>
    </w:p>
    <w:p>
      <w:pPr>
        <w:pStyle w:val="yShoulderClause"/>
      </w:pPr>
      <w:r>
        <w:t>[bl. 3]</w:t>
      </w:r>
    </w:p>
    <w:p>
      <w:pPr>
        <w:pStyle w:val="yHeading5"/>
      </w:pPr>
      <w:bookmarkStart w:id="35" w:name="_Toc110860012"/>
      <w:r>
        <w:rPr>
          <w:rStyle w:val="CharSClsNo"/>
        </w:rPr>
        <w:t>1</w:t>
      </w:r>
      <w:r>
        <w:t>.</w:t>
      </w:r>
      <w:r>
        <w:tab/>
        <w:t>Stage 1</w:t>
      </w:r>
      <w:bookmarkEnd w:id="3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36" w:name="_Toc110860013"/>
      <w:r>
        <w:rPr>
          <w:rStyle w:val="CharSClsNo"/>
        </w:rPr>
        <w:t>2</w:t>
      </w:r>
      <w:r>
        <w:t>.</w:t>
      </w:r>
      <w:r>
        <w:tab/>
        <w:t>Stage 2</w:t>
      </w:r>
      <w:bookmarkEnd w:id="36"/>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 xml:space="preserve">a high pressure water cleaner; or </w:t>
      </w:r>
    </w:p>
    <w:p>
      <w:pPr>
        <w:pStyle w:val="yIndenti0"/>
        <w:keepNext/>
      </w:pPr>
      <w:r>
        <w:lastRenderedPageBreak/>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7" w:name="_Toc110860014"/>
      <w:r>
        <w:rPr>
          <w:rStyle w:val="CharSClsNo"/>
        </w:rPr>
        <w:t>3</w:t>
      </w:r>
      <w:r>
        <w:t>.</w:t>
      </w:r>
      <w:r>
        <w:tab/>
        <w:t>Stage 3</w:t>
      </w:r>
      <w:bookmarkEnd w:id="3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(3)</w:t>
      </w:r>
      <w:r>
        <w:tab/>
        <w:t>A person must not water a synthetic sporting ground except for 10 minutes or less before a sport is played or practised on the sporting ground.</w:t>
      </w:r>
    </w:p>
    <w:p>
      <w:pPr>
        <w:pStyle w:val="yHeading5"/>
      </w:pPr>
      <w:bookmarkStart w:id="38" w:name="_Toc110860015"/>
      <w:r>
        <w:rPr>
          <w:rStyle w:val="CharSClsNo"/>
        </w:rPr>
        <w:t>4</w:t>
      </w:r>
      <w:r>
        <w:t>.</w:t>
      </w:r>
      <w:r>
        <w:tab/>
        <w:t>Stage 4</w:t>
      </w:r>
      <w:bookmarkEnd w:id="38"/>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Division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(4)</w:t>
      </w:r>
      <w:r>
        <w:tab/>
        <w:t>A person must not water a synthetic sporting ground except for 10 minutes or less before a sport is played or practised on the sporting ground.</w:t>
      </w:r>
    </w:p>
    <w:p>
      <w:pPr>
        <w:pStyle w:val="yHeading5"/>
      </w:pPr>
      <w:bookmarkStart w:id="39" w:name="_Toc110860016"/>
      <w:r>
        <w:rPr>
          <w:rStyle w:val="CharSClsNo"/>
        </w:rPr>
        <w:t>5</w:t>
      </w:r>
      <w:r>
        <w:t>.</w:t>
      </w:r>
      <w:r>
        <w:tab/>
        <w:t>Stage 5</w:t>
      </w:r>
      <w:bookmarkEnd w:id="39"/>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Division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0" w:name="_Toc110860017"/>
      <w:r>
        <w:rPr>
          <w:rStyle w:val="CharSClsNo"/>
        </w:rPr>
        <w:lastRenderedPageBreak/>
        <w:t>6</w:t>
      </w:r>
      <w:r>
        <w:t>.</w:t>
      </w:r>
      <w:r>
        <w:tab/>
        <w:t>Stage 6</w:t>
      </w:r>
      <w:bookmarkEnd w:id="40"/>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1" w:name="_Toc110860018"/>
      <w:r>
        <w:rPr>
          <w:rStyle w:val="CharSClsNo"/>
        </w:rPr>
        <w:lastRenderedPageBreak/>
        <w:t>7</w:t>
      </w:r>
      <w:r>
        <w:t>.</w:t>
      </w:r>
      <w:r>
        <w:tab/>
        <w:t>Stage 7</w:t>
      </w:r>
      <w:bookmarkEnd w:id="41"/>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42" w:name="_Toc110606161"/>
      <w:bookmarkStart w:id="43" w:name="_Toc110606478"/>
      <w:bookmarkStart w:id="44" w:name="_Toc110860019"/>
      <w:r>
        <w:rPr>
          <w:rStyle w:val="CharSchNo"/>
        </w:rPr>
        <w:lastRenderedPageBreak/>
        <w:t>Schedule 3</w:t>
      </w:r>
      <w:r>
        <w:t> — </w:t>
      </w:r>
      <w:r>
        <w:rPr>
          <w:rStyle w:val="CharSchText"/>
        </w:rPr>
        <w:t>Specified days for watering by reticulation</w:t>
      </w:r>
      <w:bookmarkEnd w:id="42"/>
      <w:bookmarkEnd w:id="43"/>
      <w:bookmarkEnd w:id="44"/>
    </w:p>
    <w:p>
      <w:pPr>
        <w:pStyle w:val="yShoulderClause"/>
      </w:pPr>
      <w:r>
        <w:t>[bl. 3, 6, Sch. 2 cl. 3, 4, 5 and 6]</w:t>
      </w:r>
    </w:p>
    <w:p>
      <w:pPr>
        <w:pStyle w:val="yHeading3"/>
        <w:spacing w:after="120"/>
      </w:pPr>
      <w:bookmarkStart w:id="45" w:name="_Toc110606162"/>
      <w:bookmarkStart w:id="46" w:name="_Toc110606479"/>
      <w:bookmarkStart w:id="47" w:name="_Toc110860020"/>
      <w:r>
        <w:rPr>
          <w:rStyle w:val="CharSDivNo"/>
        </w:rPr>
        <w:t>Division 1</w:t>
      </w:r>
      <w:r>
        <w:t> — </w:t>
      </w:r>
      <w:r>
        <w:rPr>
          <w:rStyle w:val="CharSDivText"/>
        </w:rPr>
        <w:t>Specified days for Schedule 2 clauses 3(1)(a), 4(2)(a), 5(2)(a) and 6(2)(a)</w:t>
      </w:r>
      <w:bookmarkEnd w:id="45"/>
      <w:bookmarkEnd w:id="46"/>
      <w:bookmarkEnd w:id="4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rPr>
                <w:b/>
                <w:bCs/>
              </w:rPr>
            </w:pPr>
            <w:r>
              <w:rPr>
                <w:b/>
                <w:bCs/>
              </w:rPr>
              <w:t>Days for watering by reticulation</w:t>
            </w:r>
          </w:p>
        </w:tc>
      </w:tr>
      <w:tr>
        <w:tc>
          <w:tcPr>
            <w:tcW w:w="3402" w:type="dxa"/>
            <w:tcBorders>
              <w:left w:val="nil"/>
              <w:bottom w:val="nil"/>
            </w:tcBorders>
          </w:tcPr>
          <w:p>
            <w:pPr>
              <w:pStyle w:val="yTableNAm"/>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pPr>
            <w:r>
              <w:t>0</w:t>
            </w:r>
          </w:p>
        </w:tc>
        <w:tc>
          <w:tcPr>
            <w:tcW w:w="3402" w:type="dxa"/>
            <w:tcBorders>
              <w:top w:val="nil"/>
              <w:right w:val="nil"/>
            </w:tcBorders>
          </w:tcPr>
          <w:p>
            <w:pPr>
              <w:pStyle w:val="yTableNAm"/>
            </w:pPr>
            <w:r>
              <w:t>Monday, Wednesday and Friday</w:t>
            </w:r>
          </w:p>
        </w:tc>
      </w:tr>
    </w:tbl>
    <w:p>
      <w:pPr>
        <w:pStyle w:val="yHeading3"/>
        <w:spacing w:after="120"/>
      </w:pPr>
      <w:bookmarkStart w:id="48" w:name="_Toc110606163"/>
      <w:bookmarkStart w:id="49" w:name="_Toc110606480"/>
      <w:bookmarkStart w:id="50" w:name="_Toc110860021"/>
      <w:r>
        <w:rPr>
          <w:rStyle w:val="CharSDivNo"/>
        </w:rPr>
        <w:t>Division 2</w:t>
      </w:r>
      <w:r>
        <w:t> — </w:t>
      </w:r>
      <w:r>
        <w:rPr>
          <w:rStyle w:val="CharSDivText"/>
        </w:rPr>
        <w:t>Specified days for Schedule 2 clause 4(1)(a)</w:t>
      </w:r>
      <w:bookmarkEnd w:id="48"/>
      <w:bookmarkEnd w:id="49"/>
      <w:bookmarkEnd w:id="50"/>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rPr>
                <w:b/>
                <w:bCs/>
              </w:rPr>
            </w:pPr>
            <w:r>
              <w:rPr>
                <w:b/>
                <w:bCs/>
              </w:rPr>
              <w:t>Days for watering by reticulation</w:t>
            </w:r>
          </w:p>
        </w:tc>
      </w:tr>
      <w:tr>
        <w:tc>
          <w:tcPr>
            <w:tcW w:w="3402" w:type="dxa"/>
            <w:tcBorders>
              <w:top w:val="single" w:sz="4" w:space="0" w:color="auto"/>
            </w:tcBorders>
          </w:tcPr>
          <w:p>
            <w:pPr>
              <w:pStyle w:val="yTableNAm"/>
            </w:pPr>
            <w:r>
              <w:t>1</w:t>
            </w:r>
          </w:p>
        </w:tc>
        <w:tc>
          <w:tcPr>
            <w:tcW w:w="3402" w:type="dxa"/>
            <w:tcBorders>
              <w:top w:val="single" w:sz="4" w:space="0" w:color="auto"/>
            </w:tcBorders>
          </w:tcPr>
          <w:p>
            <w:pPr>
              <w:pStyle w:val="yTableNAm"/>
            </w:pPr>
            <w:r>
              <w:t>Wednesday and Saturday</w:t>
            </w:r>
          </w:p>
        </w:tc>
      </w:tr>
      <w:tr>
        <w:tc>
          <w:tcPr>
            <w:tcW w:w="3402" w:type="dxa"/>
          </w:tcPr>
          <w:p>
            <w:pPr>
              <w:pStyle w:val="yTableNAm"/>
            </w:pPr>
            <w:r>
              <w:t>2</w:t>
            </w:r>
          </w:p>
        </w:tc>
        <w:tc>
          <w:tcPr>
            <w:tcW w:w="3402" w:type="dxa"/>
          </w:tcPr>
          <w:p>
            <w:pPr>
              <w:pStyle w:val="yTableNAm"/>
            </w:pPr>
            <w:r>
              <w:t>Sunday and Thursday</w:t>
            </w:r>
          </w:p>
        </w:tc>
      </w:tr>
      <w:tr>
        <w:tc>
          <w:tcPr>
            <w:tcW w:w="3402" w:type="dxa"/>
          </w:tcPr>
          <w:p>
            <w:pPr>
              <w:pStyle w:val="yTableNAm"/>
            </w:pPr>
            <w:r>
              <w:lastRenderedPageBreak/>
              <w:t>3</w:t>
            </w:r>
          </w:p>
        </w:tc>
        <w:tc>
          <w:tcPr>
            <w:tcW w:w="3402" w:type="dxa"/>
          </w:tcPr>
          <w:p>
            <w:pPr>
              <w:pStyle w:val="yTableNAm"/>
            </w:pPr>
            <w:r>
              <w:t>Monday and Friday</w:t>
            </w:r>
          </w:p>
        </w:tc>
      </w:tr>
      <w:tr>
        <w:tc>
          <w:tcPr>
            <w:tcW w:w="3402" w:type="dxa"/>
          </w:tcPr>
          <w:p>
            <w:pPr>
              <w:pStyle w:val="yTableNAm"/>
            </w:pPr>
            <w:r>
              <w:t>4</w:t>
            </w:r>
          </w:p>
        </w:tc>
        <w:tc>
          <w:tcPr>
            <w:tcW w:w="3402" w:type="dxa"/>
          </w:tcPr>
          <w:p>
            <w:pPr>
              <w:pStyle w:val="yTableNAm"/>
            </w:pPr>
            <w:r>
              <w:t>Tuesday and Saturday</w:t>
            </w:r>
          </w:p>
        </w:tc>
      </w:tr>
      <w:tr>
        <w:tc>
          <w:tcPr>
            <w:tcW w:w="3402" w:type="dxa"/>
          </w:tcPr>
          <w:p>
            <w:pPr>
              <w:pStyle w:val="yTableNAm"/>
            </w:pPr>
            <w:r>
              <w:t>5</w:t>
            </w:r>
          </w:p>
        </w:tc>
        <w:tc>
          <w:tcPr>
            <w:tcW w:w="3402" w:type="dxa"/>
          </w:tcPr>
          <w:p>
            <w:pPr>
              <w:pStyle w:val="yTableNAm"/>
            </w:pPr>
            <w:r>
              <w:t>Sunday and Wednesday</w:t>
            </w:r>
          </w:p>
        </w:tc>
      </w:tr>
      <w:tr>
        <w:tc>
          <w:tcPr>
            <w:tcW w:w="3402" w:type="dxa"/>
          </w:tcPr>
          <w:p>
            <w:pPr>
              <w:pStyle w:val="yTableNAm"/>
            </w:pPr>
            <w:r>
              <w:t>6</w:t>
            </w:r>
          </w:p>
        </w:tc>
        <w:tc>
          <w:tcPr>
            <w:tcW w:w="3402" w:type="dxa"/>
          </w:tcPr>
          <w:p>
            <w:pPr>
              <w:pStyle w:val="yTableNAm"/>
            </w:pPr>
            <w:r>
              <w:t>Monday and Thursday</w:t>
            </w:r>
          </w:p>
        </w:tc>
      </w:tr>
      <w:tr>
        <w:tc>
          <w:tcPr>
            <w:tcW w:w="3402" w:type="dxa"/>
          </w:tcPr>
          <w:p>
            <w:pPr>
              <w:pStyle w:val="yTableNAm"/>
            </w:pPr>
            <w:r>
              <w:t>7</w:t>
            </w:r>
          </w:p>
        </w:tc>
        <w:tc>
          <w:tcPr>
            <w:tcW w:w="3402" w:type="dxa"/>
          </w:tcPr>
          <w:p>
            <w:pPr>
              <w:pStyle w:val="yTableNAm"/>
            </w:pPr>
            <w:r>
              <w:t>Tuesday and Friday</w:t>
            </w:r>
          </w:p>
        </w:tc>
      </w:tr>
      <w:tr>
        <w:tc>
          <w:tcPr>
            <w:tcW w:w="3402" w:type="dxa"/>
          </w:tcPr>
          <w:p>
            <w:pPr>
              <w:pStyle w:val="yTableNAm"/>
            </w:pPr>
            <w:r>
              <w:t>8</w:t>
            </w:r>
          </w:p>
        </w:tc>
        <w:tc>
          <w:tcPr>
            <w:tcW w:w="3402" w:type="dxa"/>
          </w:tcPr>
          <w:p>
            <w:pPr>
              <w:pStyle w:val="yTableNAm"/>
            </w:pPr>
            <w:r>
              <w:t>Wednesday and Saturday</w:t>
            </w:r>
          </w:p>
        </w:tc>
      </w:tr>
      <w:tr>
        <w:tc>
          <w:tcPr>
            <w:tcW w:w="3402" w:type="dxa"/>
          </w:tcPr>
          <w:p>
            <w:pPr>
              <w:pStyle w:val="yTableNAm"/>
            </w:pPr>
            <w:r>
              <w:t>9</w:t>
            </w:r>
          </w:p>
        </w:tc>
        <w:tc>
          <w:tcPr>
            <w:tcW w:w="3402" w:type="dxa"/>
          </w:tcPr>
          <w:p>
            <w:pPr>
              <w:pStyle w:val="yTableNAm"/>
            </w:pPr>
            <w:r>
              <w:t>Sunday and Thursday</w:t>
            </w:r>
          </w:p>
        </w:tc>
      </w:tr>
      <w:tr>
        <w:tc>
          <w:tcPr>
            <w:tcW w:w="3402" w:type="dxa"/>
          </w:tcPr>
          <w:p>
            <w:pPr>
              <w:pStyle w:val="yTableNAm"/>
            </w:pPr>
            <w:r>
              <w:t>0</w:t>
            </w:r>
          </w:p>
        </w:tc>
        <w:tc>
          <w:tcPr>
            <w:tcW w:w="3402" w:type="dxa"/>
          </w:tcPr>
          <w:p>
            <w:pPr>
              <w:pStyle w:val="yTableNAm"/>
            </w:pPr>
            <w:r>
              <w:t>Monday and Friday</w:t>
            </w:r>
          </w:p>
        </w:tc>
      </w:tr>
    </w:tbl>
    <w:p>
      <w:pPr>
        <w:pStyle w:val="yHeading3"/>
        <w:spacing w:after="120"/>
      </w:pPr>
      <w:bookmarkStart w:id="51" w:name="_Toc110606164"/>
      <w:bookmarkStart w:id="52" w:name="_Toc110606481"/>
      <w:bookmarkStart w:id="53" w:name="_Toc110860022"/>
      <w:r>
        <w:rPr>
          <w:rStyle w:val="CharSDivNo"/>
        </w:rPr>
        <w:t>Division 3</w:t>
      </w:r>
      <w:r>
        <w:t> — </w:t>
      </w:r>
      <w:r>
        <w:rPr>
          <w:rStyle w:val="CharSDivText"/>
        </w:rPr>
        <w:t>Specified days for Schedule 2 clause 5(1)(a)</w:t>
      </w:r>
      <w:bookmarkEnd w:id="51"/>
      <w:bookmarkEnd w:id="52"/>
      <w:bookmarkEnd w:id="53"/>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16"/>
        <w:gridCol w:w="3402"/>
        <w:gridCol w:w="3371"/>
      </w:tblGrid>
      <w:tr>
        <w:trPr>
          <w:tblHeader/>
        </w:trPr>
        <w:tc>
          <w:tcPr>
            <w:tcW w:w="3418" w:type="dxa"/>
            <w:gridSpan w:val="2"/>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gridSpan w:val="2"/>
            <w:tcBorders>
              <w:top w:val="single" w:sz="4" w:space="0" w:color="auto"/>
            </w:tcBorders>
          </w:tcPr>
          <w:p>
            <w:pPr>
              <w:pStyle w:val="yTableNAm"/>
            </w:pPr>
            <w:r>
              <w:t>1</w:t>
            </w:r>
          </w:p>
        </w:tc>
        <w:tc>
          <w:tcPr>
            <w:tcW w:w="3371" w:type="dxa"/>
            <w:tcBorders>
              <w:top w:val="single" w:sz="4" w:space="0" w:color="auto"/>
            </w:tcBorders>
          </w:tcPr>
          <w:p>
            <w:pPr>
              <w:pStyle w:val="yTableNAm"/>
            </w:pPr>
            <w:r>
              <w:t>Wednesday</w:t>
            </w:r>
          </w:p>
        </w:tc>
      </w:tr>
      <w:tr>
        <w:tc>
          <w:tcPr>
            <w:tcW w:w="3418" w:type="dxa"/>
            <w:gridSpan w:val="2"/>
          </w:tcPr>
          <w:p>
            <w:pPr>
              <w:pStyle w:val="yTableNAm"/>
            </w:pPr>
            <w:r>
              <w:t>2</w:t>
            </w:r>
          </w:p>
        </w:tc>
        <w:tc>
          <w:tcPr>
            <w:tcW w:w="3371" w:type="dxa"/>
          </w:tcPr>
          <w:p>
            <w:pPr>
              <w:pStyle w:val="yTableNAm"/>
            </w:pPr>
            <w:r>
              <w:t>Thursday</w:t>
            </w:r>
          </w:p>
        </w:tc>
      </w:tr>
      <w:tr>
        <w:tc>
          <w:tcPr>
            <w:tcW w:w="3418" w:type="dxa"/>
            <w:gridSpan w:val="2"/>
          </w:tcPr>
          <w:p>
            <w:pPr>
              <w:pStyle w:val="yTableNAm"/>
            </w:pPr>
            <w:r>
              <w:t>3</w:t>
            </w:r>
          </w:p>
        </w:tc>
        <w:tc>
          <w:tcPr>
            <w:tcW w:w="3371" w:type="dxa"/>
          </w:tcPr>
          <w:p>
            <w:pPr>
              <w:pStyle w:val="yTableNAm"/>
            </w:pPr>
            <w:r>
              <w:t>Friday</w:t>
            </w:r>
          </w:p>
        </w:tc>
      </w:tr>
      <w:tr>
        <w:tc>
          <w:tcPr>
            <w:tcW w:w="3418" w:type="dxa"/>
            <w:gridSpan w:val="2"/>
          </w:tcPr>
          <w:p>
            <w:pPr>
              <w:pStyle w:val="yTableNAm"/>
            </w:pPr>
            <w:r>
              <w:t>4</w:t>
            </w:r>
          </w:p>
        </w:tc>
        <w:tc>
          <w:tcPr>
            <w:tcW w:w="3371" w:type="dxa"/>
          </w:tcPr>
          <w:p>
            <w:pPr>
              <w:pStyle w:val="yTableNAm"/>
            </w:pPr>
            <w:r>
              <w:t>Saturday</w:t>
            </w:r>
          </w:p>
        </w:tc>
      </w:tr>
      <w:tr>
        <w:tc>
          <w:tcPr>
            <w:tcW w:w="3418" w:type="dxa"/>
            <w:gridSpan w:val="2"/>
          </w:tcPr>
          <w:p>
            <w:pPr>
              <w:pStyle w:val="yTableNAm"/>
            </w:pPr>
            <w:r>
              <w:t>5</w:t>
            </w:r>
          </w:p>
        </w:tc>
        <w:tc>
          <w:tcPr>
            <w:tcW w:w="3371" w:type="dxa"/>
          </w:tcPr>
          <w:p>
            <w:pPr>
              <w:pStyle w:val="yTableNAm"/>
            </w:pPr>
            <w:r>
              <w:t>Sunday</w:t>
            </w:r>
          </w:p>
        </w:tc>
      </w:tr>
      <w:tr>
        <w:tc>
          <w:tcPr>
            <w:tcW w:w="3418" w:type="dxa"/>
            <w:gridSpan w:val="2"/>
          </w:tcPr>
          <w:p>
            <w:pPr>
              <w:pStyle w:val="yTableNAm"/>
            </w:pPr>
            <w:r>
              <w:t>6</w:t>
            </w:r>
          </w:p>
        </w:tc>
        <w:tc>
          <w:tcPr>
            <w:tcW w:w="3371" w:type="dxa"/>
          </w:tcPr>
          <w:p>
            <w:pPr>
              <w:pStyle w:val="yTableNAm"/>
            </w:pPr>
            <w:r>
              <w:t>Monday</w:t>
            </w:r>
          </w:p>
        </w:tc>
      </w:tr>
      <w:tr>
        <w:tc>
          <w:tcPr>
            <w:tcW w:w="3418" w:type="dxa"/>
            <w:gridSpan w:val="2"/>
          </w:tcPr>
          <w:p>
            <w:pPr>
              <w:pStyle w:val="yTableNAm"/>
            </w:pPr>
            <w:r>
              <w:t>7</w:t>
            </w:r>
          </w:p>
        </w:tc>
        <w:tc>
          <w:tcPr>
            <w:tcW w:w="3371" w:type="dxa"/>
          </w:tcPr>
          <w:p>
            <w:pPr>
              <w:pStyle w:val="yTableNAm"/>
            </w:pPr>
            <w:r>
              <w:t>Tuesday</w:t>
            </w:r>
          </w:p>
        </w:tc>
      </w:tr>
      <w:tr>
        <w:trPr>
          <w:gridBefore w:val="1"/>
          <w:wBefore w:w="16" w:type="dxa"/>
        </w:trPr>
        <w:tc>
          <w:tcPr>
            <w:tcW w:w="3402" w:type="dxa"/>
          </w:tcPr>
          <w:p>
            <w:pPr>
              <w:pStyle w:val="yTableNAm"/>
            </w:pPr>
            <w:r>
              <w:lastRenderedPageBreak/>
              <w:t>8</w:t>
            </w:r>
          </w:p>
        </w:tc>
        <w:tc>
          <w:tcPr>
            <w:tcW w:w="3371" w:type="dxa"/>
          </w:tcPr>
          <w:p>
            <w:pPr>
              <w:pStyle w:val="yTableNAm"/>
            </w:pPr>
            <w:r>
              <w:t>Wednesday</w:t>
            </w:r>
          </w:p>
        </w:tc>
      </w:tr>
      <w:tr>
        <w:trPr>
          <w:gridBefore w:val="1"/>
          <w:wBefore w:w="16" w:type="dxa"/>
        </w:trPr>
        <w:tc>
          <w:tcPr>
            <w:tcW w:w="3402" w:type="dxa"/>
          </w:tcPr>
          <w:p>
            <w:pPr>
              <w:pStyle w:val="yTableNAm"/>
            </w:pPr>
            <w:r>
              <w:t>9</w:t>
            </w:r>
          </w:p>
        </w:tc>
        <w:tc>
          <w:tcPr>
            <w:tcW w:w="3371" w:type="dxa"/>
          </w:tcPr>
          <w:p>
            <w:pPr>
              <w:pStyle w:val="yTableNAm"/>
            </w:pPr>
            <w:r>
              <w:t>Thursday</w:t>
            </w:r>
          </w:p>
        </w:tc>
      </w:tr>
      <w:tr>
        <w:trPr>
          <w:gridBefore w:val="1"/>
          <w:wBefore w:w="16" w:type="dxa"/>
        </w:trPr>
        <w:tc>
          <w:tcPr>
            <w:tcW w:w="3402" w:type="dxa"/>
          </w:tcPr>
          <w:p>
            <w:pPr>
              <w:pStyle w:val="yTableNAm"/>
            </w:pPr>
            <w:r>
              <w:t>0</w:t>
            </w:r>
          </w:p>
        </w:tc>
        <w:tc>
          <w:tcPr>
            <w:tcW w:w="3371" w:type="dxa"/>
          </w:tcPr>
          <w:p>
            <w:pPr>
              <w:pStyle w:val="yTableNAm"/>
            </w:pPr>
            <w:r>
              <w:t>Friday</w:t>
            </w:r>
          </w:p>
        </w:tc>
      </w:tr>
    </w:tbl>
    <w:p>
      <w:pPr>
        <w:pStyle w:val="yFootnotesection"/>
      </w:pPr>
      <w:r>
        <w:tab/>
        <w:t>[Division 3 amended: Gazette 28 Sep 2010 p. 5065.]</w:t>
      </w:r>
    </w:p>
    <w:p>
      <w:pPr>
        <w:pStyle w:val="yEdnoteschedule"/>
      </w:pPr>
      <w:r>
        <w:t>[Schedule 4 deleted: Gazette 14 Nov 2013 p. 5099.]</w:t>
      </w:r>
    </w:p>
    <w:p>
      <w:pPr>
        <w:pStyle w:val="CentredBaseLine"/>
        <w:spacing w:before="120"/>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sz w:val="16"/>
          <w:szCs w:val="16"/>
        </w:rPr>
      </w:pP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54" w:name="_Toc110606482"/>
      <w:bookmarkStart w:id="55" w:name="_Toc110860023"/>
      <w:bookmarkStart w:id="56" w:name="_Toc110606167"/>
      <w:r>
        <w:lastRenderedPageBreak/>
        <w:t>Notes</w:t>
      </w:r>
      <w:bookmarkEnd w:id="54"/>
      <w:bookmarkEnd w:id="55"/>
    </w:p>
    <w:p>
      <w:pPr>
        <w:pStyle w:val="nStatement"/>
      </w:pPr>
      <w:r>
        <w:t xml:space="preserve">This is a compilation of the </w:t>
      </w:r>
      <w:r>
        <w:rPr>
          <w:i/>
          <w:noProof/>
        </w:rPr>
        <w:t>Water Agencies (Water Use) By-laws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7" w:name="_Toc110860024"/>
      <w:r>
        <w:t>Compilation table</w:t>
      </w:r>
      <w:bookmarkEnd w:id="5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Agencies (Water Use) By</w:t>
            </w:r>
            <w:r>
              <w:rPr>
                <w:i/>
              </w:rPr>
              <w:noBreakHyphen/>
              <w:t xml:space="preserve">laws 2010 </w:t>
            </w:r>
          </w:p>
        </w:tc>
        <w:tc>
          <w:tcPr>
            <w:tcW w:w="1276" w:type="dxa"/>
            <w:tcBorders>
              <w:top w:val="single" w:sz="8" w:space="0" w:color="auto"/>
              <w:bottom w:val="nil"/>
            </w:tcBorders>
          </w:tcPr>
          <w:p>
            <w:pPr>
              <w:pStyle w:val="nTable"/>
              <w:spacing w:after="40"/>
            </w:pPr>
            <w:r>
              <w:t>16 Mar 2010 p. 999</w:t>
            </w:r>
            <w:r>
              <w:noBreakHyphen/>
              <w:t>1031</w:t>
            </w:r>
          </w:p>
        </w:tc>
        <w:tc>
          <w:tcPr>
            <w:tcW w:w="2693" w:type="dxa"/>
            <w:tcBorders>
              <w:top w:val="single" w:sz="8" w:space="0" w:color="auto"/>
              <w:bottom w:val="nil"/>
            </w:tcBorders>
          </w:tcPr>
          <w:p>
            <w:pPr>
              <w:pStyle w:val="nTable"/>
              <w:spacing w:after="40"/>
            </w:pPr>
            <w:r>
              <w:t>bl. 1 and 2: 16 Mar 2010 (see bl. 2(a));</w:t>
            </w:r>
            <w:r>
              <w:br/>
              <w:t>By</w:t>
            </w:r>
            <w:r>
              <w:noBreakHyphen/>
              <w:t>laws other than bl. 1 and 2: 1 Apr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2010</w:t>
            </w:r>
          </w:p>
        </w:tc>
        <w:tc>
          <w:tcPr>
            <w:tcW w:w="1276" w:type="dxa"/>
            <w:tcBorders>
              <w:top w:val="nil"/>
              <w:bottom w:val="nil"/>
            </w:tcBorders>
          </w:tcPr>
          <w:p>
            <w:pPr>
              <w:pStyle w:val="nTable"/>
              <w:spacing w:after="40"/>
            </w:pPr>
            <w:r>
              <w:t>28 Sep 2010 p. 5063</w:t>
            </w:r>
            <w:r>
              <w:noBreakHyphen/>
              <w:t>5</w:t>
            </w:r>
          </w:p>
        </w:tc>
        <w:tc>
          <w:tcPr>
            <w:tcW w:w="2693" w:type="dxa"/>
            <w:tcBorders>
              <w:top w:val="nil"/>
              <w:bottom w:val="nil"/>
            </w:tcBorders>
          </w:tcPr>
          <w:p>
            <w:pPr>
              <w:pStyle w:val="nTable"/>
              <w:spacing w:after="40"/>
            </w:pPr>
            <w:r>
              <w:t>bl. 1 and 2: 28 Sep 2010 (see bl. 2(a));</w:t>
            </w:r>
            <w:r>
              <w:br/>
              <w:t>By</w:t>
            </w:r>
            <w:r>
              <w:noBreakHyphen/>
              <w:t>laws other than bl. 1 and 2: 1 Oct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(No. 2) 2010</w:t>
            </w:r>
          </w:p>
        </w:tc>
        <w:tc>
          <w:tcPr>
            <w:tcW w:w="1276" w:type="dxa"/>
            <w:tcBorders>
              <w:top w:val="nil"/>
              <w:bottom w:val="nil"/>
            </w:tcBorders>
          </w:tcPr>
          <w:p>
            <w:pPr>
              <w:pStyle w:val="nTable"/>
              <w:spacing w:after="40"/>
            </w:pPr>
            <w:r>
              <w:t>30 Nov 2010 p. 6016</w:t>
            </w:r>
            <w:r>
              <w:noBreakHyphen/>
              <w:t>22</w:t>
            </w:r>
          </w:p>
        </w:tc>
        <w:tc>
          <w:tcPr>
            <w:tcW w:w="2693" w:type="dxa"/>
            <w:tcBorders>
              <w:top w:val="nil"/>
              <w:bottom w:val="nil"/>
            </w:tcBorders>
          </w:tcPr>
          <w:p>
            <w:pPr>
              <w:pStyle w:val="nTable"/>
              <w:spacing w:after="40"/>
            </w:pPr>
            <w:r>
              <w:t>bl. 1 and 2: 30 Nov 2010 (see bl. 2(a));</w:t>
            </w:r>
            <w:r>
              <w:br/>
              <w:t>By</w:t>
            </w:r>
            <w:r>
              <w:noBreakHyphen/>
              <w:t>laws other than bl. 1 and 2: 1 Dec 2010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2011</w:t>
            </w:r>
          </w:p>
        </w:tc>
        <w:tc>
          <w:tcPr>
            <w:tcW w:w="1276" w:type="dxa"/>
            <w:tcBorders>
              <w:top w:val="nil"/>
              <w:bottom w:val="nil"/>
            </w:tcBorders>
          </w:tcPr>
          <w:p>
            <w:pPr>
              <w:pStyle w:val="nTable"/>
              <w:spacing w:after="40"/>
            </w:pPr>
            <w:r>
              <w:t>8 Mar 2011 p. 801</w:t>
            </w:r>
            <w:r>
              <w:noBreakHyphen/>
              <w:t>4</w:t>
            </w:r>
          </w:p>
        </w:tc>
        <w:tc>
          <w:tcPr>
            <w:tcW w:w="2693" w:type="dxa"/>
            <w:tcBorders>
              <w:top w:val="nil"/>
              <w:bottom w:val="nil"/>
            </w:tcBorders>
          </w:tcPr>
          <w:p>
            <w:pPr>
              <w:pStyle w:val="nTable"/>
              <w:spacing w:after="40"/>
            </w:pPr>
            <w:r>
              <w:rPr>
                <w:snapToGrid w:val="0"/>
              </w:rPr>
              <w:t>bl. 1 and 2: 8 Mar 2011 (see bl. 2(a));</w:t>
            </w:r>
            <w:r>
              <w:rPr>
                <w:snapToGrid w:val="0"/>
              </w:rPr>
              <w:br/>
              <w:t>By</w:t>
            </w:r>
            <w:r>
              <w:rPr>
                <w:snapToGrid w:val="0"/>
              </w:rPr>
              <w:noBreakHyphen/>
              <w:t>laws other than bl. 1 and 2: 9 Mar 2011 (see bl. 2(b))</w:t>
            </w:r>
          </w:p>
        </w:tc>
      </w:tr>
      <w:tr>
        <w:tc>
          <w:tcPr>
            <w:tcW w:w="3118" w:type="dxa"/>
            <w:tcBorders>
              <w:top w:val="nil"/>
              <w:bottom w:val="nil"/>
            </w:tcBorders>
          </w:tcPr>
          <w:p>
            <w:pPr>
              <w:pStyle w:val="nTable"/>
              <w:spacing w:after="40"/>
              <w:rPr>
                <w:i/>
              </w:rPr>
            </w:pPr>
            <w:r>
              <w:rPr>
                <w:i/>
              </w:rPr>
              <w:t>Water Agencies (Water Use) Amendment By</w:t>
            </w:r>
            <w:r>
              <w:rPr>
                <w:i/>
              </w:rPr>
              <w:noBreakHyphen/>
              <w:t>laws (No. 2) 2011</w:t>
            </w:r>
          </w:p>
        </w:tc>
        <w:tc>
          <w:tcPr>
            <w:tcW w:w="1276" w:type="dxa"/>
            <w:tcBorders>
              <w:top w:val="nil"/>
              <w:bottom w:val="nil"/>
            </w:tcBorders>
          </w:tcPr>
          <w:p>
            <w:pPr>
              <w:pStyle w:val="nTable"/>
              <w:spacing w:after="40"/>
            </w:pPr>
            <w:r>
              <w:t>18 Nov 2011 p. 4818</w:t>
            </w:r>
            <w:r>
              <w:noBreakHyphen/>
              <w:t>19</w:t>
            </w:r>
          </w:p>
        </w:tc>
        <w:tc>
          <w:tcPr>
            <w:tcW w:w="2693" w:type="dxa"/>
            <w:tcBorders>
              <w:top w:val="nil"/>
              <w:bottom w:val="nil"/>
            </w:tcBorders>
          </w:tcPr>
          <w:p>
            <w:pPr>
              <w:pStyle w:val="nTable"/>
              <w:spacing w:after="40"/>
              <w:rPr>
                <w:snapToGrid w:val="0"/>
              </w:rPr>
            </w:pPr>
            <w:r>
              <w:rPr>
                <w:snapToGrid w:val="0"/>
              </w:rPr>
              <w:t>bl. 1 and 2: 18 Nov 2011 (see bl. 2(a));</w:t>
            </w:r>
            <w:r>
              <w:rPr>
                <w:snapToGrid w:val="0"/>
              </w:rPr>
              <w:br/>
              <w:t>By</w:t>
            </w:r>
            <w:r>
              <w:rPr>
                <w:snapToGrid w:val="0"/>
              </w:rPr>
              <w:noBreakHyphen/>
              <w:t>laws other than bl. 1 and 2: 19 Nov 2011 (see bl. 2(b))</w:t>
            </w:r>
          </w:p>
        </w:tc>
      </w:tr>
      <w:tr>
        <w:tc>
          <w:tcPr>
            <w:tcW w:w="3118" w:type="dxa"/>
            <w:tcBorders>
              <w:top w:val="nil"/>
              <w:bottom w:val="nil"/>
              <w:right w:val="nil"/>
            </w:tcBorders>
          </w:tcPr>
          <w:p>
            <w:pPr>
              <w:pStyle w:val="nTable"/>
              <w:spacing w:after="40"/>
              <w:rPr>
                <w:i/>
              </w:rPr>
            </w:pPr>
            <w:r>
              <w:rPr>
                <w:i/>
              </w:rPr>
              <w:t>Water Agencies (Water Use) Amendment By</w:t>
            </w:r>
            <w:r>
              <w:rPr>
                <w:i/>
              </w:rPr>
              <w:noBreakHyphen/>
              <w:t>laws 2012</w:t>
            </w:r>
          </w:p>
        </w:tc>
        <w:tc>
          <w:tcPr>
            <w:tcW w:w="1276" w:type="dxa"/>
            <w:tcBorders>
              <w:top w:val="nil"/>
              <w:left w:val="nil"/>
              <w:bottom w:val="nil"/>
              <w:right w:val="nil"/>
            </w:tcBorders>
          </w:tcPr>
          <w:p>
            <w:pPr>
              <w:pStyle w:val="nTable"/>
              <w:spacing w:after="40"/>
            </w:pPr>
            <w:r>
              <w:t>24 Aug 2012 p. 3961</w:t>
            </w:r>
            <w:r>
              <w:noBreakHyphen/>
              <w:t>3</w:t>
            </w:r>
          </w:p>
        </w:tc>
        <w:tc>
          <w:tcPr>
            <w:tcW w:w="2693" w:type="dxa"/>
            <w:tcBorders>
              <w:top w:val="nil"/>
              <w:left w:val="nil"/>
              <w:bottom w:val="nil"/>
            </w:tcBorders>
          </w:tcPr>
          <w:p>
            <w:pPr>
              <w:pStyle w:val="nTable"/>
              <w:spacing w:after="40"/>
              <w:rPr>
                <w:snapToGrid w:val="0"/>
              </w:rPr>
            </w:pPr>
            <w:r>
              <w:rPr>
                <w:snapToGrid w:val="0"/>
              </w:rPr>
              <w:t>bl. 1 and 2: 24 Aug 2012 (see bl. 2(a));</w:t>
            </w:r>
            <w:r>
              <w:rPr>
                <w:snapToGrid w:val="0"/>
              </w:rPr>
              <w:br/>
              <w:t>By</w:t>
            </w:r>
            <w:r>
              <w:rPr>
                <w:snapToGrid w:val="0"/>
              </w:rPr>
              <w:noBreakHyphen/>
              <w:t>laws other than bl. 1 and 2: 25 Aug 2012 (see bl.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Water Agencies (Water Use) By</w:t>
            </w:r>
            <w:r>
              <w:rPr>
                <w:b/>
                <w:i/>
              </w:rPr>
              <w:noBreakHyphen/>
              <w:t xml:space="preserve">laws 2010 </w:t>
            </w:r>
            <w:r>
              <w:rPr>
                <w:b/>
                <w:snapToGrid w:val="0"/>
              </w:rPr>
              <w:t>as at 5 Apr 2013</w:t>
            </w:r>
            <w:r>
              <w:rPr>
                <w:b/>
                <w:snapToGrid w:val="0"/>
              </w:rPr>
              <w:br/>
            </w:r>
            <w:r>
              <w:rPr>
                <w:snapToGrid w:val="0"/>
              </w:rPr>
              <w:t>(includes amendments listed above)</w:t>
            </w:r>
          </w:p>
        </w:tc>
      </w:tr>
      <w:tr>
        <w:trPr>
          <w:cantSplit/>
        </w:trPr>
        <w:tc>
          <w:tcPr>
            <w:tcW w:w="3118" w:type="dxa"/>
            <w:tcBorders>
              <w:top w:val="nil"/>
              <w:bottom w:val="nil"/>
              <w:right w:val="nil"/>
            </w:tcBorders>
          </w:tcPr>
          <w:p>
            <w:pPr>
              <w:pStyle w:val="nTable"/>
              <w:spacing w:after="40"/>
              <w:rPr>
                <w:i/>
              </w:rPr>
            </w:pPr>
            <w:r>
              <w:rPr>
                <w:i/>
              </w:rPr>
              <w:t>Water Agencies (Water Use) Amendment By laws 2013</w:t>
            </w:r>
          </w:p>
        </w:tc>
        <w:tc>
          <w:tcPr>
            <w:tcW w:w="1276" w:type="dxa"/>
            <w:tcBorders>
              <w:top w:val="nil"/>
              <w:left w:val="nil"/>
              <w:bottom w:val="nil"/>
              <w:right w:val="nil"/>
            </w:tcBorders>
          </w:tcPr>
          <w:p>
            <w:pPr>
              <w:pStyle w:val="nTable"/>
              <w:spacing w:after="40"/>
            </w:pPr>
            <w:r>
              <w:t>14 Nov 2013 p. 5097-9</w:t>
            </w:r>
          </w:p>
        </w:tc>
        <w:tc>
          <w:tcPr>
            <w:tcW w:w="2693" w:type="dxa"/>
            <w:tcBorders>
              <w:top w:val="nil"/>
              <w:left w:val="nil"/>
              <w:bottom w:val="nil"/>
            </w:tcBorders>
          </w:tcPr>
          <w:p>
            <w:pPr>
              <w:pStyle w:val="nTable"/>
              <w:spacing w:after="40"/>
              <w:rPr>
                <w:snapToGrid w:val="0"/>
              </w:rPr>
            </w:pPr>
            <w:r>
              <w:rPr>
                <w:snapToGrid w:val="0"/>
              </w:rPr>
              <w:t>bl. 1 and 2: 14 Nov 2013 (see bl. 2(a));</w:t>
            </w:r>
            <w:r>
              <w:rPr>
                <w:snapToGrid w:val="0"/>
              </w:rPr>
              <w:br/>
              <w:t xml:space="preserve">By-laws other than bl. 1 and 2: 18 Nov 2013 (see bl. 2(b) and </w:t>
            </w:r>
            <w:r>
              <w:rPr>
                <w:i/>
                <w:snapToGrid w:val="0"/>
              </w:rPr>
              <w:t>Gazette</w:t>
            </w:r>
            <w:r>
              <w:rPr>
                <w:snapToGrid w:val="0"/>
              </w:rPr>
              <w:t xml:space="preserve"> 14 Nov 2013 p. 5027)</w:t>
            </w:r>
          </w:p>
        </w:tc>
      </w:tr>
      <w:tr>
        <w:tc>
          <w:tcPr>
            <w:tcW w:w="3118" w:type="dxa"/>
            <w:tcBorders>
              <w:top w:val="nil"/>
              <w:bottom w:val="nil"/>
              <w:right w:val="nil"/>
            </w:tcBorders>
          </w:tcPr>
          <w:p>
            <w:pPr>
              <w:pStyle w:val="nTable"/>
              <w:keepNext/>
              <w:spacing w:after="40"/>
            </w:pPr>
            <w:r>
              <w:rPr>
                <w:i/>
              </w:rPr>
              <w:lastRenderedPageBreak/>
              <w:t>Water Agencies (Water Use) Amendment By</w:t>
            </w:r>
            <w:r>
              <w:rPr>
                <w:i/>
              </w:rPr>
              <w:noBreakHyphen/>
              <w:t>laws 2016</w:t>
            </w:r>
            <w:r>
              <w:rPr>
                <w:vertAlign w:val="superscript"/>
              </w:rPr>
              <w:t> 1</w:t>
            </w:r>
          </w:p>
        </w:tc>
        <w:tc>
          <w:tcPr>
            <w:tcW w:w="1276" w:type="dxa"/>
            <w:tcBorders>
              <w:top w:val="nil"/>
              <w:left w:val="nil"/>
              <w:bottom w:val="nil"/>
              <w:right w:val="nil"/>
            </w:tcBorders>
          </w:tcPr>
          <w:p>
            <w:pPr>
              <w:pStyle w:val="nTable"/>
              <w:keepNext/>
              <w:spacing w:after="40"/>
            </w:pPr>
            <w:r>
              <w:t>13 Dec 2016 p. 5657-8</w:t>
            </w:r>
          </w:p>
        </w:tc>
        <w:tc>
          <w:tcPr>
            <w:tcW w:w="2693" w:type="dxa"/>
            <w:tcBorders>
              <w:top w:val="nil"/>
              <w:left w:val="nil"/>
              <w:bottom w:val="nil"/>
            </w:tcBorders>
          </w:tcPr>
          <w:p>
            <w:pPr>
              <w:pStyle w:val="nTable"/>
              <w:keepNext/>
              <w:spacing w:after="40"/>
              <w:rPr>
                <w:snapToGrid w:val="0"/>
              </w:rPr>
            </w:pPr>
            <w:r>
              <w:rPr>
                <w:snapToGrid w:val="0"/>
              </w:rPr>
              <w:t>bl. 1 and 2: 13 Dec 2016 (see bl. 2(a));</w:t>
            </w:r>
            <w:r>
              <w:rPr>
                <w:snapToGrid w:val="0"/>
              </w:rPr>
              <w:br/>
              <w:t>By</w:t>
            </w:r>
            <w:r>
              <w:rPr>
                <w:snapToGrid w:val="0"/>
              </w:rPr>
              <w:noBreakHyphen/>
              <w:t xml:space="preserve">laws other than bl. 1 and 2: 14 Dec 2016 (see bl. 2(b) and </w:t>
            </w:r>
            <w:r>
              <w:rPr>
                <w:i/>
                <w:snapToGrid w:val="0"/>
              </w:rPr>
              <w:t>Gazette</w:t>
            </w:r>
            <w:r>
              <w:rPr>
                <w:snapToGrid w:val="0"/>
              </w:rPr>
              <w:t xml:space="preserve"> 13 Dec 2016 p. 5659) (see endnote 1)</w:t>
            </w:r>
          </w:p>
        </w:tc>
      </w:tr>
      <w:tr>
        <w:tc>
          <w:tcPr>
            <w:tcW w:w="3118" w:type="dxa"/>
            <w:tcBorders>
              <w:top w:val="nil"/>
              <w:bottom w:val="single" w:sz="4" w:space="0" w:color="auto"/>
              <w:right w:val="nil"/>
            </w:tcBorders>
          </w:tcPr>
          <w:p>
            <w:pPr>
              <w:pStyle w:val="nTable"/>
              <w:spacing w:after="40"/>
              <w:rPr>
                <w:i/>
              </w:rPr>
            </w:pPr>
            <w:r>
              <w:rPr>
                <w:i/>
              </w:rPr>
              <w:t>Water Agencies (Water Use) Amendment By</w:t>
            </w:r>
            <w:r>
              <w:rPr>
                <w:i/>
              </w:rPr>
              <w:noBreakHyphen/>
              <w:t>laws 2017</w:t>
            </w:r>
          </w:p>
        </w:tc>
        <w:tc>
          <w:tcPr>
            <w:tcW w:w="1276" w:type="dxa"/>
            <w:tcBorders>
              <w:top w:val="nil"/>
              <w:left w:val="nil"/>
              <w:bottom w:val="single" w:sz="4" w:space="0" w:color="auto"/>
              <w:right w:val="nil"/>
            </w:tcBorders>
          </w:tcPr>
          <w:p>
            <w:pPr>
              <w:pStyle w:val="nTable"/>
              <w:spacing w:after="40"/>
            </w:pPr>
            <w:r>
              <w:t>9 May 2017 p. 2431</w:t>
            </w:r>
            <w:r>
              <w:softHyphen/>
              <w:t>2</w:t>
            </w:r>
          </w:p>
        </w:tc>
        <w:tc>
          <w:tcPr>
            <w:tcW w:w="2693" w:type="dxa"/>
            <w:tcBorders>
              <w:top w:val="nil"/>
              <w:left w:val="nil"/>
              <w:bottom w:val="single" w:sz="4" w:space="0" w:color="auto"/>
            </w:tcBorders>
          </w:tcPr>
          <w:p>
            <w:pPr>
              <w:pStyle w:val="nTable"/>
              <w:spacing w:after="40"/>
              <w:rPr>
                <w:snapToGrid w:val="0"/>
              </w:rPr>
            </w:pPr>
            <w:r>
              <w:rPr>
                <w:snapToGrid w:val="0"/>
              </w:rPr>
              <w:t>bl. 1 and 2: 9 May 2017 (see bl. 2(a));</w:t>
            </w:r>
            <w:r>
              <w:rPr>
                <w:snapToGrid w:val="0"/>
              </w:rPr>
              <w:br/>
              <w:t>By</w:t>
            </w:r>
            <w:r>
              <w:rPr>
                <w:snapToGrid w:val="0"/>
              </w:rPr>
              <w:noBreakHyphen/>
              <w:t>laws other than bl. 1 and 2: 10 May 2017 (see bl. 2(b))</w:t>
            </w:r>
          </w:p>
        </w:tc>
      </w:tr>
    </w:tbl>
    <w:p>
      <w:pPr>
        <w:pStyle w:val="nHeading3"/>
      </w:pPr>
      <w:bookmarkStart w:id="58" w:name="_Toc110860025"/>
      <w:r>
        <w:t>Uncommenced provisions table</w:t>
      </w:r>
      <w:bookmarkEnd w:id="5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Water Agencies (Water Use) Amendment By-laws 2022</w:t>
            </w:r>
            <w:r>
              <w:t xml:space="preserve"> bl. 3 and 4</w:t>
            </w:r>
          </w:p>
        </w:tc>
        <w:tc>
          <w:tcPr>
            <w:tcW w:w="1276" w:type="dxa"/>
          </w:tcPr>
          <w:p>
            <w:pPr>
              <w:pStyle w:val="nTable"/>
              <w:spacing w:after="40"/>
            </w:pPr>
            <w:r>
              <w:t>SL 2022/141 9 Aug 2022</w:t>
            </w:r>
          </w:p>
        </w:tc>
        <w:tc>
          <w:tcPr>
            <w:tcW w:w="2693" w:type="dxa"/>
          </w:tcPr>
          <w:p>
            <w:pPr>
              <w:pStyle w:val="nTable"/>
              <w:spacing w:after="40"/>
            </w:pPr>
            <w:r>
              <w:t>1 Sep 2022 (see bl. 2(b))</w:t>
            </w:r>
          </w:p>
        </w:tc>
      </w:tr>
    </w:tbl>
    <w:p>
      <w:pPr>
        <w:pStyle w:val="nHeading3"/>
      </w:pPr>
      <w:bookmarkStart w:id="59" w:name="_Toc110860026"/>
      <w:r>
        <w:t>Other notes</w:t>
      </w:r>
      <w:bookmarkEnd w:id="59"/>
    </w:p>
    <w:p>
      <w:pPr>
        <w:pStyle w:val="nNote"/>
      </w:pPr>
      <w:r>
        <w:rPr>
          <w:vertAlign w:val="superscript"/>
        </w:rPr>
        <w:t>1</w:t>
      </w:r>
      <w:r>
        <w:tab/>
        <w:t xml:space="preserve">The </w:t>
      </w:r>
      <w:r>
        <w:rPr>
          <w:i/>
        </w:rPr>
        <w:t>Water Agencies (Water Use) Amendment By-laws 2016</w:t>
      </w:r>
      <w:r>
        <w:t xml:space="preserve">, which purports to amend the principal by-laws, are of no effect as those amending by-laws were made by the Governor.  By-laws made under the </w:t>
      </w:r>
      <w:r>
        <w:rPr>
          <w:i/>
        </w:rPr>
        <w:t>Water Agencies (Powers) Act 1984</w:t>
      </w:r>
      <w:r>
        <w:t xml:space="preserve"> section 34 must be made by the Minister.  The amendments purportedly made by the </w:t>
      </w:r>
      <w:r>
        <w:rPr>
          <w:i/>
        </w:rPr>
        <w:t>Water Agencies (Water Use) Amendment By-laws 2016</w:t>
      </w:r>
      <w:r>
        <w:t xml:space="preserve"> are therefore not included in the compilation of the principal by-laws.</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61" w:name="_Toc110606486"/>
      <w:bookmarkStart w:id="62" w:name="_Toc110860027"/>
      <w:r>
        <w:rPr>
          <w:sz w:val="28"/>
        </w:rPr>
        <w:lastRenderedPageBreak/>
        <w:t>Defined terms</w:t>
      </w:r>
      <w:bookmarkEnd w:id="56"/>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18</w:t>
      </w:r>
    </w:p>
    <w:p>
      <w:pPr>
        <w:pStyle w:val="DefinedTerms"/>
      </w:pPr>
      <w:r>
        <w:t>Area</w:t>
      </w:r>
      <w:r>
        <w:tab/>
        <w:t>3</w:t>
      </w:r>
    </w:p>
    <w:p>
      <w:pPr>
        <w:pStyle w:val="DefinedTerms"/>
      </w:pPr>
      <w:r>
        <w:t>Area 1</w:t>
      </w:r>
      <w:r>
        <w:tab/>
        <w:t>3</w:t>
      </w:r>
    </w:p>
    <w:p>
      <w:pPr>
        <w:pStyle w:val="DefinedTerms"/>
      </w:pPr>
      <w:r>
        <w:t>Area 2</w:t>
      </w:r>
      <w:r>
        <w:tab/>
        <w:t>3</w:t>
      </w:r>
    </w:p>
    <w:p>
      <w:pPr>
        <w:pStyle w:val="DefinedTerms"/>
      </w:pPr>
      <w:r>
        <w:t>Area 3</w:t>
      </w:r>
      <w:r>
        <w:tab/>
        <w:t>3</w:t>
      </w:r>
    </w:p>
    <w:p>
      <w:pPr>
        <w:pStyle w:val="DefinedTerms"/>
      </w:pPr>
      <w:r>
        <w:t>Area 4</w:t>
      </w:r>
      <w:r>
        <w:tab/>
        <w:t>3</w:t>
      </w:r>
    </w:p>
    <w:p>
      <w:pPr>
        <w:pStyle w:val="DefinedTerms"/>
      </w:pPr>
      <w:r>
        <w:t>commencement day</w:t>
      </w:r>
      <w:r>
        <w:tab/>
        <w:t>31(1)</w:t>
      </w:r>
    </w:p>
    <w:p>
      <w:pPr>
        <w:pStyle w:val="DefinedTerms"/>
      </w:pPr>
      <w:r>
        <w:t>consumption year,</w:t>
      </w:r>
      <w:r>
        <w:tab/>
        <w:t>18</w:t>
      </w:r>
    </w:p>
    <w:p>
      <w:pPr>
        <w:pStyle w:val="DefinedTerms"/>
      </w:pPr>
      <w:r>
        <w:t>domestic bore</w:t>
      </w:r>
      <w:r>
        <w:tab/>
        <w:t>3</w:t>
      </w:r>
    </w:p>
    <w:p>
      <w:pPr>
        <w:pStyle w:val="DefinedTerms"/>
      </w:pPr>
      <w:r>
        <w:t>domestic bore water or water</w:t>
      </w:r>
      <w:r>
        <w:tab/>
        <w:t>3</w:t>
      </w:r>
    </w:p>
    <w:p>
      <w:pPr>
        <w:pStyle w:val="DefinedTerms"/>
      </w:pPr>
      <w:r>
        <w:t>evening period</w:t>
      </w:r>
      <w:r>
        <w:tab/>
        <w:t>3</w:t>
      </w:r>
    </w:p>
    <w:p>
      <w:pPr>
        <w:pStyle w:val="DefinedTerms"/>
      </w:pPr>
      <w:r>
        <w:t>former plan</w:t>
      </w:r>
      <w:r>
        <w:tab/>
        <w:t>31(1)</w:t>
      </w:r>
    </w:p>
    <w:p>
      <w:pPr>
        <w:pStyle w:val="DefinedTerms"/>
      </w:pPr>
      <w:r>
        <w:t>garden</w:t>
      </w:r>
      <w:r>
        <w:tab/>
        <w:t>3</w:t>
      </w:r>
    </w:p>
    <w:p>
      <w:pPr>
        <w:pStyle w:val="DefinedTerms"/>
      </w:pPr>
      <w:r>
        <w:t>high pressure water cleaner</w:t>
      </w:r>
      <w:r>
        <w:tab/>
        <w:t>3</w:t>
      </w:r>
    </w:p>
    <w:p>
      <w:pPr>
        <w:pStyle w:val="DefinedTerms"/>
      </w:pPr>
      <w:r>
        <w:t>lawn</w:t>
      </w:r>
      <w:r>
        <w:tab/>
        <w:t>3</w:t>
      </w:r>
    </w:p>
    <w:p>
      <w:pPr>
        <w:pStyle w:val="DefinedTerms"/>
      </w:pPr>
      <w:r>
        <w:t>morning period</w:t>
      </w:r>
      <w:r>
        <w:tab/>
        <w:t>3</w:t>
      </w:r>
    </w:p>
    <w:p>
      <w:pPr>
        <w:pStyle w:val="DefinedTerms"/>
      </w:pPr>
      <w:r>
        <w:t>non</w:t>
      </w:r>
      <w:r>
        <w:noBreakHyphen/>
        <w:t>residential lot</w:t>
      </w:r>
      <w:r>
        <w:tab/>
        <w:t>18</w:t>
      </w:r>
    </w:p>
    <w:p>
      <w:pPr>
        <w:pStyle w:val="DefinedTerms"/>
      </w:pPr>
      <w:r>
        <w:t>other property</w:t>
      </w:r>
      <w:r>
        <w:tab/>
        <w:t>11(1)</w:t>
      </w:r>
    </w:p>
    <w:p>
      <w:pPr>
        <w:pStyle w:val="DefinedTerms"/>
      </w:pPr>
      <w:r>
        <w:t>relevant property</w:t>
      </w:r>
      <w:r>
        <w:tab/>
        <w:t>3</w:t>
      </w:r>
    </w:p>
    <w:p>
      <w:pPr>
        <w:pStyle w:val="DefinedTerms"/>
      </w:pPr>
      <w:r>
        <w:t>restriction notice</w:t>
      </w:r>
      <w:r>
        <w:tab/>
        <w:t>31(1)</w:t>
      </w:r>
    </w:p>
    <w:p>
      <w:pPr>
        <w:pStyle w:val="DefinedTerms"/>
      </w:pPr>
      <w:r>
        <w:t>scheme water efficiency management plan</w:t>
      </w:r>
      <w:r>
        <w:tab/>
        <w:t>18</w:t>
      </w:r>
    </w:p>
    <w:p>
      <w:pPr>
        <w:pStyle w:val="DefinedTerms"/>
      </w:pPr>
      <w:r>
        <w:t>specified day</w:t>
      </w:r>
      <w:r>
        <w:tab/>
        <w:t>31(1)</w:t>
      </w:r>
    </w:p>
    <w:p>
      <w:pPr>
        <w:pStyle w:val="DefinedTerms"/>
      </w:pPr>
      <w:r>
        <w:t>stage of restrictions</w:t>
      </w:r>
      <w:r>
        <w:tab/>
        <w:t>3</w:t>
      </w:r>
    </w:p>
    <w:p>
      <w:pPr>
        <w:pStyle w:val="DefinedTerms"/>
      </w:pPr>
      <w:r>
        <w:t>synthetic sporting ground</w:t>
      </w:r>
      <w:r>
        <w:tab/>
        <w:t>3</w:t>
      </w:r>
    </w:p>
    <w:p>
      <w:pPr>
        <w:pStyle w:val="DefinedTerms"/>
      </w:pPr>
      <w:r>
        <w:t>water</w:t>
      </w:r>
      <w:r>
        <w:tab/>
        <w:t>4A, 18</w:t>
      </w:r>
    </w:p>
    <w:p>
      <w:pPr>
        <w:pStyle w:val="DefinedTerms"/>
      </w:pPr>
      <w:r>
        <w:t>week</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Water Agencies (Water Use) By-laws 2010</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"77</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"66</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0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763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42F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36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CD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45B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457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E2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8B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783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9B20E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5153419"/>
    <w:docVar w:name="WAFER_20140204110519" w:val="RemoveTocBookmarks,RemoveUnusedBookmarks,RemoveLanguageTags,UsedStyles,ResetPageSize,UpdateArrangement"/>
    <w:docVar w:name="WAFER_20140204110519_GUID" w:val="0fed5b2c-61a4-45c4-8ace-72728f2d2da7"/>
    <w:docVar w:name="WAFER_20140204111156" w:val="RemoveTocBookmarks,RunningHeaders"/>
    <w:docVar w:name="WAFER_20140204111156_GUID" w:val="83e8d52c-04a4-4081-a89a-fe7ef42482e1"/>
    <w:docVar w:name="WAFER_20150721125248" w:val="ResetPageSize,UpdateArrangement,UpdateNTable"/>
    <w:docVar w:name="WAFER_20150721125248_GUID" w:val="371ca63d-beb3-4a52-8cf7-47f45bcf5e8d"/>
    <w:docVar w:name="WAFER_20151112113330" w:val="UpdateStyles,UsedStyles"/>
    <w:docVar w:name="WAFER_20151112113330_GUID" w:val="eb957321-bf76-4598-b39a-ad7bbbf0f00a"/>
    <w:docVar w:name="WAFER_20220805153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5153419_GUID" w:val="22ed3b6d-53cf-4805-a24b-305b68a3b3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C3811248-F33D-4411-834E-FB89948C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character" w:styleId="EndnoteReference">
    <w:name w:val="endnote reference"/>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4297</Words>
  <Characters>20157</Characters>
  <Application>Microsoft Office Word</Application>
  <DocSecurity>0</DocSecurity>
  <Lines>695</Lines>
  <Paragraphs>489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2010 - 01-d0-00</dc:title>
  <dc:subject/>
  <dc:creator/>
  <cp:keywords/>
  <dc:description/>
  <cp:lastModifiedBy>Master Repository Process</cp:lastModifiedBy>
  <cp:revision>4</cp:revision>
  <cp:lastPrinted>2013-04-08T07:46:00Z</cp:lastPrinted>
  <dcterms:created xsi:type="dcterms:W3CDTF">2022-08-08T06:25:00Z</dcterms:created>
  <dcterms:modified xsi:type="dcterms:W3CDTF">2022-08-08T06:25:00Z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2010 p 999-1031</vt:lpwstr>
  </property>
  <property fmtid="{D5CDD505-2E9C-101B-9397-08002B2CF9AE}" pid="3" name="OwlsUID">
    <vt:i4>42426</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AsAtDate">
    <vt:lpwstr>09 Aug 2022</vt:lpwstr>
  </property>
  <property fmtid="{D5CDD505-2E9C-101B-9397-08002B2CF9AE}" pid="8" name="Suffix">
    <vt:lpwstr>01-d0-00</vt:lpwstr>
  </property>
  <property fmtid="{D5CDD505-2E9C-101B-9397-08002B2CF9AE}" pid="9" name="CommencementDate">
    <vt:lpwstr>20220809</vt:lpwstr>
  </property>
</Properties>
</file>