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_Toc111021946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_Toc111021947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_Toc111021948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_Toc111021949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_Toc111021950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_Toc111021951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_Toc111021952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_Toc111021953 \h </w:instrText>
      </w:r>
      <w:r>
        <w:fldChar w:fldCharType="separate"/>
      </w:r>
      <w:r>
        <w:t>5</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_Toc111021954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_Toc111021955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_Toc111021956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_Toc111021957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_Toc111021958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_Toc111021959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_Toc111021960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_Toc111021961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_Toc111021962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_Toc111021963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_Toc111021964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_Toc111021965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_Toc111021966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_Toc111021967 \h </w:instrText>
      </w:r>
      <w:r>
        <w:fldChar w:fldCharType="separate"/>
      </w:r>
      <w:r>
        <w:t>22</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_Toc111021968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_Toc111021969 \h </w:instrText>
      </w:r>
      <w:r>
        <w:fldChar w:fldCharType="separate"/>
      </w:r>
      <w:r>
        <w:t>24</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_Toc111021970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_Toc111021971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_Toc111021972 \h </w:instrText>
      </w:r>
      <w:r>
        <w:fldChar w:fldCharType="separate"/>
      </w:r>
      <w:r>
        <w:t>27</w:t>
      </w:r>
      <w:r>
        <w:fldChar w:fldCharType="end"/>
      </w:r>
    </w:p>
    <w:p>
      <w:pPr>
        <w:pStyle w:val="TOC8"/>
        <w:rPr>
          <w:rFonts w:asciiTheme="minorHAnsi" w:eastAsiaTheme="minorEastAsia" w:hAnsiTheme="minorHAnsi" w:cstheme="minorBidi"/>
          <w:szCs w:val="22"/>
        </w:rPr>
      </w:pPr>
      <w:r>
        <w:t>8G.</w:t>
      </w:r>
      <w:r>
        <w:tab/>
        <w:t>Exemption from Act in relation to liquor competition (Act s. 6(1)(o))</w:t>
      </w:r>
      <w:r>
        <w:tab/>
      </w:r>
      <w:r>
        <w:fldChar w:fldCharType="begin"/>
      </w:r>
      <w:r>
        <w:instrText xml:space="preserve"> PAGEREF _Toc111021973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_Toc111021974 \h </w:instrText>
      </w:r>
      <w:r>
        <w:fldChar w:fldCharType="separate"/>
      </w:r>
      <w:r>
        <w:t>30</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_Toc111021975 \h </w:instrText>
      </w:r>
      <w:r>
        <w:fldChar w:fldCharType="separate"/>
      </w:r>
      <w:r>
        <w:t>30</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_Toc111021976 \h </w:instrText>
      </w:r>
      <w:r>
        <w:fldChar w:fldCharType="separate"/>
      </w:r>
      <w:r>
        <w:t>31</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_Toc111021977 \h </w:instrText>
      </w:r>
      <w:r>
        <w:fldChar w:fldCharType="separate"/>
      </w:r>
      <w:r>
        <w:t>31</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_Toc111021978 \h </w:instrText>
      </w:r>
      <w:r>
        <w:fldChar w:fldCharType="separate"/>
      </w:r>
      <w:r>
        <w:t>31</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_Toc111021979 \h </w:instrText>
      </w:r>
      <w:r>
        <w:fldChar w:fldCharType="separate"/>
      </w:r>
      <w:r>
        <w:t>39</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_Toc111021980 \h </w:instrText>
      </w:r>
      <w:r>
        <w:fldChar w:fldCharType="separate"/>
      </w:r>
      <w:r>
        <w:t>39</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_Toc111021981 \h </w:instrText>
      </w:r>
      <w:r>
        <w:fldChar w:fldCharType="separate"/>
      </w:r>
      <w:r>
        <w:t>39</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_Toc111021982 \h </w:instrText>
      </w:r>
      <w:r>
        <w:fldChar w:fldCharType="separate"/>
      </w:r>
      <w:r>
        <w:t>40</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_Toc111021983 \h </w:instrText>
      </w:r>
      <w:r>
        <w:fldChar w:fldCharType="separate"/>
      </w:r>
      <w:r>
        <w:t>41</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_Toc111021984 \h </w:instrText>
      </w:r>
      <w:r>
        <w:fldChar w:fldCharType="separate"/>
      </w:r>
      <w:r>
        <w:t>41</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_Toc111021985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_Toc111021986 \h </w:instrText>
      </w:r>
      <w:r>
        <w:fldChar w:fldCharType="separate"/>
      </w:r>
      <w:r>
        <w:t>41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_Toc111021987 \h </w:instrText>
      </w:r>
      <w:r>
        <w:fldChar w:fldCharType="separate"/>
      </w:r>
      <w:r>
        <w:t>42</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_Toc111021988 \h </w:instrText>
      </w:r>
      <w:r>
        <w:fldChar w:fldCharType="separate"/>
      </w:r>
      <w:r>
        <w:t>42</w:t>
      </w:r>
      <w:r>
        <w:fldChar w:fldCharType="end"/>
      </w:r>
    </w:p>
    <w:p>
      <w:pPr>
        <w:pStyle w:val="TOC8"/>
        <w:rPr>
          <w:rFonts w:asciiTheme="minorHAnsi" w:eastAsiaTheme="minorEastAsia" w:hAnsiTheme="minorHAnsi" w:cstheme="minorBidi"/>
          <w:szCs w:val="22"/>
        </w:rPr>
      </w:pPr>
      <w:r>
        <w:lastRenderedPageBreak/>
        <w:t>10C.</w:t>
      </w:r>
      <w:r>
        <w:tab/>
        <w:t>Prescribed requirements for sale and delivery of packaged liquor or liquor for consumption off licensed premises (Act s. 65(1)(b))</w:t>
      </w:r>
      <w:r>
        <w:tab/>
      </w:r>
      <w:r>
        <w:fldChar w:fldCharType="begin"/>
      </w:r>
      <w:r>
        <w:instrText xml:space="preserve"> PAGEREF _Toc111021989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_Toc111021990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_Toc111021991 \h </w:instrText>
      </w:r>
      <w:r>
        <w:fldChar w:fldCharType="separate"/>
      </w:r>
      <w:r>
        <w:t>48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_Toc111021992 \h </w:instrText>
      </w:r>
      <w:r>
        <w:fldChar w:fldCharType="separate"/>
      </w:r>
      <w:r>
        <w:t>48</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_Toc111021993 \h </w:instrText>
      </w:r>
      <w:r>
        <w:fldChar w:fldCharType="separate"/>
      </w:r>
      <w:r>
        <w:t>48</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_Toc111021994 \h </w:instrText>
      </w:r>
      <w:r>
        <w:fldChar w:fldCharType="separate"/>
      </w:r>
      <w:r>
        <w:t>49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_Toc111021995 \h </w:instrText>
      </w:r>
      <w:r>
        <w:fldChar w:fldCharType="separate"/>
      </w:r>
      <w:r>
        <w:t>49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_Toc111021996 \h </w:instrText>
      </w:r>
      <w:r>
        <w:fldChar w:fldCharType="separate"/>
      </w:r>
      <w:r>
        <w:t>49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_Toc111021997 \h </w:instrText>
      </w:r>
      <w:r>
        <w:fldChar w:fldCharType="separate"/>
      </w:r>
      <w:r>
        <w:t>50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_Toc111021998 \h </w:instrText>
      </w:r>
      <w:r>
        <w:fldChar w:fldCharType="separate"/>
      </w:r>
      <w:r>
        <w:t>51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_Toc111021999 \h </w:instrText>
      </w:r>
      <w:r>
        <w:fldChar w:fldCharType="separate"/>
      </w:r>
      <w:r>
        <w:t>51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_Toc111022000 \h </w:instrText>
      </w:r>
      <w:r>
        <w:fldChar w:fldCharType="separate"/>
      </w:r>
      <w:r>
        <w:t>52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_Toc111022001 \h </w:instrText>
      </w:r>
      <w:r>
        <w:fldChar w:fldCharType="separate"/>
      </w:r>
      <w:r>
        <w:t>52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_Toc111022002 \h </w:instrText>
      </w:r>
      <w:r>
        <w:fldChar w:fldCharType="separate"/>
      </w:r>
      <w:r>
        <w:t>53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_Toc111022003 \h </w:instrText>
      </w:r>
      <w:r>
        <w:fldChar w:fldCharType="separate"/>
      </w:r>
      <w:r>
        <w:t>54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_Toc111022004 \h </w:instrText>
      </w:r>
      <w:r>
        <w:fldChar w:fldCharType="separate"/>
      </w:r>
      <w:r>
        <w:t>54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_Toc111022005 \h </w:instrText>
      </w:r>
      <w:r>
        <w:fldChar w:fldCharType="separate"/>
      </w:r>
      <w:r>
        <w:t>56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_Toc111022006 \h </w:instrText>
      </w:r>
      <w:r>
        <w:fldChar w:fldCharType="separate"/>
      </w:r>
      <w:r>
        <w:t>57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_Toc111022007 \h </w:instrText>
      </w:r>
      <w:r>
        <w:fldChar w:fldCharType="separate"/>
      </w:r>
      <w:r>
        <w:t>58</w:t>
      </w:r>
      <w:r>
        <w:fldChar w:fldCharType="end"/>
      </w:r>
    </w:p>
    <w:p>
      <w:pPr>
        <w:pStyle w:val="TOC8"/>
        <w:rPr>
          <w:rFonts w:asciiTheme="minorHAnsi" w:eastAsiaTheme="minorEastAsia" w:hAnsiTheme="minorHAnsi" w:cstheme="minorBidi"/>
          <w:szCs w:val="22"/>
        </w:rPr>
      </w:pPr>
      <w:r>
        <w:t>16AA.</w:t>
      </w:r>
      <w:r>
        <w:tab/>
        <w:t>Quantity and area for offence (Act s. 109A)</w:t>
      </w:r>
      <w:r>
        <w:tab/>
      </w:r>
      <w:r>
        <w:fldChar w:fldCharType="begin"/>
      </w:r>
      <w:r>
        <w:instrText xml:space="preserve"> PAGEREF _Toc111022008 \h </w:instrText>
      </w:r>
      <w:r>
        <w:fldChar w:fldCharType="separate"/>
      </w:r>
      <w:r>
        <w:t>58</w:t>
      </w:r>
      <w:r>
        <w:fldChar w:fldCharType="end"/>
      </w:r>
    </w:p>
    <w:p>
      <w:pPr>
        <w:pStyle w:val="TOC8"/>
        <w:rPr>
          <w:rFonts w:asciiTheme="minorHAnsi" w:eastAsiaTheme="minorEastAsia" w:hAnsiTheme="minorHAnsi" w:cstheme="minorBidi"/>
          <w:szCs w:val="22"/>
        </w:rPr>
      </w:pPr>
      <w:r>
        <w:t>16AB.</w:t>
      </w:r>
      <w:r>
        <w:tab/>
        <w:t>Persons of prescribed class (Act s. 109A(4)(b))</w:t>
      </w:r>
      <w:r>
        <w:tab/>
      </w:r>
      <w:r>
        <w:fldChar w:fldCharType="begin"/>
      </w:r>
      <w:r>
        <w:instrText xml:space="preserve"> PAGEREF _Toc111022009 \h </w:instrText>
      </w:r>
      <w:r>
        <w:fldChar w:fldCharType="separate"/>
      </w:r>
      <w:r>
        <w:t>60</w:t>
      </w:r>
      <w:r>
        <w:fldChar w:fldCharType="end"/>
      </w:r>
    </w:p>
    <w:p>
      <w:pPr>
        <w:pStyle w:val="TOC8"/>
        <w:rPr>
          <w:rFonts w:asciiTheme="minorHAnsi" w:eastAsiaTheme="minorEastAsia" w:hAnsiTheme="minorHAnsi" w:cstheme="minorBidi"/>
          <w:szCs w:val="22"/>
        </w:rPr>
      </w:pPr>
      <w:r>
        <w:t>16AC.</w:t>
      </w:r>
      <w:r>
        <w:tab/>
        <w:t>Vehicles of prescribed class (Act s. 109A(4)(c))</w:t>
      </w:r>
      <w:r>
        <w:tab/>
      </w:r>
      <w:r>
        <w:fldChar w:fldCharType="begin"/>
      </w:r>
      <w:r>
        <w:instrText xml:space="preserve"> PAGEREF _Toc111022010 \h </w:instrText>
      </w:r>
      <w:r>
        <w:fldChar w:fldCharType="separate"/>
      </w:r>
      <w:r>
        <w:t>61</w:t>
      </w:r>
      <w:r>
        <w:fldChar w:fldCharType="end"/>
      </w:r>
    </w:p>
    <w:p>
      <w:pPr>
        <w:pStyle w:val="TOC8"/>
        <w:rPr>
          <w:rFonts w:asciiTheme="minorHAnsi" w:eastAsiaTheme="minorEastAsia" w:hAnsiTheme="minorHAnsi" w:cstheme="minorBidi"/>
          <w:szCs w:val="22"/>
        </w:rPr>
      </w:pPr>
      <w:r>
        <w:t>16AD.</w:t>
      </w:r>
      <w:r>
        <w:tab/>
        <w:t>Prescribed circumstance (Act s. 109A(4)(d))</w:t>
      </w:r>
      <w:r>
        <w:tab/>
      </w:r>
      <w:r>
        <w:fldChar w:fldCharType="begin"/>
      </w:r>
      <w:r>
        <w:instrText xml:space="preserve"> PAGEREF _Toc111022011 \h </w:instrText>
      </w:r>
      <w:r>
        <w:fldChar w:fldCharType="separate"/>
      </w:r>
      <w:r>
        <w:t>61</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_Toc111022012 \h </w:instrText>
      </w:r>
      <w:r>
        <w:fldChar w:fldCharType="separate"/>
      </w:r>
      <w:r>
        <w:t>62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_Toc111022013 \h </w:instrText>
      </w:r>
      <w:r>
        <w:fldChar w:fldCharType="separate"/>
      </w:r>
      <w:r>
        <w:t>63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_Toc111022014 \h </w:instrText>
      </w:r>
      <w:r>
        <w:fldChar w:fldCharType="separate"/>
      </w:r>
      <w:r>
        <w:t>63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_Toc111022015 \h </w:instrText>
      </w:r>
      <w:r>
        <w:fldChar w:fldCharType="separate"/>
      </w:r>
      <w:r>
        <w:t>64</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_Toc111022016 \h </w:instrText>
      </w:r>
      <w:r>
        <w:fldChar w:fldCharType="separate"/>
      </w:r>
      <w:r>
        <w:t>65</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_Toc111022017 \h </w:instrText>
      </w:r>
      <w:r>
        <w:fldChar w:fldCharType="separate"/>
      </w:r>
      <w:r>
        <w:t>67</w:t>
      </w:r>
      <w:r>
        <w:fldChar w:fldCharType="end"/>
      </w:r>
    </w:p>
    <w:p>
      <w:pPr>
        <w:pStyle w:val="TOC8"/>
        <w:rPr>
          <w:rFonts w:asciiTheme="minorHAnsi" w:eastAsiaTheme="minorEastAsia" w:hAnsiTheme="minorHAnsi" w:cstheme="minorBidi"/>
          <w:szCs w:val="22"/>
        </w:rPr>
      </w:pPr>
      <w:r>
        <w:lastRenderedPageBreak/>
        <w:t>18D</w:t>
      </w:r>
      <w:r>
        <w:rPr>
          <w:snapToGrid w:val="0"/>
        </w:rPr>
        <w:t>.</w:t>
      </w:r>
      <w:r>
        <w:rPr>
          <w:snapToGrid w:val="0"/>
        </w:rPr>
        <w:tab/>
        <w:t>Lost etc. proof of age card, replacement of</w:t>
      </w:r>
      <w:r>
        <w:tab/>
      </w:r>
      <w:r>
        <w:fldChar w:fldCharType="begin"/>
      </w:r>
      <w:r>
        <w:instrText xml:space="preserve"> PAGEREF _Toc111022018 \h </w:instrText>
      </w:r>
      <w:r>
        <w:fldChar w:fldCharType="separate"/>
      </w:r>
      <w:r>
        <w:t>67</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_Toc111022019 \h </w:instrText>
      </w:r>
      <w:r>
        <w:fldChar w:fldCharType="separate"/>
      </w:r>
      <w:r>
        <w:t>67</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_Toc111022020 \h </w:instrText>
      </w:r>
      <w:r>
        <w:fldChar w:fldCharType="separate"/>
      </w:r>
      <w:r>
        <w:t>68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_Toc111022021 \h </w:instrText>
      </w:r>
      <w:r>
        <w:fldChar w:fldCharType="separate"/>
      </w:r>
      <w:r>
        <w:t>69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_Toc111022022 \h </w:instrText>
      </w:r>
      <w:r>
        <w:fldChar w:fldCharType="separate"/>
      </w:r>
      <w:r>
        <w:t>69</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_Toc111022023 \h </w:instrText>
      </w:r>
      <w:r>
        <w:fldChar w:fldCharType="separate"/>
      </w:r>
      <w:r>
        <w:t>71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_Toc111022024 \h </w:instrText>
      </w:r>
      <w:r>
        <w:fldChar w:fldCharType="separate"/>
      </w:r>
      <w:r>
        <w:t>72</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_Toc111022025 \h </w:instrText>
      </w:r>
      <w:r>
        <w:fldChar w:fldCharType="separate"/>
      </w:r>
      <w:r>
        <w:t>73</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_Toc111022026 \h </w:instrText>
      </w:r>
      <w:r>
        <w:fldChar w:fldCharType="separate"/>
      </w:r>
      <w:r>
        <w:t>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_Toc111022027 \h </w:instrText>
      </w:r>
      <w:r>
        <w:fldChar w:fldCharType="separate"/>
      </w:r>
      <w:r>
        <w:t>73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_Toc111022028 \h </w:instrText>
      </w:r>
      <w:r>
        <w:fldChar w:fldCharType="separate"/>
      </w:r>
      <w:r>
        <w:t>74</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_Toc111022029 \h </w:instrText>
      </w:r>
      <w:r>
        <w:fldChar w:fldCharType="separate"/>
      </w:r>
      <w:r>
        <w:t>74</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_Toc111022030 \h </w:instrText>
      </w:r>
      <w:r>
        <w:fldChar w:fldCharType="separate"/>
      </w:r>
      <w:r>
        <w:t>75</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_Toc111022031 \h </w:instrText>
      </w:r>
      <w:r>
        <w:fldChar w:fldCharType="separate"/>
      </w:r>
      <w:r>
        <w:t>76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_Toc111022032 \h </w:instrText>
      </w:r>
      <w:r>
        <w:fldChar w:fldCharType="separate"/>
      </w:r>
      <w:r>
        <w:t>76</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_Toc111022033 \h </w:instrText>
      </w:r>
      <w:r>
        <w:fldChar w:fldCharType="separate"/>
      </w:r>
      <w:r>
        <w:t>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_Toc111022034 \h </w:instrText>
      </w:r>
      <w:r>
        <w:fldChar w:fldCharType="separate"/>
      </w:r>
      <w:r>
        <w:t>77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_Toc111022035 \h </w:instrText>
      </w:r>
      <w:r>
        <w:fldChar w:fldCharType="separate"/>
      </w:r>
      <w:r>
        <w:t>79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_Toc111022036 \h </w:instrText>
      </w:r>
      <w:r>
        <w:fldChar w:fldCharType="separate"/>
      </w:r>
      <w:r>
        <w:t>80</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_Toc111022037 \h </w:instrText>
      </w:r>
      <w:r>
        <w:fldChar w:fldCharType="separate"/>
      </w:r>
      <w:r>
        <w:t>82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_Toc111022038 \h </w:instrText>
      </w:r>
      <w:r>
        <w:fldChar w:fldCharType="separate"/>
      </w:r>
      <w:r>
        <w:t>82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_Toc111022039 \h </w:instrText>
      </w:r>
      <w:r>
        <w:fldChar w:fldCharType="separate"/>
      </w:r>
      <w:r>
        <w:t>82</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_Toc111022040 \h </w:instrText>
      </w:r>
      <w:r>
        <w:fldChar w:fldCharType="separate"/>
      </w:r>
      <w:r>
        <w:t>84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_Toc111022041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_Toc111022048 \h </w:instrText>
      </w:r>
      <w:r>
        <w:fldChar w:fldCharType="separate"/>
      </w:r>
      <w:r>
        <w:t>103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_Toc111022049 \h </w:instrText>
      </w:r>
      <w:r>
        <w:fldChar w:fldCharType="separate"/>
      </w:r>
      <w:r>
        <w:t>115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_Toc111022050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3" w:name="_Toc11102194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11102194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111021948"/>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111021949"/>
      <w:r>
        <w:rPr>
          <w:rStyle w:val="CharSectno"/>
        </w:rPr>
        <w:lastRenderedPageBreak/>
        <w:t>3A</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liquor restricted premises</w:t>
      </w:r>
      <w:r>
        <w:t xml:space="preserve"> has the meaning given in section 152N;</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w:t>
      </w:r>
      <w:r>
        <w:lastRenderedPageBreak/>
        <w:t xml:space="preserve">applied for the licence) to be on the licensed premises at any one time on that day; </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restricted area</w:t>
      </w:r>
      <w:r>
        <w:t xml:space="preserve"> means an area of the State declared for the purposes of section 175(1a) to be a restricted area;</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keepNext/>
        <w:rPr>
          <w:snapToGrid w:val="0"/>
        </w:rPr>
      </w:pPr>
      <w:r>
        <w:rPr>
          <w:snapToGrid w:val="0"/>
        </w:rPr>
        <w:lastRenderedPageBreak/>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 SL 2021/207 r. 4.]</w:t>
      </w:r>
    </w:p>
    <w:p>
      <w:pPr>
        <w:pStyle w:val="Heading5"/>
        <w:keepLines w:val="0"/>
      </w:pPr>
      <w:bookmarkStart w:id="7" w:name="_Toc111021950"/>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111021951"/>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111021952"/>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111021953"/>
      <w:r>
        <w:rPr>
          <w:rStyle w:val="CharSectno"/>
        </w:rPr>
        <w:lastRenderedPageBreak/>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11102195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111021955"/>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lastRenderedPageBreak/>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111021956"/>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111021957"/>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111021958"/>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lastRenderedPageBreak/>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111021959"/>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11102196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 xml:space="preserve">any deposit slip or statement, lodged with or issued by a bank or other financial institution by or to the licensee, which records the deposit or </w:t>
      </w:r>
      <w:r>
        <w:rPr>
          <w:snapToGrid w:val="0"/>
        </w:rPr>
        <w:lastRenderedPageBreak/>
        <w:t>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w:t>
      </w:r>
      <w:r>
        <w:rPr>
          <w:snapToGrid w:val="0"/>
        </w:rPr>
        <w:lastRenderedPageBreak/>
        <w:t>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111021961"/>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111021962"/>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keepNext/>
      </w:pPr>
      <w:r>
        <w:lastRenderedPageBreak/>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111021963"/>
      <w:r>
        <w:rPr>
          <w:rStyle w:val="CharSectno"/>
        </w:rPr>
        <w:lastRenderedPageBreak/>
        <w:t>5C</w:t>
      </w:r>
      <w:r>
        <w:t>.</w:t>
      </w:r>
      <w:r>
        <w:tab/>
        <w:t>Types of special facility licence prescribed (Act s. 4(6))</w:t>
      </w:r>
      <w:bookmarkEnd w:id="20"/>
    </w:p>
    <w:p>
      <w:pPr>
        <w:pStyle w:val="Subsection"/>
        <w:keepNext/>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111021964"/>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111021965"/>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lastRenderedPageBreak/>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tab/>
        <w:t>(c)</w:t>
      </w:r>
      <w:r>
        <w:tab/>
        <w:t xml:space="preserve">subject to subregulation (1AA), 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lastRenderedPageBreak/>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lastRenderedPageBreak/>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(1AA)</w:t>
      </w:r>
      <w:r>
        <w:tab/>
        <w:t xml:space="preserve">Subregulation (1)(c) does not apply in relation to the sale or supply of liquor together with flowers, food or other products to be delivered as a gift — </w:t>
      </w:r>
    </w:p>
    <w:p>
      <w:pPr>
        <w:pStyle w:val="Indenta"/>
      </w:pPr>
      <w:r>
        <w:tab/>
        <w:t>(a)</w:t>
      </w:r>
      <w:r>
        <w:tab/>
        <w:t>in a restricted area; or</w:t>
      </w:r>
    </w:p>
    <w:p>
      <w:pPr>
        <w:pStyle w:val="Indenta"/>
      </w:pPr>
      <w:r>
        <w:tab/>
        <w:t>(b)</w:t>
      </w:r>
      <w:r>
        <w:tab/>
        <w:t>to liquor restricted premises.</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t>
      </w:r>
      <w:r>
        <w:lastRenderedPageBreak/>
        <w:t>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keepNext/>
      </w:pPr>
      <w:r>
        <w:lastRenderedPageBreak/>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 SL 2021/207 r. 5.]</w:t>
      </w:r>
    </w:p>
    <w:p>
      <w:pPr>
        <w:pStyle w:val="Heading5"/>
      </w:pPr>
      <w:bookmarkStart w:id="23" w:name="_Toc111021966"/>
      <w:r>
        <w:rPr>
          <w:rStyle w:val="CharSectno"/>
        </w:rPr>
        <w:t>8A</w:t>
      </w:r>
      <w:r>
        <w:t>.</w:t>
      </w:r>
      <w:r>
        <w:tab/>
        <w:t>Exemption from Act, consumption at live entertainment venues</w:t>
      </w:r>
      <w:bookmarkEnd w:id="2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 xml:space="preserve">the presentation, visually or acoustically (or both), of entertainment taking place at another venue, where what is presented is received from </w:t>
      </w:r>
      <w:r>
        <w:lastRenderedPageBreak/>
        <w:t>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w:t>
      </w:r>
      <w:r>
        <w:lastRenderedPageBreak/>
        <w:t>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lastRenderedPageBreak/>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lastRenderedPageBreak/>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lastRenderedPageBreak/>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lastRenderedPageBreak/>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111021967"/>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lastRenderedPageBreak/>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111021968"/>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lastRenderedPageBreak/>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111021969"/>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lastRenderedPageBreak/>
        <w:tab/>
        <w:t>(iii)</w:t>
      </w:r>
      <w:r>
        <w:tab/>
        <w:t>a restricted area;</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 SL 2021/207 r. 6.]</w:t>
      </w:r>
    </w:p>
    <w:p>
      <w:pPr>
        <w:pStyle w:val="Heading5"/>
        <w:spacing w:before="180"/>
      </w:pPr>
      <w:bookmarkStart w:id="27" w:name="_Toc111021970"/>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lastRenderedPageBreak/>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111021971"/>
      <w:r>
        <w:rPr>
          <w:rStyle w:val="CharSectno"/>
        </w:rPr>
        <w:t>8E</w:t>
      </w:r>
      <w:r>
        <w:t>.</w:t>
      </w:r>
      <w:r>
        <w:tab/>
        <w:t>Exemption from Act, sales etc. at functions on licensed premises</w:t>
      </w:r>
      <w:bookmarkEnd w:id="28"/>
    </w:p>
    <w:p>
      <w:pPr>
        <w:pStyle w:val="Subsection"/>
        <w:keepNext/>
      </w:pPr>
      <w:r>
        <w:tab/>
        <w:t>(1)</w:t>
      </w:r>
      <w:r>
        <w:tab/>
        <w:t xml:space="preserve">In this regulation — </w:t>
      </w:r>
    </w:p>
    <w:p>
      <w:pPr>
        <w:pStyle w:val="Defstart"/>
        <w:keepNex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lastRenderedPageBreak/>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111021972"/>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lastRenderedPageBreak/>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keepNext/>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30" w:name="_Toc111021973"/>
      <w:r>
        <w:rPr>
          <w:rStyle w:val="CharSectno"/>
        </w:rPr>
        <w:lastRenderedPageBreak/>
        <w:t>8G</w:t>
      </w:r>
      <w:r>
        <w:t>.</w:t>
      </w:r>
      <w:r>
        <w:tab/>
        <w:t>Exemption from Act in relation to liquor competition (Act s. 6(1)(o))</w:t>
      </w:r>
      <w:bookmarkEnd w:id="30"/>
    </w:p>
    <w:p>
      <w:pPr>
        <w:pStyle w:val="Subsection"/>
        <w:keepNext/>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keepNext/>
      </w:pPr>
      <w:r>
        <w:lastRenderedPageBreak/>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31" w:name="_Toc111021974"/>
      <w:r>
        <w:rPr>
          <w:rStyle w:val="CharSectno"/>
        </w:rPr>
        <w:t>9</w:t>
      </w:r>
      <w:r>
        <w:rPr>
          <w:snapToGrid w:val="0"/>
        </w:rPr>
        <w:t>.</w:t>
      </w:r>
      <w:r>
        <w:rPr>
          <w:snapToGrid w:val="0"/>
        </w:rPr>
        <w:tab/>
        <w:t>Persons who may take and administer oaths and affirmations (Act s. 18(3)(c))</w:t>
      </w:r>
      <w:bookmarkEnd w:id="31"/>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2" w:name="_Toc111021975"/>
      <w:r>
        <w:rPr>
          <w:rStyle w:val="CharSectno"/>
        </w:rPr>
        <w:t>9AA</w:t>
      </w:r>
      <w:r>
        <w:t>.</w:t>
      </w:r>
      <w:r>
        <w:tab/>
        <w:t xml:space="preserve">Distance prescribed </w:t>
      </w:r>
      <w:r>
        <w:rPr>
          <w:snapToGrid w:val="0"/>
        </w:rPr>
        <w:t>(Act s.</w:t>
      </w:r>
      <w:r>
        <w:t> 36A(2)(b))</w:t>
      </w:r>
      <w:bookmarkEnd w:id="32"/>
    </w:p>
    <w:p>
      <w:pPr>
        <w:pStyle w:val="Subsection"/>
        <w:keepNext/>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3" w:name="_Toc111021976"/>
      <w:r>
        <w:rPr>
          <w:rStyle w:val="CharSectno"/>
        </w:rPr>
        <w:lastRenderedPageBreak/>
        <w:t>9AAA</w:t>
      </w:r>
      <w:r>
        <w:t>.</w:t>
      </w:r>
      <w:r>
        <w:tab/>
        <w:t>Area prescribed (Act s. 36B)</w:t>
      </w:r>
      <w:bookmarkEnd w:id="3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4" w:name="_Toc111021977"/>
      <w:r>
        <w:rPr>
          <w:rStyle w:val="CharSectno"/>
        </w:rPr>
        <w:t>9AAB</w:t>
      </w:r>
      <w:r>
        <w:t>.</w:t>
      </w:r>
      <w:r>
        <w:tab/>
        <w:t>Distance prescribed (Act s. 36B)</w:t>
      </w:r>
      <w:bookmarkEnd w:id="34"/>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5" w:name="_Toc111021978"/>
      <w:r>
        <w:rPr>
          <w:rStyle w:val="CharSectno"/>
        </w:rPr>
        <w:t>9A</w:t>
      </w:r>
      <w:r>
        <w:t>.</w:t>
      </w:r>
      <w:r>
        <w:tab/>
      </w:r>
      <w:r>
        <w:rPr>
          <w:snapToGrid w:val="0"/>
        </w:rPr>
        <w:t>Special facility licence, purposes for which may be granted</w:t>
      </w:r>
      <w:bookmarkEnd w:id="3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lastRenderedPageBreak/>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lastRenderedPageBreak/>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keepNext/>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 xml:space="preserve">by students enrolled in a course of instruction or training conducted by a vocational education and training </w:t>
      </w:r>
      <w:r>
        <w:lastRenderedPageBreak/>
        <w:t>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lastRenderedPageBreak/>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lastRenderedPageBreak/>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lastRenderedPageBreak/>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lastRenderedPageBreak/>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lastRenderedPageBreak/>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6" w:name="_Toc111021979"/>
      <w:r>
        <w:rPr>
          <w:rStyle w:val="CharSectno"/>
        </w:rPr>
        <w:t>9AB</w:t>
      </w:r>
      <w:r>
        <w:t>.</w:t>
      </w:r>
      <w:r>
        <w:tab/>
        <w:t xml:space="preserve">Kind of extended trading permit prescribed </w:t>
      </w:r>
      <w:r>
        <w:rPr>
          <w:snapToGrid w:val="0"/>
        </w:rPr>
        <w:t>(Act s.</w:t>
      </w:r>
      <w:r>
        <w:t> 25(5a))</w:t>
      </w:r>
      <w:bookmarkEnd w:id="3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7" w:name="_Toc111021980"/>
      <w:r>
        <w:rPr>
          <w:rStyle w:val="CharSectno"/>
        </w:rPr>
        <w:t>9B</w:t>
      </w:r>
      <w:r>
        <w:rPr>
          <w:snapToGrid w:val="0"/>
        </w:rPr>
        <w:t>.</w:t>
      </w:r>
      <w:r>
        <w:rPr>
          <w:snapToGrid w:val="0"/>
        </w:rPr>
        <w:tab/>
        <w:t>Special facility licence, effect of as to sale of packaged liquor</w:t>
      </w:r>
      <w:bookmarkEnd w:id="3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8" w:name="_Toc111021981"/>
      <w:r>
        <w:rPr>
          <w:rStyle w:val="CharSectno"/>
        </w:rPr>
        <w:t>9C</w:t>
      </w:r>
      <w:r>
        <w:t>.</w:t>
      </w:r>
      <w:r>
        <w:tab/>
        <w:t>Types of special facility licence prescribed (Act s. 46(6))</w:t>
      </w:r>
      <w:bookmarkEnd w:id="38"/>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lastRenderedPageBreak/>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9" w:name="_Toc111021982"/>
      <w:r>
        <w:rPr>
          <w:rStyle w:val="CharSectno"/>
        </w:rPr>
        <w:t>9D</w:t>
      </w:r>
      <w:r>
        <w:t>.</w:t>
      </w:r>
      <w:r>
        <w:tab/>
      </w:r>
      <w:r>
        <w:rPr>
          <w:snapToGrid w:val="0"/>
        </w:rPr>
        <w:t>Act s.</w:t>
      </w:r>
      <w:r>
        <w:t> 33(6b) modified as to occasional licences</w:t>
      </w:r>
      <w:bookmarkEnd w:id="39"/>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40" w:name="_Toc111021983"/>
      <w:r>
        <w:rPr>
          <w:rStyle w:val="CharSectno"/>
        </w:rPr>
        <w:lastRenderedPageBreak/>
        <w:t>9E</w:t>
      </w:r>
      <w:r>
        <w:t>.</w:t>
      </w:r>
      <w:r>
        <w:tab/>
        <w:t>Period prescribed (Act s. 33(6D)(b))</w:t>
      </w:r>
      <w:bookmarkEnd w:id="40"/>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1" w:name="_Toc111021984"/>
      <w:r>
        <w:rPr>
          <w:rStyle w:val="CharSectno"/>
        </w:rPr>
        <w:t>9EA</w:t>
      </w:r>
      <w:r>
        <w:t>.</w:t>
      </w:r>
      <w:r>
        <w:tab/>
        <w:t>Kinds of licence prescribed (Act s. 38(1)(a))</w:t>
      </w:r>
      <w:bookmarkEnd w:id="41"/>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2" w:name="_Toc111021985"/>
      <w:r>
        <w:rPr>
          <w:rStyle w:val="CharSectno"/>
        </w:rPr>
        <w:t>9F</w:t>
      </w:r>
      <w:r>
        <w:t>.</w:t>
      </w:r>
      <w:r>
        <w:tab/>
        <w:t>Kinds of permit prescribed (Act s. 38(1)(b))</w:t>
      </w:r>
      <w:bookmarkEnd w:id="42"/>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3" w:name="_Toc111021986"/>
      <w:r>
        <w:rPr>
          <w:rStyle w:val="CharSectno"/>
        </w:rPr>
        <w:t>10</w:t>
      </w:r>
      <w:r>
        <w:rPr>
          <w:snapToGrid w:val="0"/>
        </w:rPr>
        <w:t>.</w:t>
      </w:r>
      <w:r>
        <w:rPr>
          <w:snapToGrid w:val="0"/>
        </w:rPr>
        <w:tab/>
        <w:t>Requirements prescribed (Act s. </w:t>
      </w:r>
      <w:r>
        <w:t>57(2)(d)</w:t>
      </w:r>
      <w:r>
        <w:rPr>
          <w:snapToGrid w:val="0"/>
        </w:rPr>
        <w:t>)</w:t>
      </w:r>
      <w:bookmarkEnd w:id="4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 xml:space="preserve">which </w:t>
      </w:r>
      <w:r>
        <w:rPr>
          <w:snapToGrid w:val="0"/>
        </w:rPr>
        <w:lastRenderedPageBreak/>
        <w:t>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4" w:name="_Toc111021987"/>
      <w:r>
        <w:rPr>
          <w:rStyle w:val="CharSectno"/>
        </w:rPr>
        <w:t>10A</w:t>
      </w:r>
      <w:r>
        <w:rPr>
          <w:snapToGrid w:val="0"/>
        </w:rPr>
        <w:t>.</w:t>
      </w:r>
      <w:r>
        <w:rPr>
          <w:snapToGrid w:val="0"/>
        </w:rPr>
        <w:tab/>
        <w:t>Condition prescribed (Act s. 55(2))</w:t>
      </w:r>
      <w:bookmarkEnd w:id="44"/>
    </w:p>
    <w:p>
      <w:pPr>
        <w:pStyle w:val="Subsection"/>
        <w:keepNext/>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5" w:name="_Toc111021988"/>
      <w:r>
        <w:rPr>
          <w:rStyle w:val="CharSectno"/>
        </w:rPr>
        <w:t>10B</w:t>
      </w:r>
      <w:r>
        <w:t>.</w:t>
      </w:r>
      <w:r>
        <w:tab/>
        <w:t>Days for making application prescribed (Act s. 64(1BA))</w:t>
      </w:r>
      <w:bookmarkEnd w:id="45"/>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lastRenderedPageBreak/>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pPr>
      <w:bookmarkStart w:id="46" w:name="_Toc111021989"/>
      <w:r>
        <w:rPr>
          <w:rStyle w:val="CharSectno"/>
        </w:rPr>
        <w:t>10C</w:t>
      </w:r>
      <w:r>
        <w:t>.</w:t>
      </w:r>
      <w:r>
        <w:tab/>
        <w:t>Prescribed requirements for sale and delivery of packaged liquor or liquor for consumption off licensed premises (Act s. 65(1)(b))</w:t>
      </w:r>
      <w:bookmarkEnd w:id="46"/>
    </w:p>
    <w:p>
      <w:pPr>
        <w:pStyle w:val="Subsection"/>
      </w:pPr>
      <w:r>
        <w:tab/>
        <w:t>(1)</w:t>
      </w:r>
      <w:r>
        <w:tab/>
        <w:t>For the purposes of section 65(1)(b), the requirements relating to the sale and delivery from licensed premises of packaged liquor or liquor for consumption off the licensed premises are set out in this regulation.</w:t>
      </w:r>
    </w:p>
    <w:p>
      <w:pPr>
        <w:pStyle w:val="Subsection"/>
        <w:keepNext/>
      </w:pPr>
      <w:r>
        <w:tab/>
        <w:t>(2)</w:t>
      </w:r>
      <w:r>
        <w:tab/>
        <w:t xml:space="preserve">The licensee must ensure that — </w:t>
      </w:r>
    </w:p>
    <w:p>
      <w:pPr>
        <w:pStyle w:val="Indenta"/>
      </w:pPr>
      <w:r>
        <w:tab/>
        <w:t>(a)</w:t>
      </w:r>
      <w:r>
        <w:tab/>
        <w:t xml:space="preserve">if the sealed containers in which the liquor is delivered are contained in a box, carton or other package — the box, carton or package is labelled, marked or stamped with — </w:t>
      </w:r>
    </w:p>
    <w:p>
      <w:pPr>
        <w:pStyle w:val="Indenti"/>
      </w:pPr>
      <w:r>
        <w:tab/>
        <w:t>(i)</w:t>
      </w:r>
      <w:r>
        <w:tab/>
        <w:t>the name and address of the purchaser; and</w:t>
      </w:r>
    </w:p>
    <w:p>
      <w:pPr>
        <w:pStyle w:val="Indenti"/>
      </w:pPr>
      <w:r>
        <w:tab/>
        <w:t>(ii)</w:t>
      </w:r>
      <w:r>
        <w:tab/>
        <w:t>the name and address of the vendor;</w:t>
      </w:r>
    </w:p>
    <w:p>
      <w:pPr>
        <w:pStyle w:val="Indenta"/>
      </w:pPr>
      <w:r>
        <w:tab/>
      </w:r>
      <w:r>
        <w:tab/>
        <w:t>or</w:t>
      </w:r>
    </w:p>
    <w:p>
      <w:pPr>
        <w:pStyle w:val="Indenta"/>
      </w:pPr>
      <w:r>
        <w:tab/>
        <w:t>(b)</w:t>
      </w:r>
      <w:r>
        <w:tab/>
        <w:t>in any other case — the sealed containers in which the liquor is delivered are each labelled, marked or stamped as described in paragraph (a).</w:t>
      </w:r>
    </w:p>
    <w:p>
      <w:pPr>
        <w:pStyle w:val="Subsection"/>
        <w:keepNext/>
      </w:pPr>
      <w:r>
        <w:lastRenderedPageBreak/>
        <w:tab/>
        <w:t>(3)</w:t>
      </w:r>
      <w:r>
        <w:tab/>
        <w:t xml:space="preserve">The licensee must ensure that the liquor is not left with a person unless — </w:t>
      </w:r>
    </w:p>
    <w:p>
      <w:pPr>
        <w:pStyle w:val="Indenta"/>
      </w:pPr>
      <w:r>
        <w:tab/>
        <w:t>(a)</w:t>
      </w:r>
      <w:r>
        <w:tab/>
        <w:t>the person produces evidence that the person has reached 18 years of age; and</w:t>
      </w:r>
    </w:p>
    <w:p>
      <w:pPr>
        <w:pStyle w:val="Indenta"/>
      </w:pPr>
      <w:r>
        <w:tab/>
        <w:t>(b)</w:t>
      </w:r>
      <w:r>
        <w:tab/>
        <w:t>if the delivery is made on the day on which the liquor is purchased — the person is the purchaser or the purchaser’s nominee.</w:t>
      </w:r>
    </w:p>
    <w:p>
      <w:pPr>
        <w:pStyle w:val="Subsection"/>
      </w:pPr>
      <w:r>
        <w:tab/>
        <w:t>(4)</w:t>
      </w:r>
      <w:r>
        <w:tab/>
        <w:t xml:space="preserve">Evidence for the purposes of subregulation (3)(a) consists of — </w:t>
      </w:r>
    </w:p>
    <w:p>
      <w:pPr>
        <w:pStyle w:val="Indenta"/>
      </w:pPr>
      <w:r>
        <w:tab/>
        <w:t>(a)</w:t>
      </w:r>
      <w:r>
        <w:tab/>
        <w:t>a current Australian driver’s licence with a photograph; or</w:t>
      </w:r>
    </w:p>
    <w:p>
      <w:pPr>
        <w:pStyle w:val="Indenta"/>
      </w:pPr>
      <w:r>
        <w:tab/>
        <w:t>(b)</w:t>
      </w:r>
      <w:r>
        <w:tab/>
        <w:t>a current passport; or</w:t>
      </w:r>
    </w:p>
    <w:p>
      <w:pPr>
        <w:pStyle w:val="Indenta"/>
      </w:pPr>
      <w:r>
        <w:tab/>
        <w:t>(c)</w:t>
      </w:r>
      <w:r>
        <w:tab/>
        <w:t>a document referred to in regulation 18A(1A).</w:t>
      </w:r>
    </w:p>
    <w:p>
      <w:pPr>
        <w:pStyle w:val="Subsection"/>
      </w:pPr>
      <w:r>
        <w:tab/>
        <w:t>(5)</w:t>
      </w:r>
      <w:r>
        <w:tab/>
        <w:t xml:space="preserve">The licensee must ensure that the liquor is not left with a person if — </w:t>
      </w:r>
    </w:p>
    <w:p>
      <w:pPr>
        <w:pStyle w:val="Indenta"/>
      </w:pPr>
      <w:r>
        <w:tab/>
        <w:t>(a)</w:t>
      </w:r>
      <w:r>
        <w:tab/>
        <w:t>the speech, balance, coordination or behaviour of the person appears to be noticeably impaired; and</w:t>
      </w:r>
    </w:p>
    <w:p>
      <w:pPr>
        <w:pStyle w:val="Indenta"/>
      </w:pPr>
      <w:r>
        <w:tab/>
        <w:t>(b)</w:t>
      </w:r>
      <w:r>
        <w:tab/>
        <w:t>there are reasonable grounds to suspect that the impairment results from the consumption of liquor.</w:t>
      </w:r>
    </w:p>
    <w:p>
      <w:pPr>
        <w:pStyle w:val="Subsection"/>
        <w:keepNext/>
      </w:pPr>
      <w:r>
        <w:tab/>
        <w:t>(6)</w:t>
      </w:r>
      <w:r>
        <w:tab/>
        <w:t xml:space="preserve">The licensee must ensure that the liquor is not left unattended at premises unless — </w:t>
      </w:r>
    </w:p>
    <w:p>
      <w:pPr>
        <w:pStyle w:val="Indenta"/>
      </w:pPr>
      <w:r>
        <w:tab/>
        <w:t>(a)</w:t>
      </w:r>
      <w:r>
        <w:tab/>
        <w:t>the delivery is made on a day other than the day on which the liquor is purchased; and</w:t>
      </w:r>
    </w:p>
    <w:p>
      <w:pPr>
        <w:pStyle w:val="Indenta"/>
      </w:pPr>
      <w:r>
        <w:tab/>
        <w:t>(b)</w:t>
      </w:r>
      <w:r>
        <w:tab/>
        <w:t>the purchaser authorises the liquor to be left unattended at the premises; and</w:t>
      </w:r>
    </w:p>
    <w:p>
      <w:pPr>
        <w:pStyle w:val="Indenta"/>
      </w:pPr>
      <w:r>
        <w:tab/>
        <w:t>(c)</w:t>
      </w:r>
      <w:r>
        <w:tab/>
        <w:t>the liquor is left in an area that is not visible to passers</w:t>
      </w:r>
      <w:r>
        <w:noBreakHyphen/>
        <w:t>by.</w:t>
      </w:r>
    </w:p>
    <w:p>
      <w:pPr>
        <w:pStyle w:val="Subsection"/>
      </w:pPr>
      <w:r>
        <w:tab/>
        <w:t>(7)</w:t>
      </w:r>
      <w:r>
        <w:tab/>
        <w:t xml:space="preserve">The licensee must ensure that the liquor is not delivered — </w:t>
      </w:r>
    </w:p>
    <w:p>
      <w:pPr>
        <w:pStyle w:val="Indenta"/>
      </w:pPr>
      <w:r>
        <w:tab/>
        <w:t>(a)</w:t>
      </w:r>
      <w:r>
        <w:tab/>
        <w:t>in a restricted area; or</w:t>
      </w:r>
    </w:p>
    <w:p>
      <w:pPr>
        <w:pStyle w:val="Indenta"/>
      </w:pPr>
      <w:r>
        <w:tab/>
        <w:t>(b)</w:t>
      </w:r>
      <w:r>
        <w:tab/>
        <w:t>to liquor restricted premises at which a notice is displayed under section 152S.</w:t>
      </w:r>
    </w:p>
    <w:p>
      <w:pPr>
        <w:pStyle w:val="Subsection"/>
      </w:pPr>
      <w:r>
        <w:lastRenderedPageBreak/>
        <w:tab/>
        <w:t>(8)</w:t>
      </w:r>
      <w:r>
        <w:tab/>
        <w:t xml:space="preserve">The licensee must ensure that the liquor is delivered at a time that is — </w:t>
      </w:r>
    </w:p>
    <w:p>
      <w:pPr>
        <w:pStyle w:val="Indenta"/>
      </w:pPr>
      <w:r>
        <w:tab/>
        <w:t>(a)</w:t>
      </w:r>
      <w:r>
        <w:tab/>
        <w:t>within the permitted hours, if any, under the licence; and</w:t>
      </w:r>
    </w:p>
    <w:p>
      <w:pPr>
        <w:pStyle w:val="Indenta"/>
      </w:pPr>
      <w:r>
        <w:tab/>
        <w:t>(b)</w:t>
      </w:r>
      <w:r>
        <w:tab/>
        <w:t xml:space="preserve">in any case — </w:t>
      </w:r>
    </w:p>
    <w:p>
      <w:pPr>
        <w:pStyle w:val="Indenti"/>
      </w:pPr>
      <w:r>
        <w:tab/>
        <w:t>(i)</w:t>
      </w:r>
      <w:r>
        <w:tab/>
        <w:t>if the delivery is made on the day on which the liquor is purchased — between the hours of 9 am and midnight; and</w:t>
      </w:r>
    </w:p>
    <w:p>
      <w:pPr>
        <w:pStyle w:val="Indenti"/>
      </w:pPr>
      <w:r>
        <w:tab/>
        <w:t>(ii)</w:t>
      </w:r>
      <w:r>
        <w:tab/>
        <w:t>otherwise — between the hours of 6 am and midnight.</w:t>
      </w:r>
    </w:p>
    <w:p>
      <w:pPr>
        <w:pStyle w:val="Subsection"/>
      </w:pPr>
      <w:r>
        <w:tab/>
        <w:t>(9)</w:t>
      </w:r>
      <w:r>
        <w:tab/>
        <w:t xml:space="preserve">If the delivery is made on the day on which the liquor is purchased, the licensee must ensure that the liquor is delivered by a person who has completed successfully a course of training or an assessment — </w:t>
      </w:r>
    </w:p>
    <w:p>
      <w:pPr>
        <w:pStyle w:val="Indenta"/>
      </w:pPr>
      <w:r>
        <w:tab/>
        <w:t>(a)</w:t>
      </w:r>
      <w:r>
        <w:tab/>
        <w:t>in responsible practices in the sale, supply and service of liquor; and</w:t>
      </w:r>
    </w:p>
    <w:p>
      <w:pPr>
        <w:pStyle w:val="Indenta"/>
        <w:keepNext/>
      </w:pPr>
      <w:r>
        <w:tab/>
        <w:t>(b)</w:t>
      </w:r>
      <w:r>
        <w:tab/>
        <w:t>approved by the Director for the purposes of this subregulation.</w:t>
      </w:r>
    </w:p>
    <w:p>
      <w:pPr>
        <w:pStyle w:val="Footnotesection"/>
      </w:pPr>
      <w:r>
        <w:tab/>
        <w:t>[Regulation 10C inserted: SL 2021/207 r. 7.]</w:t>
      </w:r>
    </w:p>
    <w:p>
      <w:pPr>
        <w:pStyle w:val="Heading5"/>
        <w:rPr>
          <w:snapToGrid w:val="0"/>
        </w:rPr>
      </w:pPr>
      <w:bookmarkStart w:id="47" w:name="_Toc111021990"/>
      <w:r>
        <w:rPr>
          <w:rStyle w:val="CharSectno"/>
        </w:rPr>
        <w:t>11</w:t>
      </w:r>
      <w:r>
        <w:rPr>
          <w:snapToGrid w:val="0"/>
        </w:rPr>
        <w:t>.</w:t>
      </w:r>
      <w:r>
        <w:rPr>
          <w:snapToGrid w:val="0"/>
        </w:rPr>
        <w:tab/>
        <w:t>Plans and specifications, requirements for (Act s. 66(4) and (5))</w:t>
      </w:r>
      <w:bookmarkEnd w:id="4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lastRenderedPageBreak/>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lastRenderedPageBreak/>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8" w:name="_Toc111021991"/>
      <w:r>
        <w:rPr>
          <w:rStyle w:val="CharSectno"/>
        </w:rPr>
        <w:lastRenderedPageBreak/>
        <w:t>13</w:t>
      </w:r>
      <w:r>
        <w:rPr>
          <w:snapToGrid w:val="0"/>
        </w:rPr>
        <w:t>.</w:t>
      </w:r>
      <w:r>
        <w:rPr>
          <w:snapToGrid w:val="0"/>
        </w:rPr>
        <w:tab/>
        <w:t>Records as to applicant, requirements for (Act s. 68(1)(b))</w:t>
      </w:r>
      <w:bookmarkEnd w:id="4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9" w:name="_Toc111021992"/>
      <w:r>
        <w:rPr>
          <w:rStyle w:val="CharSectno"/>
        </w:rPr>
        <w:t>14A</w:t>
      </w:r>
      <w:r>
        <w:t>.</w:t>
      </w:r>
      <w:r>
        <w:tab/>
        <w:t xml:space="preserve">Types etc. of premises prescribed </w:t>
      </w:r>
      <w:r>
        <w:rPr>
          <w:snapToGrid w:val="0"/>
        </w:rPr>
        <w:t>(Act s. 77(5a)(b))</w:t>
      </w:r>
      <w:bookmarkEnd w:id="4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50" w:name="_Toc111021993"/>
      <w:r>
        <w:rPr>
          <w:rStyle w:val="CharSectno"/>
        </w:rPr>
        <w:t>14AA</w:t>
      </w:r>
      <w:r>
        <w:t>.</w:t>
      </w:r>
      <w:r>
        <w:tab/>
        <w:t>Area prescribed (Act s. 77A)</w:t>
      </w:r>
      <w:bookmarkEnd w:id="50"/>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51" w:name="_Toc111021994"/>
      <w:r>
        <w:rPr>
          <w:rStyle w:val="CharSectno"/>
        </w:rPr>
        <w:lastRenderedPageBreak/>
        <w:t>14AAA</w:t>
      </w:r>
      <w:r>
        <w:t>.</w:t>
      </w:r>
      <w:r>
        <w:tab/>
        <w:t>Distance prescribed (Act s. 77A)</w:t>
      </w:r>
      <w:bookmarkEnd w:id="51"/>
    </w:p>
    <w:p>
      <w:pPr>
        <w:pStyle w:val="Subsection"/>
        <w:keepNext/>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2" w:name="_Toc111021995"/>
      <w:r>
        <w:rPr>
          <w:rStyle w:val="CharSectno"/>
        </w:rPr>
        <w:t>14AB</w:t>
      </w:r>
      <w:r>
        <w:t>.</w:t>
      </w:r>
      <w:r>
        <w:tab/>
        <w:t xml:space="preserve">Requirement for lodgment of application prescribed </w:t>
      </w:r>
      <w:r>
        <w:rPr>
          <w:snapToGrid w:val="0"/>
        </w:rPr>
        <w:t>(Act s. </w:t>
      </w:r>
      <w:r>
        <w:t>75(1)(b))</w:t>
      </w:r>
      <w:bookmarkEnd w:id="52"/>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53" w:name="_Toc111021996"/>
      <w:r>
        <w:rPr>
          <w:rStyle w:val="CharSectno"/>
        </w:rPr>
        <w:t>14AC</w:t>
      </w:r>
      <w:r>
        <w:t>.</w:t>
      </w:r>
      <w:r>
        <w:tab/>
        <w:t xml:space="preserve">Requirement for lodgment of application prescribed </w:t>
      </w:r>
      <w:r>
        <w:rPr>
          <w:snapToGrid w:val="0"/>
        </w:rPr>
        <w:t>(Act s. </w:t>
      </w:r>
      <w:r>
        <w:t>76(1)(b))</w:t>
      </w:r>
      <w:bookmarkEnd w:id="53"/>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lastRenderedPageBreak/>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54" w:name="_Toc111021997"/>
      <w:r>
        <w:rPr>
          <w:rStyle w:val="CharSectno"/>
        </w:rPr>
        <w:t>14ADA</w:t>
      </w:r>
      <w:r>
        <w:t>.</w:t>
      </w:r>
      <w:r>
        <w:tab/>
        <w:t>Manager’s approval, application for (Act s. 102B)</w:t>
      </w:r>
      <w:bookmarkEnd w:id="54"/>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5" w:name="_Toc111021998"/>
      <w:r>
        <w:rPr>
          <w:rStyle w:val="CharSectno"/>
        </w:rPr>
        <w:lastRenderedPageBreak/>
        <w:t>14ADB</w:t>
      </w:r>
      <w:r>
        <w:t>.</w:t>
      </w:r>
      <w:r>
        <w:tab/>
        <w:t>Manager’s approval, conditions on (Act s. 102C)</w:t>
      </w:r>
      <w:bookmarkEnd w:id="5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6" w:name="_Toc111021999"/>
      <w:r>
        <w:rPr>
          <w:rStyle w:val="CharSectno"/>
        </w:rPr>
        <w:t>14ADC</w:t>
      </w:r>
      <w:r>
        <w:t>.</w:t>
      </w:r>
      <w:r>
        <w:tab/>
        <w:t>Manager’s approval, duration of (Act s. 102D)</w:t>
      </w:r>
      <w:bookmarkEnd w:id="56"/>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7" w:name="_Toc111022000"/>
      <w:r>
        <w:rPr>
          <w:rStyle w:val="CharSectno"/>
        </w:rPr>
        <w:lastRenderedPageBreak/>
        <w:t>14ADD</w:t>
      </w:r>
      <w:r>
        <w:t>.</w:t>
      </w:r>
      <w:r>
        <w:tab/>
        <w:t>Manager’s approval, renewal of (Act s. 102E)</w:t>
      </w:r>
      <w:bookmarkEnd w:id="5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8" w:name="_Toc111022001"/>
      <w:r>
        <w:rPr>
          <w:rStyle w:val="CharSectno"/>
        </w:rPr>
        <w:t>14ADE</w:t>
      </w:r>
      <w:r>
        <w:t>.</w:t>
      </w:r>
      <w:r>
        <w:tab/>
        <w:t>Approved manager, identification card for</w:t>
      </w:r>
      <w:bookmarkEnd w:id="5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lastRenderedPageBreak/>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9" w:name="_Toc111022002"/>
      <w:r>
        <w:rPr>
          <w:rStyle w:val="CharSectno"/>
        </w:rPr>
        <w:t>14ADF</w:t>
      </w:r>
      <w:r>
        <w:t>.</w:t>
      </w:r>
      <w:r>
        <w:tab/>
        <w:t>Lost etc. identification card, replacement of</w:t>
      </w:r>
      <w:bookmarkEnd w:id="5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60" w:name="_Toc111022003"/>
      <w:r>
        <w:rPr>
          <w:rStyle w:val="CharSectno"/>
        </w:rPr>
        <w:lastRenderedPageBreak/>
        <w:t>14ADG</w:t>
      </w:r>
      <w:r>
        <w:t>.</w:t>
      </w:r>
      <w:r>
        <w:tab/>
        <w:t>Transitioned approvals (Act Sch. 1B)</w:t>
      </w:r>
      <w:bookmarkEnd w:id="60"/>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61" w:name="_Toc111022004"/>
      <w:r>
        <w:rPr>
          <w:rStyle w:val="CharSectno"/>
        </w:rPr>
        <w:t>14AD</w:t>
      </w:r>
      <w:r>
        <w:t>.</w:t>
      </w:r>
      <w:r>
        <w:tab/>
        <w:t xml:space="preserve">Responsible practices in selling etc. liquor, courses on required </w:t>
      </w:r>
      <w:r>
        <w:rPr>
          <w:snapToGrid w:val="0"/>
        </w:rPr>
        <w:t>(Act s. </w:t>
      </w:r>
      <w:r>
        <w:t>103A(1)(a))</w:t>
      </w:r>
      <w:bookmarkEnd w:id="61"/>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lastRenderedPageBreak/>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lastRenderedPageBreak/>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2" w:name="_Toc111022005"/>
      <w:r>
        <w:rPr>
          <w:rStyle w:val="CharSectno"/>
        </w:rPr>
        <w:t>14AE</w:t>
      </w:r>
      <w:r>
        <w:t>.</w:t>
      </w:r>
      <w:r>
        <w:tab/>
        <w:t>Offences for r. 14AD</w:t>
      </w:r>
      <w:bookmarkEnd w:id="62"/>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keepNext/>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lastRenderedPageBreak/>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63" w:name="_Toc111022006"/>
      <w:r>
        <w:rPr>
          <w:rStyle w:val="CharSectno"/>
        </w:rPr>
        <w:t>14AG</w:t>
      </w:r>
      <w:r>
        <w:t>.</w:t>
      </w:r>
      <w:r>
        <w:tab/>
        <w:t>Licensee to maintain register </w:t>
      </w:r>
      <w:r>
        <w:rPr>
          <w:snapToGrid w:val="0"/>
        </w:rPr>
        <w:t>(Act s. </w:t>
      </w:r>
      <w:r>
        <w:t>103A(1)(b))</w:t>
      </w:r>
      <w:bookmarkEnd w:id="63"/>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lastRenderedPageBreak/>
        <w:t>[</w:t>
      </w:r>
      <w:r>
        <w:rPr>
          <w:b/>
          <w:bCs/>
        </w:rPr>
        <w:t>15.</w:t>
      </w:r>
      <w:r>
        <w:tab/>
        <w:t>Deleted: Gazette 28 Sep 2007 p. 4929.]</w:t>
      </w:r>
    </w:p>
    <w:p>
      <w:pPr>
        <w:pStyle w:val="Heading5"/>
        <w:keepLines w:val="0"/>
        <w:widowControl w:val="0"/>
        <w:spacing w:before="210"/>
        <w:rPr>
          <w:snapToGrid w:val="0"/>
        </w:rPr>
      </w:pPr>
      <w:bookmarkStart w:id="64" w:name="_Toc111022007"/>
      <w:r>
        <w:rPr>
          <w:rStyle w:val="CharSectno"/>
        </w:rPr>
        <w:t>16</w:t>
      </w:r>
      <w:r>
        <w:rPr>
          <w:snapToGrid w:val="0"/>
        </w:rPr>
        <w:t>.</w:t>
      </w:r>
      <w:r>
        <w:rPr>
          <w:snapToGrid w:val="0"/>
        </w:rPr>
        <w:tab/>
        <w:t>Amount of liability prescribed (Act s. 107)</w:t>
      </w:r>
      <w:bookmarkEnd w:id="6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5" w:name="_Toc111022008"/>
      <w:r>
        <w:rPr>
          <w:rStyle w:val="CharSectno"/>
        </w:rPr>
        <w:t>16AA</w:t>
      </w:r>
      <w:r>
        <w:t>.</w:t>
      </w:r>
      <w:r>
        <w:tab/>
        <w:t>Quantity and area for offence (Act s. 109A)</w:t>
      </w:r>
      <w:bookmarkEnd w:id="65"/>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keepNext/>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t>a restricted area.</w:t>
      </w:r>
    </w:p>
    <w:p>
      <w:pPr>
        <w:pStyle w:val="THeadingNAm"/>
      </w:pPr>
      <w:r>
        <w:lastRenderedPageBreak/>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 xml:space="preserve">Liquor, comprising fortified wine, with an </w:t>
            </w:r>
            <w:r>
              <w:lastRenderedPageBreak/>
              <w:t>alcohol content greater than 15%</w:t>
            </w:r>
          </w:p>
        </w:tc>
        <w:tc>
          <w:tcPr>
            <w:tcW w:w="1794" w:type="dxa"/>
            <w:noWrap/>
            <w:vAlign w:val="bottom"/>
          </w:tcPr>
          <w:p>
            <w:pPr>
              <w:pStyle w:val="TableNAm"/>
              <w:tabs>
                <w:tab w:val="clear" w:pos="567"/>
              </w:tabs>
              <w:ind w:right="662"/>
              <w:jc w:val="right"/>
            </w:pPr>
            <w:r>
              <w:lastRenderedPageBreak/>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tab/>
        <w:t>[Regulation 16AA inserted: SL 2021/163 r. 4; amended: SL 2021/207 r. 8.]</w:t>
      </w:r>
    </w:p>
    <w:p>
      <w:pPr>
        <w:pStyle w:val="Heading5"/>
      </w:pPr>
      <w:bookmarkStart w:id="66" w:name="_Toc111022009"/>
      <w:r>
        <w:rPr>
          <w:rStyle w:val="CharSectno"/>
        </w:rPr>
        <w:t>16AB</w:t>
      </w:r>
      <w:r>
        <w:t>.</w:t>
      </w:r>
      <w:r>
        <w:tab/>
        <w:t>Persons of prescribed class (Act s. 109A(4)(b))</w:t>
      </w:r>
      <w:bookmarkEnd w:id="66"/>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lastRenderedPageBreak/>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67" w:name="_Toc111022010"/>
      <w:r>
        <w:rPr>
          <w:rStyle w:val="CharSectno"/>
        </w:rPr>
        <w:t>16AC</w:t>
      </w:r>
      <w:r>
        <w:t>.</w:t>
      </w:r>
      <w:r>
        <w:tab/>
        <w:t>Vehicles of prescribed class (Act s. 109A(4)(c))</w:t>
      </w:r>
      <w:bookmarkEnd w:id="67"/>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68" w:name="_Toc111022011"/>
      <w:r>
        <w:rPr>
          <w:rStyle w:val="CharSectno"/>
        </w:rPr>
        <w:t>16AD</w:t>
      </w:r>
      <w:r>
        <w:t>.</w:t>
      </w:r>
      <w:r>
        <w:tab/>
        <w:t>Prescribed circumstance (Act s. 109A(4)(d))</w:t>
      </w:r>
      <w:bookmarkEnd w:id="68"/>
    </w:p>
    <w:p>
      <w:pPr>
        <w:pStyle w:val="Subsection"/>
      </w:pPr>
      <w:r>
        <w:tab/>
      </w:r>
      <w:r>
        <w:tab/>
        <w:t xml:space="preserve">For the purposes of section 109A(4)(d) of the Act, the circumstance prescribed is that the liquor was carried in a </w:t>
      </w:r>
      <w:r>
        <w:lastRenderedPageBreak/>
        <w:t xml:space="preserve">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69" w:name="_Toc111022012"/>
      <w:r>
        <w:rPr>
          <w:rStyle w:val="CharSectno"/>
        </w:rPr>
        <w:t>16A</w:t>
      </w:r>
      <w:r>
        <w:t>.</w:t>
      </w:r>
      <w:r>
        <w:tab/>
        <w:t xml:space="preserve">Sports arenas prescribed (Act s. 110(4B) </w:t>
      </w:r>
      <w:r>
        <w:rPr>
          <w:i/>
        </w:rPr>
        <w:t>sports arena</w:t>
      </w:r>
      <w:r>
        <w:t>)</w:t>
      </w:r>
      <w:bookmarkEnd w:id="6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lastRenderedPageBreak/>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70" w:name="_Toc111022013"/>
      <w:r>
        <w:rPr>
          <w:rStyle w:val="CharSectno"/>
        </w:rPr>
        <w:t>17</w:t>
      </w:r>
      <w:r>
        <w:rPr>
          <w:snapToGrid w:val="0"/>
        </w:rPr>
        <w:t>.</w:t>
      </w:r>
      <w:r>
        <w:rPr>
          <w:snapToGrid w:val="0"/>
        </w:rPr>
        <w:tab/>
        <w:t>Out of bounds area, notice for (Act s. 121(6))</w:t>
      </w:r>
      <w:bookmarkEnd w:id="7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71" w:name="_Toc111022014"/>
      <w:r>
        <w:rPr>
          <w:rStyle w:val="CharSectno"/>
        </w:rPr>
        <w:t>18</w:t>
      </w:r>
      <w:r>
        <w:t>.</w:t>
      </w:r>
      <w:r>
        <w:tab/>
        <w:t>Premises prescribed to be regulated premises (Act s. 122(1)(f))</w:t>
      </w:r>
      <w:bookmarkEnd w:id="7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lastRenderedPageBreak/>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72" w:name="_Toc111022015"/>
      <w:r>
        <w:rPr>
          <w:rStyle w:val="CharSectno"/>
        </w:rPr>
        <w:t>18A</w:t>
      </w:r>
      <w:r>
        <w:rPr>
          <w:snapToGrid w:val="0"/>
        </w:rPr>
        <w:t>.</w:t>
      </w:r>
      <w:r>
        <w:rPr>
          <w:snapToGrid w:val="0"/>
        </w:rPr>
        <w:tab/>
        <w:t>Documents prescribed as evidence of age etc. (Act s. 126(1)(b)(i)(III) and s. 160(1))</w:t>
      </w:r>
      <w:bookmarkEnd w:id="7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lastRenderedPageBreak/>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keepLines w:val="0"/>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73" w:name="_Toc111022016"/>
      <w:r>
        <w:rPr>
          <w:rStyle w:val="CharSectno"/>
        </w:rPr>
        <w:t>18B</w:t>
      </w:r>
      <w:r>
        <w:rPr>
          <w:snapToGrid w:val="0"/>
        </w:rPr>
        <w:t>.</w:t>
      </w:r>
      <w:r>
        <w:rPr>
          <w:snapToGrid w:val="0"/>
        </w:rPr>
        <w:tab/>
        <w:t>Proof of age card, issue of etc.</w:t>
      </w:r>
      <w:bookmarkEnd w:id="7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lastRenderedPageBreak/>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 xml:space="preserve">[Regulation 18B inserted: Gazette 3 Dec 1996 p. 6690; amended: Gazette 14 Nov 1997 p. 6446; 30 Jun 2003 p. 2612; </w:t>
      </w:r>
      <w:r>
        <w:lastRenderedPageBreak/>
        <w:t>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74" w:name="_Toc111022017"/>
      <w:r>
        <w:rPr>
          <w:rStyle w:val="CharSectno"/>
        </w:rPr>
        <w:t>18C</w:t>
      </w:r>
      <w:r>
        <w:rPr>
          <w:snapToGrid w:val="0"/>
        </w:rPr>
        <w:t>.</w:t>
      </w:r>
      <w:r>
        <w:rPr>
          <w:snapToGrid w:val="0"/>
        </w:rPr>
        <w:tab/>
        <w:t>Proof of age card, form etc. of (r. 18B)</w:t>
      </w:r>
      <w:bookmarkEnd w:id="7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Lines w:val="0"/>
        <w:spacing w:before="280"/>
        <w:rPr>
          <w:snapToGrid w:val="0"/>
        </w:rPr>
      </w:pPr>
      <w:bookmarkStart w:id="75" w:name="_Toc111022018"/>
      <w:r>
        <w:rPr>
          <w:rStyle w:val="CharSectno"/>
        </w:rPr>
        <w:t>18D</w:t>
      </w:r>
      <w:r>
        <w:rPr>
          <w:snapToGrid w:val="0"/>
        </w:rPr>
        <w:t>.</w:t>
      </w:r>
      <w:r>
        <w:rPr>
          <w:snapToGrid w:val="0"/>
        </w:rPr>
        <w:tab/>
        <w:t>Lost etc. proof of age card, replacement of</w:t>
      </w:r>
      <w:bookmarkEnd w:id="7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6" w:name="_Toc111022019"/>
      <w:r>
        <w:rPr>
          <w:rStyle w:val="CharSectno"/>
        </w:rPr>
        <w:t>18E</w:t>
      </w:r>
      <w:r>
        <w:rPr>
          <w:snapToGrid w:val="0"/>
        </w:rPr>
        <w:t>.</w:t>
      </w:r>
      <w:r>
        <w:rPr>
          <w:snapToGrid w:val="0"/>
        </w:rPr>
        <w:tab/>
        <w:t>Agreement or arrangement prescribed (Act s. 104(2))</w:t>
      </w:r>
      <w:bookmarkEnd w:id="76"/>
    </w:p>
    <w:p>
      <w:pPr>
        <w:pStyle w:val="Subsection"/>
        <w:rPr>
          <w:snapToGrid w:val="0"/>
        </w:rPr>
      </w:pPr>
      <w:r>
        <w:rPr>
          <w:snapToGrid w:val="0"/>
        </w:rPr>
        <w:tab/>
      </w:r>
      <w:r>
        <w:rPr>
          <w:snapToGrid w:val="0"/>
        </w:rPr>
        <w:tab/>
        <w:t xml:space="preserve">For the purposes of section 104(2), an agreement or arrangement entered into by a licensee which is a body corporate under which the proceeds from the business carried on under the licence are distributed by way of dividends to </w:t>
      </w:r>
      <w:r>
        <w:rPr>
          <w:snapToGrid w:val="0"/>
        </w:rPr>
        <w:lastRenderedPageBreak/>
        <w:t>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7" w:name="_Toc111022020"/>
      <w:r>
        <w:rPr>
          <w:rStyle w:val="CharSectno"/>
        </w:rPr>
        <w:t>18EA</w:t>
      </w:r>
      <w:r>
        <w:t>.</w:t>
      </w:r>
      <w:r>
        <w:tab/>
        <w:t>Information prescribed for websites (Act s. 113A)</w:t>
      </w:r>
      <w:bookmarkEnd w:id="7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keepNext/>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lastRenderedPageBreak/>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8" w:name="_Toc111022021"/>
      <w:r>
        <w:rPr>
          <w:rStyle w:val="CharSectno"/>
        </w:rPr>
        <w:t>18EBA</w:t>
      </w:r>
      <w:r>
        <w:t>.</w:t>
      </w:r>
      <w:r>
        <w:tab/>
        <w:t xml:space="preserve">Persons prescribed (Act s. 115AC(1A) </w:t>
      </w:r>
      <w:r>
        <w:rPr>
          <w:i/>
        </w:rPr>
        <w:t>secure webpage</w:t>
      </w:r>
      <w:r>
        <w:t>)</w:t>
      </w:r>
      <w:bookmarkEnd w:id="7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9" w:name="_Toc111022022"/>
      <w:r>
        <w:rPr>
          <w:rStyle w:val="CharSectno"/>
        </w:rPr>
        <w:t>18EB</w:t>
      </w:r>
      <w:r>
        <w:t>.</w:t>
      </w:r>
      <w:r>
        <w:tab/>
        <w:t>Incidents and information prescribed for register (Act s. 116A)</w:t>
      </w:r>
      <w:bookmarkEnd w:id="79"/>
    </w:p>
    <w:p>
      <w:pPr>
        <w:pStyle w:val="Subsection"/>
        <w:keepNext/>
      </w:pPr>
      <w:r>
        <w:tab/>
        <w:t>(1)</w:t>
      </w:r>
      <w:r>
        <w:tab/>
        <w:t>For the purposes of section 116A(1), the following incidents that take place at licensed premises are prescribed —</w:t>
      </w:r>
    </w:p>
    <w:p>
      <w:pPr>
        <w:pStyle w:val="Indenta"/>
        <w:keepNext/>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lastRenderedPageBreak/>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 xml:space="preserve">details of any action taken by the licensee, a manager or an employee in response to the incident, including any action taken to notify the licensing authority or a </w:t>
      </w:r>
      <w:r>
        <w:lastRenderedPageBreak/>
        <w:t>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80" w:name="_Toc111022023"/>
      <w:r>
        <w:rPr>
          <w:rStyle w:val="CharSectno"/>
        </w:rPr>
        <w:t>18EC</w:t>
      </w:r>
      <w:r>
        <w:t>.</w:t>
      </w:r>
      <w:r>
        <w:tab/>
        <w:t>Prescribed incidents involving physical force</w:t>
      </w:r>
      <w:bookmarkEnd w:id="8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lastRenderedPageBreak/>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81" w:name="_Toc111022024"/>
      <w:r>
        <w:rPr>
          <w:rStyle w:val="CharSectno"/>
        </w:rPr>
        <w:t>18F</w:t>
      </w:r>
      <w:r>
        <w:t>.</w:t>
      </w:r>
      <w:r>
        <w:tab/>
        <w:t>Training courses prescribed (Act s. 121(11)(d))</w:t>
      </w:r>
      <w:bookmarkEnd w:id="8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Lines w:val="0"/>
      </w:pPr>
      <w:bookmarkStart w:id="82" w:name="_Toc111022025"/>
      <w:r>
        <w:rPr>
          <w:rStyle w:val="CharSectno"/>
        </w:rPr>
        <w:lastRenderedPageBreak/>
        <w:t>18G</w:t>
      </w:r>
      <w:r>
        <w:t>.</w:t>
      </w:r>
      <w:r>
        <w:tab/>
        <w:t>Confiscated document, how to be dealt with (Act s. 126(2b))</w:t>
      </w:r>
      <w:bookmarkEnd w:id="8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83" w:name="_Toc111022026"/>
      <w:r>
        <w:rPr>
          <w:rStyle w:val="CharSectno"/>
        </w:rPr>
        <w:t>18H</w:t>
      </w:r>
      <w:r>
        <w:t>.</w:t>
      </w:r>
      <w:r>
        <w:tab/>
        <w:t>Provisions prescribed (Act s. 126E(4))</w:t>
      </w:r>
      <w:bookmarkEnd w:id="8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84" w:name="_Toc111022027"/>
      <w:r>
        <w:rPr>
          <w:rStyle w:val="CharSectno"/>
        </w:rPr>
        <w:t>19</w:t>
      </w:r>
      <w:r>
        <w:rPr>
          <w:snapToGrid w:val="0"/>
        </w:rPr>
        <w:t>.</w:t>
      </w:r>
      <w:r>
        <w:rPr>
          <w:snapToGrid w:val="0"/>
        </w:rPr>
        <w:tab/>
        <w:t>Subsidy, application for</w:t>
      </w:r>
      <w:bookmarkEnd w:id="8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Lines w:val="0"/>
        <w:rPr>
          <w:snapToGrid w:val="0"/>
        </w:rPr>
      </w:pPr>
      <w:bookmarkStart w:id="85" w:name="_Toc111022028"/>
      <w:r>
        <w:rPr>
          <w:rStyle w:val="CharSectno"/>
        </w:rPr>
        <w:lastRenderedPageBreak/>
        <w:t>20</w:t>
      </w:r>
      <w:r>
        <w:rPr>
          <w:snapToGrid w:val="0"/>
        </w:rPr>
        <w:t>.</w:t>
      </w:r>
      <w:r>
        <w:rPr>
          <w:snapToGrid w:val="0"/>
        </w:rPr>
        <w:tab/>
        <w:t xml:space="preserve">Persons prescribed (Act s. 129 </w:t>
      </w:r>
      <w:r>
        <w:rPr>
          <w:i/>
          <w:snapToGrid w:val="0"/>
        </w:rPr>
        <w:t>wholesaler</w:t>
      </w:r>
      <w:r>
        <w:rPr>
          <w:snapToGrid w:val="0"/>
        </w:rPr>
        <w:t>)</w:t>
      </w:r>
      <w:bookmarkEnd w:id="85"/>
    </w:p>
    <w:p>
      <w:pPr>
        <w:pStyle w:val="Subsection"/>
        <w:keepNext/>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6" w:name="_Toc111022029"/>
      <w:r>
        <w:rPr>
          <w:rStyle w:val="CharSectno"/>
        </w:rPr>
        <w:t>21</w:t>
      </w:r>
      <w:r>
        <w:t>.</w:t>
      </w:r>
      <w:r>
        <w:tab/>
        <w:t>Wholesaler, subsidy for (Act s. 130)</w:t>
      </w:r>
      <w:bookmarkEnd w:id="86"/>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lastRenderedPageBreak/>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7" w:name="_Toc111022030"/>
      <w:r>
        <w:rPr>
          <w:rStyle w:val="CharSectno"/>
        </w:rPr>
        <w:t>21A</w:t>
      </w:r>
      <w:r>
        <w:t>.</w:t>
      </w:r>
      <w:r>
        <w:tab/>
        <w:t>Wine producer, subsidy for (Act s. 130)</w:t>
      </w:r>
      <w:bookmarkEnd w:id="87"/>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15.35pt" o:ole="">
            <v:imagedata r:id="rId21" o:title=""/>
          </v:shape>
          <o:OLEObject Type="Embed" ProgID="Equation.3" ShapeID="_x0000_i1025" DrawAspect="Content" ObjectID="_1721734770" r:id="rId22"/>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 xml:space="preserve">wine fermented by a wine maker from the produce of the producer in this State and sold by the wine maker to </w:t>
      </w:r>
      <w:r>
        <w:lastRenderedPageBreak/>
        <w:t>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6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8" w:name="_Toc111022031"/>
      <w:r>
        <w:rPr>
          <w:rStyle w:val="CharSectno"/>
        </w:rPr>
        <w:t>21AC</w:t>
      </w:r>
      <w:r>
        <w:rPr>
          <w:snapToGrid w:val="0"/>
        </w:rPr>
        <w:t>.</w:t>
      </w:r>
      <w:r>
        <w:rPr>
          <w:snapToGrid w:val="0"/>
        </w:rPr>
        <w:tab/>
        <w:t>Subsidy payable once in respect of sale of liquor</w:t>
      </w:r>
      <w:bookmarkEnd w:id="8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9" w:name="_Toc111022032"/>
      <w:r>
        <w:rPr>
          <w:rStyle w:val="CharSectno"/>
        </w:rPr>
        <w:t>21B</w:t>
      </w:r>
      <w:r>
        <w:rPr>
          <w:snapToGrid w:val="0"/>
        </w:rPr>
        <w:t>.</w:t>
      </w:r>
      <w:r>
        <w:rPr>
          <w:snapToGrid w:val="0"/>
        </w:rPr>
        <w:tab/>
        <w:t xml:space="preserve">Subsidy, conditions imposed by Director as to </w:t>
      </w:r>
      <w:r>
        <w:t>(Act s. 130(2))</w:t>
      </w:r>
      <w:bookmarkEnd w:id="8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90" w:name="_Toc111022033"/>
      <w:r>
        <w:rPr>
          <w:rStyle w:val="CharSectno"/>
        </w:rPr>
        <w:t>21C</w:t>
      </w:r>
      <w:r>
        <w:rPr>
          <w:snapToGrid w:val="0"/>
        </w:rPr>
        <w:t>.</w:t>
      </w:r>
      <w:r>
        <w:rPr>
          <w:snapToGrid w:val="0"/>
        </w:rPr>
        <w:tab/>
        <w:t>Licensees prescribed </w:t>
      </w:r>
      <w:r>
        <w:t>(Act s. </w:t>
      </w:r>
      <w:r>
        <w:rPr>
          <w:snapToGrid w:val="0"/>
        </w:rPr>
        <w:t>145(1))</w:t>
      </w:r>
      <w:bookmarkEnd w:id="9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91" w:name="_Toc111022034"/>
      <w:r>
        <w:rPr>
          <w:rStyle w:val="CharSectno"/>
        </w:rPr>
        <w:lastRenderedPageBreak/>
        <w:t>22</w:t>
      </w:r>
      <w:r>
        <w:rPr>
          <w:snapToGrid w:val="0"/>
        </w:rPr>
        <w:t>.</w:t>
      </w:r>
      <w:r>
        <w:rPr>
          <w:snapToGrid w:val="0"/>
        </w:rPr>
        <w:tab/>
        <w:t xml:space="preserve">Records prescribed etc. </w:t>
      </w:r>
      <w:r>
        <w:t>(Act s. </w:t>
      </w:r>
      <w:r>
        <w:rPr>
          <w:snapToGrid w:val="0"/>
        </w:rPr>
        <w:t>145)</w:t>
      </w:r>
      <w:bookmarkEnd w:id="9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keepNext/>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lastRenderedPageBreak/>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 xml:space="preserve">in the case of transactions involving the sale or other disposal of liquor by the holder of a wholesaler’s licence, special facility licence or a producer’s licence </w:t>
      </w:r>
      <w:r>
        <w:rPr>
          <w:snapToGrid w:val="0"/>
        </w:rPr>
        <w:lastRenderedPageBreak/>
        <w:t>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92" w:name="_Toc111022035"/>
      <w:r>
        <w:rPr>
          <w:rStyle w:val="CharSectno"/>
        </w:rPr>
        <w:t>23</w:t>
      </w:r>
      <w:r>
        <w:rPr>
          <w:snapToGrid w:val="0"/>
        </w:rPr>
        <w:t>.</w:t>
      </w:r>
      <w:r>
        <w:rPr>
          <w:snapToGrid w:val="0"/>
        </w:rPr>
        <w:tab/>
        <w:t xml:space="preserve">Returns, verification and lodgment of </w:t>
      </w:r>
      <w:r>
        <w:t>(Act s. 146)</w:t>
      </w:r>
      <w:bookmarkEnd w:id="9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lastRenderedPageBreak/>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93" w:name="_Toc111022036"/>
      <w:r>
        <w:rPr>
          <w:rStyle w:val="CharSectno"/>
        </w:rPr>
        <w:t>24</w:t>
      </w:r>
      <w:r>
        <w:rPr>
          <w:snapToGrid w:val="0"/>
        </w:rPr>
        <w:t>.</w:t>
      </w:r>
      <w:r>
        <w:rPr>
          <w:snapToGrid w:val="0"/>
        </w:rPr>
        <w:tab/>
        <w:t xml:space="preserve">Return of information required etc. </w:t>
      </w:r>
      <w:r>
        <w:t>(Act s. 145)</w:t>
      </w:r>
      <w:bookmarkEnd w:id="9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 xml:space="preserve">where the licensee is the holder of a producer’s licence, a special facility licence or a wholesaler’s licence, the name and address of each liquor merchant to whom </w:t>
      </w:r>
      <w:r>
        <w:rPr>
          <w:snapToGrid w:val="0"/>
        </w:rPr>
        <w:lastRenderedPageBreak/>
        <w:t>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lastRenderedPageBreak/>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94" w:name="_Toc111022037"/>
      <w:r>
        <w:rPr>
          <w:rStyle w:val="CharSectno"/>
        </w:rPr>
        <w:t>25A</w:t>
      </w:r>
      <w:r>
        <w:t>.</w:t>
      </w:r>
      <w:r>
        <w:tab/>
        <w:t>Class of persons prescribed (Act s. 152P(4)(b))</w:t>
      </w:r>
      <w:bookmarkEnd w:id="9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95" w:name="_Toc111022038"/>
      <w:r>
        <w:rPr>
          <w:rStyle w:val="CharSectno"/>
        </w:rPr>
        <w:t>25</w:t>
      </w:r>
      <w:r>
        <w:rPr>
          <w:snapToGrid w:val="0"/>
        </w:rPr>
        <w:t>.</w:t>
      </w:r>
      <w:r>
        <w:rPr>
          <w:snapToGrid w:val="0"/>
        </w:rPr>
        <w:tab/>
        <w:t>Money payable under Act, how payable</w:t>
      </w:r>
      <w:bookmarkEnd w:id="9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6" w:name="_Toc111022039"/>
      <w:r>
        <w:rPr>
          <w:rStyle w:val="CharSectno"/>
        </w:rPr>
        <w:t>26</w:t>
      </w:r>
      <w:r>
        <w:rPr>
          <w:snapToGrid w:val="0"/>
        </w:rPr>
        <w:t>.</w:t>
      </w:r>
      <w:r>
        <w:rPr>
          <w:snapToGrid w:val="0"/>
        </w:rPr>
        <w:tab/>
        <w:t>Fees generally (Sch. 3)</w:t>
      </w:r>
      <w:bookmarkEnd w:id="96"/>
    </w:p>
    <w:p>
      <w:pPr>
        <w:pStyle w:val="Subsection"/>
      </w:pPr>
      <w:r>
        <w:tab/>
        <w:t>(1)</w:t>
      </w:r>
      <w:r>
        <w:tab/>
        <w:t>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w:t>
      </w:r>
      <w:r>
        <w:lastRenderedPageBreak/>
        <w:t>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 xml:space="preserve">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w:t>
      </w:r>
      <w:r>
        <w:rPr>
          <w:snapToGrid w:val="0"/>
        </w:rPr>
        <w:lastRenderedPageBreak/>
        <w:t>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7" w:name="_Toc111022040"/>
      <w:r>
        <w:rPr>
          <w:rStyle w:val="CharSectno"/>
        </w:rPr>
        <w:t>27A</w:t>
      </w:r>
      <w:r>
        <w:t>.</w:t>
      </w:r>
      <w:r>
        <w:tab/>
        <w:t>Reduction in licence fee for new licences</w:t>
      </w:r>
      <w:bookmarkEnd w:id="9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lastRenderedPageBreak/>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8" w:name="_Toc111022041"/>
      <w:r>
        <w:rPr>
          <w:rStyle w:val="CharSectno"/>
        </w:rPr>
        <w:t>27</w:t>
      </w:r>
      <w:r>
        <w:rPr>
          <w:snapToGrid w:val="0"/>
        </w:rPr>
        <w:t>.</w:t>
      </w:r>
      <w:r>
        <w:rPr>
          <w:snapToGrid w:val="0"/>
        </w:rPr>
        <w:tab/>
      </w:r>
      <w:r>
        <w:t>Prescribed offences for infringement notices (Act s. 167(2))</w:t>
      </w:r>
      <w:bookmarkEnd w:id="98"/>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lastRenderedPageBreak/>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lastRenderedPageBreak/>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lastRenderedPageBreak/>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lastRenderedPageBreak/>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lastRenderedPageBreak/>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lastRenderedPageBreak/>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99" w:name="_Toc110952217"/>
      <w:bookmarkStart w:id="100" w:name="_Toc110952374"/>
      <w:bookmarkStart w:id="101" w:name="_Toc111022042"/>
      <w:r>
        <w:rPr>
          <w:rStyle w:val="CharSchNo"/>
        </w:rPr>
        <w:lastRenderedPageBreak/>
        <w:t>Schedule 1</w:t>
      </w:r>
      <w:bookmarkEnd w:id="99"/>
      <w:bookmarkEnd w:id="100"/>
      <w:bookmarkEnd w:id="101"/>
    </w:p>
    <w:p>
      <w:pPr>
        <w:pStyle w:val="yShoulderClause"/>
        <w:spacing w:before="60"/>
        <w:rPr>
          <w:snapToGrid w:val="0"/>
        </w:rPr>
      </w:pPr>
      <w:r>
        <w:rPr>
          <w:snapToGrid w:val="0"/>
        </w:rPr>
        <w:t>[Regulation 3]</w:t>
      </w:r>
    </w:p>
    <w:p>
      <w:pPr>
        <w:pStyle w:val="yHeading2"/>
        <w:outlineLvl w:val="9"/>
      </w:pPr>
      <w:bookmarkStart w:id="102" w:name="_Toc110952218"/>
      <w:bookmarkStart w:id="103" w:name="_Toc110952375"/>
      <w:bookmarkStart w:id="104" w:name="_Toc111022043"/>
      <w:r>
        <w:rPr>
          <w:rStyle w:val="CharSchText"/>
        </w:rPr>
        <w:t>Forms</w:t>
      </w:r>
      <w:bookmarkEnd w:id="102"/>
      <w:bookmarkEnd w:id="103"/>
      <w:bookmarkEnd w:id="104"/>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lastRenderedPageBreak/>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lastRenderedPageBreak/>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lastRenderedPageBreak/>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lastRenderedPageBreak/>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5" w:name="_Toc110952219"/>
      <w:bookmarkStart w:id="106" w:name="_Toc110952376"/>
      <w:bookmarkStart w:id="107" w:name="_Toc111022044"/>
      <w:r>
        <w:rPr>
          <w:rStyle w:val="CharSchNo"/>
        </w:rPr>
        <w:lastRenderedPageBreak/>
        <w:t>Schedule 2</w:t>
      </w:r>
      <w:bookmarkEnd w:id="105"/>
      <w:bookmarkEnd w:id="106"/>
      <w:bookmarkEnd w:id="107"/>
    </w:p>
    <w:p>
      <w:pPr>
        <w:pStyle w:val="yShoulderClause"/>
        <w:spacing w:before="60"/>
        <w:rPr>
          <w:snapToGrid w:val="0"/>
        </w:rPr>
      </w:pPr>
      <w:r>
        <w:rPr>
          <w:snapToGrid w:val="0"/>
        </w:rPr>
        <w:t>[Regulation 13]</w:t>
      </w:r>
    </w:p>
    <w:p>
      <w:pPr>
        <w:pStyle w:val="yHeading2"/>
        <w:spacing w:before="120" w:after="80"/>
      </w:pPr>
      <w:bookmarkStart w:id="108" w:name="_Toc110952220"/>
      <w:bookmarkStart w:id="109" w:name="_Toc110952377"/>
      <w:bookmarkStart w:id="110" w:name="_Toc111022045"/>
      <w:r>
        <w:rPr>
          <w:rStyle w:val="CharSchText"/>
        </w:rPr>
        <w:t>Details of applicant</w:t>
      </w:r>
      <w:bookmarkEnd w:id="108"/>
      <w:bookmarkEnd w:id="109"/>
      <w:bookmarkEnd w:id="11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11" w:name="_Toc110952221"/>
      <w:bookmarkStart w:id="112" w:name="_Toc110952378"/>
      <w:bookmarkStart w:id="113" w:name="_Toc111022046"/>
      <w:r>
        <w:rPr>
          <w:rStyle w:val="CharSchNo"/>
        </w:rPr>
        <w:lastRenderedPageBreak/>
        <w:t>Schedule 3</w:t>
      </w:r>
      <w:r>
        <w:t> — </w:t>
      </w:r>
      <w:r>
        <w:rPr>
          <w:rStyle w:val="CharSchText"/>
        </w:rPr>
        <w:t>Fees</w:t>
      </w:r>
      <w:bookmarkEnd w:id="111"/>
      <w:bookmarkEnd w:id="112"/>
      <w:bookmarkEnd w:id="113"/>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lastRenderedPageBreak/>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lastRenderedPageBreak/>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14" w:name="_Toc110952222"/>
      <w:bookmarkStart w:id="115" w:name="_Toc110952379"/>
      <w:bookmarkStart w:id="116" w:name="_Toc111022047"/>
      <w:r>
        <w:lastRenderedPageBreak/>
        <w:t>Notes</w:t>
      </w:r>
      <w:bookmarkEnd w:id="114"/>
      <w:bookmarkEnd w:id="115"/>
      <w:bookmarkEnd w:id="116"/>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7" w:name="_Toc111022048"/>
      <w:r>
        <w:t>Compilation table</w:t>
      </w:r>
      <w:bookmarkEnd w:id="11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lastRenderedPageBreak/>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lastRenderedPageBreak/>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(No. 3) 2021</w:t>
            </w:r>
          </w:p>
        </w:tc>
        <w:tc>
          <w:tcPr>
            <w:tcW w:w="1276" w:type="dxa"/>
            <w:tcBorders>
              <w:top w:val="nil"/>
              <w:bottom w:val="nil"/>
            </w:tcBorders>
            <w:shd w:val="clear" w:color="auto" w:fill="auto"/>
          </w:tcPr>
          <w:p>
            <w:pPr>
              <w:pStyle w:val="nTable"/>
              <w:keepNext/>
              <w:spacing w:after="40"/>
            </w:pPr>
            <w:r>
              <w:t>SL 2021/163 17 Sep 2021</w:t>
            </w:r>
          </w:p>
        </w:tc>
        <w:tc>
          <w:tcPr>
            <w:tcW w:w="269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Liquor Control Amendment Regulations (No. 2) 2021</w:t>
            </w:r>
          </w:p>
        </w:tc>
        <w:tc>
          <w:tcPr>
            <w:tcW w:w="1276" w:type="dxa"/>
            <w:tcBorders>
              <w:bottom w:val="single" w:sz="4" w:space="0" w:color="auto"/>
            </w:tcBorders>
            <w:shd w:val="clear" w:color="auto" w:fill="auto"/>
          </w:tcPr>
          <w:p>
            <w:pPr>
              <w:pStyle w:val="nTable"/>
              <w:keepNext/>
              <w:spacing w:after="40"/>
            </w:pPr>
            <w:r>
              <w:t>SL 2021/207 3 Dec 2021</w:t>
            </w:r>
          </w:p>
        </w:tc>
        <w:tc>
          <w:tcPr>
            <w:tcW w:w="2693" w:type="dxa"/>
            <w:tcBorders>
              <w:bottom w:val="single" w:sz="4" w:space="0" w:color="auto"/>
            </w:tcBorders>
            <w:shd w:val="clear" w:color="auto" w:fill="auto"/>
          </w:tcPr>
          <w:p>
            <w:pPr>
              <w:pStyle w:val="nTable"/>
              <w:keepNext/>
              <w:spacing w:after="40"/>
              <w:rPr>
                <w:bCs/>
                <w:snapToGrid w:val="0"/>
                <w:spacing w:val="-2"/>
              </w:rPr>
            </w:pPr>
            <w:r>
              <w:t>1 Feb 2022 (see r. 2 and SL 2021/198 cl. 2)</w:t>
            </w:r>
          </w:p>
        </w:tc>
      </w:tr>
    </w:tbl>
    <w:p>
      <w:pPr>
        <w:pStyle w:val="nHeading3"/>
      </w:pPr>
      <w:bookmarkStart w:id="118" w:name="_Toc111022049"/>
      <w:r>
        <w:t>Uncommenced provisions table</w:t>
      </w:r>
      <w:bookmarkEnd w:id="11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Racing and Gaming Regulations Amendment (Fees and Charges) Regulations 2022</w:t>
            </w:r>
            <w:r>
              <w:t xml:space="preserve"> Pt. 6</w:t>
            </w:r>
          </w:p>
        </w:tc>
        <w:tc>
          <w:tcPr>
            <w:tcW w:w="1276" w:type="dxa"/>
          </w:tcPr>
          <w:p>
            <w:pPr>
              <w:pStyle w:val="nTable"/>
              <w:spacing w:after="40"/>
            </w:pPr>
            <w:r>
              <w:t>SL 2022/144 12 Aug 2022</w:t>
            </w:r>
          </w:p>
        </w:tc>
        <w:tc>
          <w:tcPr>
            <w:tcW w:w="2693" w:type="dxa"/>
          </w:tcPr>
          <w:p>
            <w:pPr>
              <w:pStyle w:val="nTable"/>
              <w:spacing w:after="40"/>
            </w:pPr>
            <w:r>
              <w:t>1 Jan 2023 (see r. 2(b))</w:t>
            </w:r>
          </w:p>
        </w:tc>
      </w:tr>
    </w:tbl>
    <w:p>
      <w:pPr>
        <w:pStyle w:val="nHeading3"/>
        <w:keepLines/>
        <w:widowControl w:val="0"/>
      </w:pPr>
      <w:bookmarkStart w:id="119" w:name="_Toc111022050"/>
      <w:r>
        <w:t>Other notes</w:t>
      </w:r>
      <w:bookmarkEnd w:id="119"/>
    </w:p>
    <w:p>
      <w:pPr>
        <w:pStyle w:val="nNote"/>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pPr>
      <w:r>
        <w:rPr>
          <w:vertAlign w:val="superscript"/>
        </w:rPr>
        <w:t>3</w:t>
      </w:r>
      <w:r>
        <w:tab/>
        <w:t>Commenced 1 July 2014.</w:t>
      </w:r>
    </w:p>
    <w:p>
      <w:pPr>
        <w:pStyle w:val="nNote"/>
      </w:pPr>
      <w:r>
        <w:rPr>
          <w:vertAlign w:val="superscript"/>
        </w:rPr>
        <w:t>4</w:t>
      </w:r>
      <w:r>
        <w:tab/>
        <w:t xml:space="preserve">Now known as the </w:t>
      </w:r>
      <w:r>
        <w:rPr>
          <w:i/>
          <w:iCs/>
        </w:rPr>
        <w:t>Liquor Control Regulations 1989</w:t>
      </w:r>
      <w:r>
        <w:t>; citation changed (see note under r. 1).</w:t>
      </w:r>
    </w:p>
    <w:p>
      <w:pPr>
        <w:pStyle w:val="nNote"/>
      </w:pPr>
      <w:r>
        <w:rPr>
          <w:vertAlign w:val="superscript"/>
        </w:rPr>
        <w:t>5</w:t>
      </w:r>
      <w:r>
        <w:tab/>
        <w:t xml:space="preserve">Disallowed on 26 Apr 1992, see </w:t>
      </w:r>
      <w:r>
        <w:rPr>
          <w:i/>
        </w:rPr>
        <w:t>Gazette</w:t>
      </w:r>
      <w:r>
        <w:t xml:space="preserve"> 1 May 1992 p. 1844.</w:t>
      </w:r>
    </w:p>
    <w:p>
      <w:pPr>
        <w:pStyle w:val="nNote"/>
      </w:pPr>
      <w:r>
        <w:rPr>
          <w:vertAlign w:val="superscript"/>
        </w:rPr>
        <w:lastRenderedPageBreak/>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21" w:name="_Toc110952225"/>
      <w:bookmarkStart w:id="122" w:name="_Toc110952383"/>
      <w:bookmarkStart w:id="123" w:name="_Toc111022051"/>
      <w:r>
        <w:rPr>
          <w:sz w:val="28"/>
        </w:rPr>
        <w:lastRenderedPageBreak/>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inter-State voyage</w:t>
      </w:r>
      <w:r>
        <w:tab/>
        <w:t>8(3)</w:t>
      </w:r>
    </w:p>
    <w:p>
      <w:pPr>
        <w:pStyle w:val="DefinedTerms"/>
      </w:pPr>
      <w:r>
        <w:t>judge</w:t>
      </w:r>
      <w:r>
        <w:tab/>
        <w:t>8G(1)</w:t>
      </w:r>
    </w:p>
    <w:p>
      <w:pPr>
        <w:pStyle w:val="DefinedTerms"/>
      </w:pPr>
      <w:r>
        <w:t>liqueur chocolate</w:t>
      </w:r>
      <w:r>
        <w:tab/>
        <w:t>4AE(1)</w:t>
      </w:r>
    </w:p>
    <w:p>
      <w:pPr>
        <w:pStyle w:val="DefinedTerms"/>
      </w:pPr>
      <w:r>
        <w:t>liquor competition</w:t>
      </w:r>
      <w:r>
        <w:tab/>
        <w:t>8G(1)</w:t>
      </w:r>
    </w:p>
    <w:p>
      <w:pPr>
        <w:pStyle w:val="DefinedTerms"/>
      </w:pPr>
      <w:r>
        <w:t>liquor producer</w:t>
      </w:r>
      <w:r>
        <w:tab/>
        <w:t>8D(1)</w:t>
      </w:r>
    </w:p>
    <w:p>
      <w:pPr>
        <w:pStyle w:val="DefinedTerms"/>
      </w:pPr>
      <w:r>
        <w:t>liquor restricted premises</w:t>
      </w:r>
      <w:r>
        <w:tab/>
        <w:t>3A(1)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lastRenderedPageBreak/>
        <w:t>notional wholesale selling price</w:t>
      </w:r>
      <w:r>
        <w:tab/>
        <w:t>3A(1)</w:t>
      </w:r>
    </w:p>
    <w:p>
      <w:pPr>
        <w:pStyle w:val="DefinedTerms"/>
      </w:pPr>
      <w:r>
        <w:t>on-demand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area</w:t>
      </w:r>
      <w:r>
        <w:tab/>
        <w:t>3A(1)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town</w:t>
      </w:r>
      <w:r>
        <w:tab/>
        <w:t>16AA(1)</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keepNext/>
      </w:pPr>
      <w:r>
        <w:lastRenderedPageBreak/>
        <w:t>worker</w:t>
      </w:r>
      <w:r>
        <w:tab/>
        <w:t>9A(3)</w:t>
      </w:r>
    </w:p>
    <w:p>
      <w:pPr>
        <w:pStyle w:val="DefinedTerms"/>
        <w:keepNext/>
      </w:pPr>
      <w:r>
        <w:t>works canteen</w:t>
      </w:r>
      <w:r>
        <w:tab/>
        <w:t>9A(3)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405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 w:name="WAFER_20211201104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04146_GUID" w:val="fd564dab-da09-4e4a-880d-d51e93f171a8"/>
    <w:docVar w:name="WAFER_202201241121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141_GUID" w:val="2cbbad30-6da3-47ea-8d1c-56e2e9d27097"/>
    <w:docVar w:name="WAFER_202208091540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055_GUID" w:val="cd2fc6ae-94fc-482e-b7d4-530587ce02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EFF6-D414-4907-9DB9-6DF5B5B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29963</Words>
  <Characters>143225</Characters>
  <Application>Microsoft Office Word</Application>
  <DocSecurity>0</DocSecurity>
  <Lines>4938</Lines>
  <Paragraphs>2935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1989 - 14-ac0-00</dc:title>
  <dc:subject/>
  <dc:creator/>
  <cp:keywords/>
  <dc:description/>
  <cp:lastModifiedBy>Master Repository Process</cp:lastModifiedBy>
  <cp:revision>4</cp:revision>
  <cp:lastPrinted>2019-12-05T02:25:00Z</cp:lastPrinted>
  <dcterms:created xsi:type="dcterms:W3CDTF">2022-08-11T06:53:00Z</dcterms:created>
  <dcterms:modified xsi:type="dcterms:W3CDTF">2022-08-11T06:53:00Z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12 Aug 2022</vt:lpwstr>
  </property>
  <property fmtid="{D5CDD505-2E9C-101B-9397-08002B2CF9AE}" pid="8" name="Suffix">
    <vt:lpwstr>14-ac0-00</vt:lpwstr>
  </property>
  <property fmtid="{D5CDD505-2E9C-101B-9397-08002B2CF9AE}" pid="9" name="CommencementDate">
    <vt:lpwstr>20220812</vt:lpwstr>
  </property>
</Properties>
</file>