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Bush Fires Amendment Act 2022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Bush Fires Amendment Act 2022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_Toc111965903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_Toc111965904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_Toc111965905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24C amended</w:t>
      </w:r>
      <w:r>
        <w:tab/>
      </w:r>
      <w:r>
        <w:fldChar w:fldCharType="begin"/>
      </w:r>
      <w:r>
        <w:instrText xml:space="preserve"> PAGEREF _Toc111965906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24D amended</w:t>
      </w:r>
      <w:r>
        <w:tab/>
      </w:r>
      <w:r>
        <w:fldChar w:fldCharType="begin"/>
      </w:r>
      <w:r>
        <w:instrText xml:space="preserve"> PAGEREF _Toc111965907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25 amended</w:t>
      </w:r>
      <w:r>
        <w:tab/>
      </w:r>
      <w:r>
        <w:fldChar w:fldCharType="begin"/>
      </w:r>
      <w:r>
        <w:instrText xml:space="preserve"> PAGEREF _Toc111965908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38 amended</w:t>
      </w:r>
      <w:r>
        <w:tab/>
      </w:r>
      <w:r>
        <w:fldChar w:fldCharType="begin"/>
      </w:r>
      <w:r>
        <w:instrText xml:space="preserve"> PAGEREF _Toc111965909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Bush Fires Amendment Act 2022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26 of 2022</w:t>
      </w:r>
    </w:p>
    <w:p>
      <w:pPr>
        <w:pStyle w:val="LongTitle"/>
      </w:pPr>
      <w:r>
        <w:t xml:space="preserve">An Act to amend the </w:t>
      </w:r>
      <w:r>
        <w:rPr>
          <w:i/>
        </w:rPr>
        <w:t>Bush Fires Act 1954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19 August 2022</w:t>
      </w:r>
      <w:r>
        <w:t>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11719987"/>
      <w:bookmarkStart w:id="5" w:name="_Toc111964255"/>
      <w:bookmarkStart w:id="6" w:name="_Toc111965903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Bush Fires Amendment Act 2022</w:t>
      </w:r>
      <w:r>
        <w:t>.</w:t>
      </w:r>
    </w:p>
    <w:p>
      <w:pPr>
        <w:pStyle w:val="Heading5"/>
      </w:pPr>
      <w:bookmarkStart w:id="7" w:name="_Toc111719988"/>
      <w:bookmarkStart w:id="8" w:name="_Toc111964256"/>
      <w:bookmarkStart w:id="9" w:name="_Toc111965904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  <w:rPr>
          <w:snapToGrid w:val="0"/>
        </w:rPr>
      </w:pPr>
      <w:bookmarkStart w:id="10" w:name="_Toc111719989"/>
      <w:bookmarkStart w:id="11" w:name="_Toc111964257"/>
      <w:bookmarkStart w:id="12" w:name="_Toc1119659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Bush Fires Act 1954</w:t>
      </w:r>
      <w:r>
        <w:t>.</w:t>
      </w:r>
    </w:p>
    <w:p>
      <w:pPr>
        <w:pStyle w:val="Heading5"/>
      </w:pPr>
      <w:bookmarkStart w:id="13" w:name="_Toc111719990"/>
      <w:bookmarkStart w:id="14" w:name="_Toc111964258"/>
      <w:bookmarkStart w:id="15" w:name="_Toc111965906"/>
      <w:r>
        <w:rPr>
          <w:rStyle w:val="CharSectno"/>
        </w:rPr>
        <w:t>4</w:t>
      </w:r>
      <w:r>
        <w:t>.</w:t>
      </w:r>
      <w:r>
        <w:tab/>
        <w:t>Section 24C amended</w:t>
      </w:r>
      <w:bookmarkEnd w:id="13"/>
      <w:bookmarkEnd w:id="14"/>
      <w:bookmarkEnd w:id="15"/>
    </w:p>
    <w:p>
      <w:pPr>
        <w:pStyle w:val="Subsection"/>
        <w:keepNext/>
      </w:pPr>
      <w:r>
        <w:tab/>
      </w:r>
      <w:r>
        <w:tab/>
        <w:t xml:space="preserve">In section 24C delete the definition of </w:t>
      </w:r>
      <w:r>
        <w:rPr>
          <w:b/>
          <w:i/>
        </w:rPr>
        <w:t>limited burning times</w:t>
      </w:r>
      <w:r>
        <w:t xml:space="preserve"> and insert: 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limited burning times</w:t>
      </w:r>
      <w:r>
        <w:t xml:space="preserve">, in respect of a place — </w:t>
      </w:r>
    </w:p>
    <w:p>
      <w:pPr>
        <w:pStyle w:val="zDefpara"/>
      </w:pPr>
      <w:r>
        <w:tab/>
        <w:t>(a)</w:t>
      </w:r>
      <w:r>
        <w:tab/>
        <w:t xml:space="preserve">means — </w:t>
      </w:r>
    </w:p>
    <w:p>
      <w:pPr>
        <w:pStyle w:val="zDefsubpara"/>
      </w:pPr>
      <w:r>
        <w:tab/>
        <w:t>(i)</w:t>
      </w:r>
      <w:r>
        <w:tab/>
        <w:t>the restricted burning times for that place; and</w:t>
      </w:r>
    </w:p>
    <w:p>
      <w:pPr>
        <w:pStyle w:val="zDefsubpara"/>
      </w:pPr>
      <w:r>
        <w:tab/>
        <w:t>(ii)</w:t>
      </w:r>
      <w:r>
        <w:tab/>
        <w:t xml:space="preserve">the prohibited burning times for that place; </w:t>
      </w:r>
    </w:p>
    <w:p>
      <w:pPr>
        <w:pStyle w:val="zDefpara"/>
      </w:pPr>
      <w:r>
        <w:tab/>
      </w:r>
      <w:r>
        <w:tab/>
        <w:t>but</w:t>
      </w:r>
    </w:p>
    <w:p>
      <w:pPr>
        <w:pStyle w:val="zDefpara"/>
      </w:pPr>
      <w:r>
        <w:tab/>
        <w:t>(b)</w:t>
      </w:r>
      <w:r>
        <w:tab/>
        <w:t>does not include any time when there is in force a fire danger forecast issued for that place by the Bureau of Meteorology in Perth of “catastrophic”, “extreme” or “high”;</w:t>
      </w:r>
    </w:p>
    <w:p>
      <w:pPr>
        <w:pStyle w:val="BlankClose"/>
      </w:pPr>
    </w:p>
    <w:p>
      <w:pPr>
        <w:pStyle w:val="Heading5"/>
      </w:pPr>
      <w:bookmarkStart w:id="16" w:name="_Toc111719991"/>
      <w:bookmarkStart w:id="17" w:name="_Toc111964259"/>
      <w:bookmarkStart w:id="18" w:name="_Toc111965907"/>
      <w:r>
        <w:rPr>
          <w:rStyle w:val="CharSectno"/>
        </w:rPr>
        <w:lastRenderedPageBreak/>
        <w:t>5</w:t>
      </w:r>
      <w:r>
        <w:t>.</w:t>
      </w:r>
      <w:r>
        <w:tab/>
        <w:t>Section 24D amended</w:t>
      </w:r>
      <w:bookmarkEnd w:id="16"/>
      <w:bookmarkEnd w:id="17"/>
      <w:bookmarkEnd w:id="18"/>
    </w:p>
    <w:p>
      <w:pPr>
        <w:pStyle w:val="Subsection"/>
        <w:keepNext/>
      </w:pPr>
      <w:r>
        <w:tab/>
      </w:r>
      <w:r>
        <w:tab/>
        <w:t xml:space="preserve">In section 24D delete </w:t>
      </w:r>
      <w:r>
        <w:rPr>
          <w:spacing w:val="40"/>
        </w:rPr>
        <w:t>“</w:t>
      </w:r>
      <w:r>
        <w:t>“extreme”, “severe” or “very high”</w:t>
      </w:r>
      <w:r>
        <w:rPr>
          <w:spacing w:val="40"/>
        </w:rPr>
        <w:t>.</w:t>
      </w:r>
      <w:r>
        <w:t>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“extreme” or “high”.</w:t>
      </w:r>
    </w:p>
    <w:p>
      <w:pPr>
        <w:pStyle w:val="BlankClose"/>
      </w:pPr>
    </w:p>
    <w:p>
      <w:pPr>
        <w:pStyle w:val="SectAltNote"/>
      </w:pPr>
      <w:r>
        <w:tab/>
        <w:t>Note: The heading to amended section 24D is to read:</w:t>
      </w:r>
    </w:p>
    <w:p>
      <w:pPr>
        <w:pStyle w:val="SectAltHeading"/>
      </w:pPr>
      <w:r>
        <w:tab/>
      </w:r>
      <w:r>
        <w:tab/>
        <w:t>Burning garden refuse prohibited if fire danger high to catastrophic</w:t>
      </w:r>
    </w:p>
    <w:p>
      <w:pPr>
        <w:pStyle w:val="Heading5"/>
      </w:pPr>
      <w:bookmarkStart w:id="19" w:name="_Toc111719992"/>
      <w:bookmarkStart w:id="20" w:name="_Toc111964260"/>
      <w:bookmarkStart w:id="21" w:name="_Toc111965908"/>
      <w:r>
        <w:rPr>
          <w:rStyle w:val="CharSectno"/>
        </w:rPr>
        <w:t>6</w:t>
      </w:r>
      <w:r>
        <w:t>.</w:t>
      </w:r>
      <w:r>
        <w:tab/>
        <w:t>Section 25 amended</w:t>
      </w:r>
      <w:bookmarkEnd w:id="19"/>
      <w:bookmarkEnd w:id="20"/>
      <w:bookmarkEnd w:id="21"/>
    </w:p>
    <w:p>
      <w:pPr>
        <w:pStyle w:val="Subsection"/>
      </w:pPr>
      <w:r>
        <w:tab/>
      </w:r>
      <w:r>
        <w:tab/>
        <w:t xml:space="preserve">In section 25(1)(a) delete </w:t>
      </w:r>
      <w:r>
        <w:rPr>
          <w:spacing w:val="40"/>
        </w:rPr>
        <w:t>“</w:t>
      </w:r>
      <w:r>
        <w:t>“extreme”, “severe” or “very high”</w:t>
      </w:r>
      <w:r>
        <w:rPr>
          <w:spacing w:val="40"/>
        </w:rPr>
        <w:t>,</w:t>
      </w:r>
      <w:r>
        <w:t>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“extreme” or “high”, </w:t>
      </w:r>
    </w:p>
    <w:p>
      <w:pPr>
        <w:pStyle w:val="BlankClose"/>
      </w:pPr>
    </w:p>
    <w:p>
      <w:pPr>
        <w:pStyle w:val="Heading5"/>
      </w:pPr>
      <w:bookmarkStart w:id="22" w:name="_Toc111719993"/>
      <w:bookmarkStart w:id="23" w:name="_Toc111964261"/>
      <w:bookmarkStart w:id="24" w:name="_Toc111965909"/>
      <w:r>
        <w:rPr>
          <w:rStyle w:val="CharSectno"/>
        </w:rPr>
        <w:t>7</w:t>
      </w:r>
      <w:r>
        <w:t>.</w:t>
      </w:r>
      <w:r>
        <w:tab/>
        <w:t>Section 38 amended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>In section 38(17):</w:t>
      </w:r>
    </w:p>
    <w:p>
      <w:pPr>
        <w:pStyle w:val="Indenta"/>
      </w:pPr>
      <w:r>
        <w:tab/>
        <w:t>(a)</w:t>
      </w:r>
      <w:r>
        <w:tab/>
        <w:t xml:space="preserve">delete </w:t>
      </w:r>
      <w:r>
        <w:rPr>
          <w:spacing w:val="40"/>
        </w:rPr>
        <w:t>“</w:t>
      </w:r>
      <w:r>
        <w:t>“extreme”, “severe” or “very high”</w:t>
      </w:r>
      <w:r>
        <w:rPr>
          <w:spacing w:val="40"/>
        </w:rPr>
        <w:t>,</w:t>
      </w:r>
      <w:r>
        <w:t>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 xml:space="preserve">“extreme” or “high”, 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 xml:space="preserve">delete “he” and insert: </w:t>
      </w:r>
    </w:p>
    <w:p>
      <w:pPr>
        <w:pStyle w:val="BlankOpen"/>
      </w:pPr>
    </w:p>
    <w:p>
      <w:pPr>
        <w:pStyle w:val="Indenta"/>
      </w:pPr>
      <w:r>
        <w:tab/>
      </w:r>
      <w:r>
        <w:tab/>
        <w:t>the person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000" cy="29210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2022.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2022.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pt;height:230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2022.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2022.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2022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2022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2022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26 of 2022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Fires Amendment Act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52509023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2051115531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511155314_GUID" w:val="0817202e-0506-4179-894b-feb83578f19e"/>
    <w:docVar w:name="WAFER_202205250902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25090239_GUID" w:val="42c206cb-5006-4e6f-8988-65482e22b63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8A634B-EE8B-4365-856E-D320E87D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0717-480A-414C-89AE-2B85DFC6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1963</Characters>
  <Application>Microsoft Office Word</Application>
  <DocSecurity>0</DocSecurity>
  <Lines>109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2294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Fires Amendment Act 2022 - 00-00-00</dc:title>
  <dc:subject/>
  <dc:creator/>
  <cp:keywords/>
  <dc:description/>
  <cp:lastModifiedBy>Master Repository Process</cp:lastModifiedBy>
  <cp:revision>4</cp:revision>
  <cp:lastPrinted>2022-08-21T00:51:00Z</cp:lastPrinted>
  <dcterms:created xsi:type="dcterms:W3CDTF">2022-08-21T01:26:00Z</dcterms:created>
  <dcterms:modified xsi:type="dcterms:W3CDTF">2022-08-21T01:26:00Z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26 of 2022</vt:lpwstr>
  </property>
  <property fmtid="{D5CDD505-2E9C-101B-9397-08002B2CF9AE}" pid="3" name="DocumentType">
    <vt:lpwstr>Act</vt:lpwstr>
  </property>
  <property fmtid="{D5CDD505-2E9C-101B-9397-08002B2CF9AE}" pid="4" name="AsAtDate">
    <vt:lpwstr>19 Aug 2022</vt:lpwstr>
  </property>
  <property fmtid="{D5CDD505-2E9C-101B-9397-08002B2CF9AE}" pid="5" name="Suffix">
    <vt:lpwstr>00-00-00</vt:lpwstr>
  </property>
  <property fmtid="{D5CDD505-2E9C-101B-9397-08002B2CF9AE}" pid="6" name="ActNoFooter">
    <vt:lpwstr>No. 26 of 2022</vt:lpwstr>
  </property>
  <property fmtid="{D5CDD505-2E9C-101B-9397-08002B2CF9AE}" pid="7" name="CommencementDate">
    <vt:lpwstr>20220819</vt:lpwstr>
  </property>
</Properties>
</file>