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margin">
              <wp:posOffset>1972945</wp:posOffset>
            </wp:positionH>
            <wp:positionV relativeFrom="margin">
              <wp:posOffset>-521005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_Toc112321713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_Toc112321714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_Toc112321715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_Toc112321716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77"/>
        </w:tabs>
        <w:rPr>
          <w:rFonts w:asciiTheme="minorHAnsi" w:eastAsiaTheme="minorEastAsia" w:hAnsiTheme="minorHAnsi" w:cstheme="minorBidi"/>
          <w:b w:val="0"/>
          <w:szCs w:val="22"/>
        </w:rPr>
      </w:pPr>
      <w:r>
        <w:t>Division 1 — Registration and tagging</w:t>
      </w:r>
    </w:p>
    <w:p>
      <w:pPr>
        <w:pStyle w:val="TOC6"/>
        <w:tabs>
          <w:tab w:val="right" w:leader="dot" w:pos="707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_Toc112321720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_Toc112321721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_Toc112321722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_Toc112321724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_Toc112321725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_Toc112321726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_Toc112321727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_Toc112321728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_Toc112321729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_Toc112321731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_Toc112321732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_Toc112321733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_Toc112321734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_Toc112321736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_Toc112321737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_Toc112321738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_Toc112321739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_Toc112321741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_Toc112321742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_Toc112321743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_Toc112321745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cats</w:t>
      </w:r>
    </w:p>
    <w:p>
      <w:pPr>
        <w:pStyle w:val="TOC4"/>
        <w:tabs>
          <w:tab w:val="right" w:leader="dot" w:pos="707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_Toc112321748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_Toc112321750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_Toc112321751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_Toc112321753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_Toc112321754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_Toc112321755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_Toc112321756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_Toc112321757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_Toc112321758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Breeding of cats</w:t>
      </w:r>
    </w:p>
    <w:p>
      <w:pPr>
        <w:pStyle w:val="TOC6"/>
        <w:tabs>
          <w:tab w:val="right" w:leader="dot" w:pos="707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_Toc112321761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_Toc112321763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_Toc112321764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_Toc112321765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_Toc112321766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40.</w:t>
      </w:r>
      <w:r>
        <w:tab/>
        <w:t>Notice to be given of certain decisions made under this Subdivision</w:t>
      </w:r>
      <w:r>
        <w:tab/>
      </w:r>
      <w:r>
        <w:fldChar w:fldCharType="begin"/>
      </w:r>
      <w:r>
        <w:instrText xml:space="preserve"> PAGEREF _Toc112321767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_Toc112321769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 and enforcement</w:t>
      </w:r>
    </w:p>
    <w:p>
      <w:pPr>
        <w:pStyle w:val="TOC4"/>
        <w:tabs>
          <w:tab w:val="right" w:leader="dot" w:pos="707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_Toc112321772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_Toc112321773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_Toc112321775 \h </w:instrText>
      </w:r>
      <w:r>
        <w:fldChar w:fldCharType="separate"/>
      </w:r>
      <w:r>
        <w:t>24</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_Toc112321776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_Toc112321777 \h </w:instrText>
      </w:r>
      <w:r>
        <w:fldChar w:fldCharType="separate"/>
      </w:r>
      <w:r>
        <w:t>25</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_Toc112321778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Authorised persons</w:t>
      </w:r>
    </w:p>
    <w:p>
      <w:pPr>
        <w:pStyle w:val="TOC6"/>
        <w:tabs>
          <w:tab w:val="right" w:leader="dot" w:pos="707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_Toc112321781 \h </w:instrText>
      </w:r>
      <w:r>
        <w:fldChar w:fldCharType="separate"/>
      </w:r>
      <w:r>
        <w:t>26</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_Toc112321782 \h </w:instrText>
      </w:r>
      <w:r>
        <w:fldChar w:fldCharType="separate"/>
      </w:r>
      <w:r>
        <w:t>26</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_Toc112321783 \h </w:instrText>
      </w:r>
      <w:r>
        <w:fldChar w:fldCharType="separate"/>
      </w:r>
      <w:r>
        <w:t>27</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_Toc112321784 \h </w:instrText>
      </w:r>
      <w:r>
        <w:fldChar w:fldCharType="separate"/>
      </w:r>
      <w:r>
        <w:t>28</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_Toc112321785 \h </w:instrText>
      </w:r>
      <w:r>
        <w:fldChar w:fldCharType="separate"/>
      </w:r>
      <w:r>
        <w:t>29</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_Toc112321786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_Toc112321788 \h </w:instrText>
      </w:r>
      <w:r>
        <w:fldChar w:fldCharType="separate"/>
      </w:r>
      <w:r>
        <w:t>29</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_Toc112321789 \h </w:instrText>
      </w:r>
      <w:r>
        <w:fldChar w:fldCharType="separate"/>
      </w:r>
      <w:r>
        <w:t>29</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_Toc112321790 \h </w:instrText>
      </w:r>
      <w:r>
        <w:fldChar w:fldCharType="separate"/>
      </w:r>
      <w:r>
        <w:t>30</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_Toc112321791 \h </w:instrText>
      </w:r>
      <w:r>
        <w:fldChar w:fldCharType="separate"/>
      </w:r>
      <w:r>
        <w:t>30</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_Toc112321792 \h </w:instrText>
      </w:r>
      <w:r>
        <w:fldChar w:fldCharType="separate"/>
      </w:r>
      <w:r>
        <w:t>30</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_Toc112321793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_Toc112321795 \h </w:instrText>
      </w:r>
      <w:r>
        <w:fldChar w:fldCharType="separate"/>
      </w:r>
      <w:r>
        <w:t>30</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_Toc112321796 \h </w:instrText>
      </w:r>
      <w:r>
        <w:fldChar w:fldCharType="separate"/>
      </w:r>
      <w:r>
        <w:t>31</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_Toc112321797 \h </w:instrText>
      </w:r>
      <w:r>
        <w:fldChar w:fldCharType="separate"/>
      </w:r>
      <w:r>
        <w:t>31</w:t>
      </w:r>
      <w:r>
        <w:fldChar w:fldCharType="end"/>
      </w:r>
    </w:p>
    <w:p>
      <w:pPr>
        <w:pStyle w:val="TOC8"/>
        <w:rPr>
          <w:rFonts w:asciiTheme="minorHAnsi" w:eastAsiaTheme="minorEastAsia" w:hAnsiTheme="minorHAnsi" w:cstheme="minorBidi"/>
          <w:szCs w:val="22"/>
        </w:rPr>
      </w:pPr>
      <w:r>
        <w:lastRenderedPageBreak/>
        <w:t>64.</w:t>
      </w:r>
      <w:r>
        <w:tab/>
        <w:t>Extension of time</w:t>
      </w:r>
      <w:r>
        <w:tab/>
      </w:r>
      <w:r>
        <w:fldChar w:fldCharType="begin"/>
      </w:r>
      <w:r>
        <w:instrText xml:space="preserve"> PAGEREF _Toc112321798 \h </w:instrText>
      </w:r>
      <w:r>
        <w:fldChar w:fldCharType="separate"/>
      </w:r>
      <w:r>
        <w:t>32</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_Toc112321799 \h </w:instrText>
      </w:r>
      <w:r>
        <w:fldChar w:fldCharType="separate"/>
      </w:r>
      <w:r>
        <w:t>32</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_Toc112321800 \h </w:instrText>
      </w:r>
      <w:r>
        <w:fldChar w:fldCharType="separate"/>
      </w:r>
      <w:r>
        <w:t>32</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_Toc112321801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_Toc112321803 \h </w:instrText>
      </w:r>
      <w:r>
        <w:fldChar w:fldCharType="separate"/>
      </w:r>
      <w:r>
        <w:t>33</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_Toc112321804 \h </w:instrText>
      </w:r>
      <w:r>
        <w:fldChar w:fldCharType="separate"/>
      </w:r>
      <w:r>
        <w:t>33</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_Toc112321805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_Toc112321806 \h </w:instrText>
      </w:r>
      <w:r>
        <w:fldChar w:fldCharType="separate"/>
      </w:r>
      <w:r>
        <w:t>34</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_Toc112321807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_Toc112321809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_Toc112321810 \h </w:instrText>
      </w:r>
      <w:r>
        <w:fldChar w:fldCharType="separate"/>
      </w:r>
      <w:r>
        <w:t>36</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_Toc112321811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Subsidiary legislation</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_Toc112321814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_Toc112321815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_Toc112321816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_Toc112321818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_Toc112321819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_Toc112321820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_Toc112321821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_Toc112321822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_Toc112321823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_Toc112321825 \h </w:instrText>
      </w:r>
      <w:r>
        <w:fldChar w:fldCharType="separate"/>
      </w:r>
      <w:r>
        <w:t>44</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_Toc112321826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87.</w:t>
      </w:r>
      <w:r>
        <w:tab/>
        <w:t xml:space="preserve">Transitional provision for </w:t>
      </w:r>
      <w:r>
        <w:rPr>
          <w:i/>
        </w:rPr>
        <w:t>Local Government Legislation Amendment Act 2019</w:t>
      </w:r>
      <w:r>
        <w:tab/>
      </w:r>
      <w:r>
        <w:fldChar w:fldCharType="begin"/>
      </w:r>
      <w:r>
        <w:instrText xml:space="preserve"> PAGEREF _Toc112321828 \h </w:instrText>
      </w:r>
      <w:r>
        <w:fldChar w:fldCharType="separate"/>
      </w:r>
      <w:r>
        <w:t>45</w:t>
      </w:r>
      <w:r>
        <w:fldChar w:fldCharType="end"/>
      </w:r>
    </w:p>
    <w:p>
      <w:pPr>
        <w:pStyle w:val="TOC8"/>
        <w:rPr>
          <w:rFonts w:asciiTheme="minorHAnsi" w:eastAsiaTheme="minorEastAsia" w:hAnsiTheme="minorHAnsi" w:cstheme="minorBidi"/>
          <w:szCs w:val="22"/>
        </w:rPr>
      </w:pPr>
      <w:r>
        <w:t>88.</w:t>
      </w:r>
      <w:r>
        <w:tab/>
        <w:t xml:space="preserve">Transitional provision for the </w:t>
      </w:r>
      <w:r>
        <w:rPr>
          <w:i/>
        </w:rPr>
        <w:t>Dog Amendment (Stop Puppy Farming) Act 2021</w:t>
      </w:r>
      <w:r>
        <w:tab/>
      </w:r>
      <w:r>
        <w:fldChar w:fldCharType="begin"/>
      </w:r>
      <w:r>
        <w:instrText xml:space="preserve"> PAGEREF _Toc112321829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_Toc112321831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_Toc112321832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12244153"/>
      <w:bookmarkStart w:id="5" w:name="_Toc112244275"/>
      <w:bookmarkStart w:id="6" w:name="_Toc11232171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2321713"/>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8" w:name="_Toc112321714"/>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9" w:name="_Toc112321715"/>
      <w:r>
        <w:rPr>
          <w:rStyle w:val="CharSectno"/>
        </w:rPr>
        <w:t>3</w:t>
      </w:r>
      <w:r>
        <w:rPr>
          <w:snapToGrid w:val="0"/>
        </w:rPr>
        <w:t>.</w:t>
      </w:r>
      <w:r>
        <w:rPr>
          <w:snapToGrid w:val="0"/>
        </w:rPr>
        <w:tab/>
        <w:t>Terms used</w:t>
      </w:r>
      <w:bookmarkEnd w:id="9"/>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lastRenderedPageBreak/>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lastRenderedPageBreak/>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keepNext/>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 No. 19 of 2021 s. 228(2).]</w:t>
      </w:r>
    </w:p>
    <w:p>
      <w:pPr>
        <w:pStyle w:val="Heading5"/>
      </w:pPr>
      <w:bookmarkStart w:id="10" w:name="_Toc112321716"/>
      <w:r>
        <w:rPr>
          <w:rStyle w:val="CharSectno"/>
        </w:rPr>
        <w:lastRenderedPageBreak/>
        <w:t>4</w:t>
      </w:r>
      <w:r>
        <w:t>.</w:t>
      </w:r>
      <w:r>
        <w:tab/>
        <w:t>Term used: owner</w:t>
      </w:r>
      <w:bookmarkEnd w:id="10"/>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1" w:name="_Toc112244158"/>
      <w:bookmarkStart w:id="12" w:name="_Toc112244280"/>
      <w:bookmarkStart w:id="13" w:name="_Toc112321717"/>
      <w:r>
        <w:rPr>
          <w:rStyle w:val="CharPartNo"/>
        </w:rPr>
        <w:lastRenderedPageBreak/>
        <w:t>Part 2</w:t>
      </w:r>
      <w:r>
        <w:t> — </w:t>
      </w:r>
      <w:r>
        <w:rPr>
          <w:rStyle w:val="CharPartText"/>
        </w:rPr>
        <w:t>Registration, identification and sterilisation of cats</w:t>
      </w:r>
      <w:bookmarkEnd w:id="11"/>
      <w:bookmarkEnd w:id="12"/>
      <w:bookmarkEnd w:id="13"/>
    </w:p>
    <w:p>
      <w:pPr>
        <w:pStyle w:val="Heading3"/>
      </w:pPr>
      <w:bookmarkStart w:id="14" w:name="_Toc112244159"/>
      <w:bookmarkStart w:id="15" w:name="_Toc112244281"/>
      <w:bookmarkStart w:id="16" w:name="_Toc112321718"/>
      <w:r>
        <w:rPr>
          <w:rStyle w:val="CharDivNo"/>
        </w:rPr>
        <w:t>Division 1</w:t>
      </w:r>
      <w:r>
        <w:t> — </w:t>
      </w:r>
      <w:r>
        <w:rPr>
          <w:rStyle w:val="CharDivText"/>
        </w:rPr>
        <w:t>Registration and tagging</w:t>
      </w:r>
      <w:bookmarkEnd w:id="14"/>
      <w:bookmarkEnd w:id="15"/>
      <w:bookmarkEnd w:id="16"/>
    </w:p>
    <w:p>
      <w:pPr>
        <w:pStyle w:val="Heading4"/>
      </w:pPr>
      <w:bookmarkStart w:id="17" w:name="_Toc112244160"/>
      <w:bookmarkStart w:id="18" w:name="_Toc112244282"/>
      <w:bookmarkStart w:id="19" w:name="_Toc112321719"/>
      <w:r>
        <w:t>Subdivision 1 — Cats must be registered and tagged</w:t>
      </w:r>
      <w:bookmarkEnd w:id="17"/>
      <w:bookmarkEnd w:id="18"/>
      <w:bookmarkEnd w:id="19"/>
    </w:p>
    <w:p>
      <w:pPr>
        <w:pStyle w:val="Heading5"/>
      </w:pPr>
      <w:bookmarkStart w:id="20" w:name="_Toc112321720"/>
      <w:r>
        <w:rPr>
          <w:rStyle w:val="CharSectno"/>
        </w:rPr>
        <w:t>5</w:t>
      </w:r>
      <w:r>
        <w:t>.</w:t>
      </w:r>
      <w:r>
        <w:tab/>
        <w:t>Cats to be registered</w:t>
      </w:r>
      <w:bookmarkEnd w:id="20"/>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21" w:name="_Toc112321721"/>
      <w:r>
        <w:rPr>
          <w:rStyle w:val="CharSectno"/>
        </w:rPr>
        <w:t>6</w:t>
      </w:r>
      <w:r>
        <w:t>.</w:t>
      </w:r>
      <w:r>
        <w:tab/>
        <w:t>Cats to wear tags</w:t>
      </w:r>
      <w:bookmarkEnd w:id="21"/>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lastRenderedPageBreak/>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22" w:name="_Toc112321722"/>
      <w:r>
        <w:rPr>
          <w:rStyle w:val="CharSectno"/>
        </w:rPr>
        <w:t>7</w:t>
      </w:r>
      <w:r>
        <w:t>.</w:t>
      </w:r>
      <w:r>
        <w:tab/>
        <w:t>Interference with tag</w:t>
      </w:r>
      <w:bookmarkEnd w:id="22"/>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23" w:name="_Toc112244164"/>
      <w:bookmarkStart w:id="24" w:name="_Toc112244286"/>
      <w:bookmarkStart w:id="25" w:name="_Toc112321723"/>
      <w:r>
        <w:t>Subdivision 2 — How to register a cat</w:t>
      </w:r>
      <w:bookmarkEnd w:id="23"/>
      <w:bookmarkEnd w:id="24"/>
      <w:bookmarkEnd w:id="25"/>
    </w:p>
    <w:p>
      <w:pPr>
        <w:pStyle w:val="Heading5"/>
      </w:pPr>
      <w:bookmarkStart w:id="26" w:name="_Toc112321724"/>
      <w:r>
        <w:rPr>
          <w:rStyle w:val="CharSectno"/>
        </w:rPr>
        <w:t>8</w:t>
      </w:r>
      <w:r>
        <w:t>.</w:t>
      </w:r>
      <w:r>
        <w:tab/>
        <w:t>Application for registration</w:t>
      </w:r>
      <w:bookmarkEnd w:id="26"/>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27" w:name="_Toc112321725"/>
      <w:r>
        <w:rPr>
          <w:rStyle w:val="CharSectno"/>
        </w:rPr>
        <w:t>9</w:t>
      </w:r>
      <w:r>
        <w:t>.</w:t>
      </w:r>
      <w:r>
        <w:tab/>
        <w:t>Registration</w:t>
      </w:r>
      <w:bookmarkEnd w:id="27"/>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w:t>
      </w:r>
      <w:r>
        <w:lastRenderedPageBreak/>
        <w:t xml:space="preserve">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28" w:name="_Toc112321726"/>
      <w:r>
        <w:rPr>
          <w:rStyle w:val="CharSectno"/>
        </w:rPr>
        <w:lastRenderedPageBreak/>
        <w:t>10</w:t>
      </w:r>
      <w:r>
        <w:t>.</w:t>
      </w:r>
      <w:r>
        <w:tab/>
        <w:t>Cancellation of registration</w:t>
      </w:r>
      <w:bookmarkEnd w:id="28"/>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29" w:name="_Toc112321727"/>
      <w:r>
        <w:rPr>
          <w:rStyle w:val="CharSectno"/>
        </w:rPr>
        <w:t>11</w:t>
      </w:r>
      <w:r>
        <w:t>.</w:t>
      </w:r>
      <w:r>
        <w:tab/>
        <w:t>Registration numbers, certificates and tags</w:t>
      </w:r>
      <w:bookmarkEnd w:id="2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30" w:name="_Toc112321728"/>
      <w:r>
        <w:rPr>
          <w:rStyle w:val="CharSectno"/>
        </w:rPr>
        <w:t>12</w:t>
      </w:r>
      <w:r>
        <w:t>.</w:t>
      </w:r>
      <w:r>
        <w:tab/>
        <w:t>Register of cats</w:t>
      </w:r>
      <w:bookmarkEnd w:id="30"/>
    </w:p>
    <w:p>
      <w:pPr>
        <w:pStyle w:val="Subsection"/>
      </w:pPr>
      <w:r>
        <w:tab/>
        <w:t>(1)</w:t>
      </w:r>
      <w:r>
        <w:tab/>
        <w:t>A local government is to keep an accurate and up</w:t>
      </w:r>
      <w:r>
        <w:noBreakHyphen/>
        <w:t>to</w:t>
      </w:r>
      <w:r>
        <w:noBreakHyphen/>
        <w:t>date register of cats registered by the local government.</w:t>
      </w:r>
    </w:p>
    <w:p>
      <w:pPr>
        <w:pStyle w:val="Subsection"/>
      </w:pPr>
      <w:r>
        <w:lastRenderedPageBreak/>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31" w:name="_Toc112321729"/>
      <w:r>
        <w:rPr>
          <w:rStyle w:val="CharSectno"/>
        </w:rPr>
        <w:t>13</w:t>
      </w:r>
      <w:r>
        <w:t>.</w:t>
      </w:r>
      <w:r>
        <w:tab/>
        <w:t>Notice to be given of certain decisions made under this Subdivision</w:t>
      </w:r>
      <w:bookmarkEnd w:id="31"/>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32" w:name="_Toc112244171"/>
      <w:bookmarkStart w:id="33" w:name="_Toc112244293"/>
      <w:bookmarkStart w:id="34" w:name="_Toc112321730"/>
      <w:r>
        <w:rPr>
          <w:rStyle w:val="CharDivNo"/>
        </w:rPr>
        <w:t>Division 2</w:t>
      </w:r>
      <w:r>
        <w:t> — </w:t>
      </w:r>
      <w:r>
        <w:rPr>
          <w:rStyle w:val="CharDivText"/>
        </w:rPr>
        <w:t>Microchipping</w:t>
      </w:r>
      <w:bookmarkEnd w:id="32"/>
      <w:bookmarkEnd w:id="33"/>
      <w:bookmarkEnd w:id="34"/>
    </w:p>
    <w:p>
      <w:pPr>
        <w:pStyle w:val="Heading5"/>
        <w:spacing w:before="120"/>
      </w:pPr>
      <w:bookmarkStart w:id="35" w:name="_Toc112321731"/>
      <w:r>
        <w:rPr>
          <w:rStyle w:val="CharSectno"/>
        </w:rPr>
        <w:t>14</w:t>
      </w:r>
      <w:r>
        <w:t>.</w:t>
      </w:r>
      <w:r>
        <w:tab/>
        <w:t>Cats to be microchipped</w:t>
      </w:r>
      <w:bookmarkEnd w:id="35"/>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lastRenderedPageBreak/>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36" w:name="_Toc112321732"/>
      <w:r>
        <w:rPr>
          <w:rStyle w:val="CharSectno"/>
        </w:rPr>
        <w:t>15</w:t>
      </w:r>
      <w:r>
        <w:t>.</w:t>
      </w:r>
      <w:r>
        <w:tab/>
        <w:t>Microchip implanter to give information to microchip database company</w:t>
      </w:r>
      <w:bookmarkEnd w:id="36"/>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37" w:name="_Toc112321733"/>
      <w:r>
        <w:rPr>
          <w:rStyle w:val="CharSectno"/>
        </w:rPr>
        <w:t>16</w:t>
      </w:r>
      <w:r>
        <w:t>.</w:t>
      </w:r>
      <w:r>
        <w:tab/>
        <w:t>Microchip database company’s obligations</w:t>
      </w:r>
      <w:bookmarkEnd w:id="37"/>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38" w:name="_Toc112321734"/>
      <w:r>
        <w:rPr>
          <w:rStyle w:val="CharSectno"/>
        </w:rPr>
        <w:t>17</w:t>
      </w:r>
      <w:r>
        <w:t>.</w:t>
      </w:r>
      <w:r>
        <w:tab/>
        <w:t>Interference with microchips</w:t>
      </w:r>
      <w:bookmarkEnd w:id="38"/>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39" w:name="_Toc112244176"/>
      <w:bookmarkStart w:id="40" w:name="_Toc112244298"/>
      <w:bookmarkStart w:id="41" w:name="_Toc112321735"/>
      <w:r>
        <w:rPr>
          <w:rStyle w:val="CharDivNo"/>
        </w:rPr>
        <w:t>Division 3</w:t>
      </w:r>
      <w:r>
        <w:t> — </w:t>
      </w:r>
      <w:r>
        <w:rPr>
          <w:rStyle w:val="CharDivText"/>
        </w:rPr>
        <w:t>Sterilisation</w:t>
      </w:r>
      <w:bookmarkEnd w:id="39"/>
      <w:bookmarkEnd w:id="40"/>
      <w:bookmarkEnd w:id="41"/>
    </w:p>
    <w:p>
      <w:pPr>
        <w:pStyle w:val="Heading5"/>
      </w:pPr>
      <w:bookmarkStart w:id="42" w:name="_Toc112321736"/>
      <w:r>
        <w:rPr>
          <w:rStyle w:val="CharSectno"/>
        </w:rPr>
        <w:t>18</w:t>
      </w:r>
      <w:r>
        <w:t>.</w:t>
      </w:r>
      <w:r>
        <w:tab/>
        <w:t>Cats to be sterilised</w:t>
      </w:r>
      <w:bookmarkEnd w:id="42"/>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lastRenderedPageBreak/>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43" w:name="_Toc112321737"/>
      <w:r>
        <w:rPr>
          <w:rStyle w:val="CharSectno"/>
        </w:rPr>
        <w:t>19</w:t>
      </w:r>
      <w:r>
        <w:t>.</w:t>
      </w:r>
      <w:r>
        <w:tab/>
        <w:t>Identifying as sterilised a cat that is not sterilised</w:t>
      </w:r>
      <w:bookmarkEnd w:id="43"/>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44" w:name="_Toc112321738"/>
      <w:r>
        <w:rPr>
          <w:rStyle w:val="CharSectno"/>
        </w:rPr>
        <w:t>20</w:t>
      </w:r>
      <w:r>
        <w:t>.</w:t>
      </w:r>
      <w:r>
        <w:tab/>
        <w:t>Notice of sterilisation to be given to microchip database company</w:t>
      </w:r>
      <w:bookmarkEnd w:id="44"/>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45" w:name="_Toc112321739"/>
      <w:r>
        <w:rPr>
          <w:rStyle w:val="CharSectno"/>
        </w:rPr>
        <w:t>21</w:t>
      </w:r>
      <w:r>
        <w:t>.</w:t>
      </w:r>
      <w:r>
        <w:tab/>
        <w:t>Certificate of sterilisation to be given</w:t>
      </w:r>
      <w:bookmarkEnd w:id="45"/>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46" w:name="_Toc112244181"/>
      <w:bookmarkStart w:id="47" w:name="_Toc112244303"/>
      <w:bookmarkStart w:id="48" w:name="_Toc112321740"/>
      <w:r>
        <w:rPr>
          <w:rStyle w:val="CharDivNo"/>
        </w:rPr>
        <w:lastRenderedPageBreak/>
        <w:t>Division 4</w:t>
      </w:r>
      <w:r>
        <w:t> — </w:t>
      </w:r>
      <w:r>
        <w:rPr>
          <w:rStyle w:val="CharDivText"/>
        </w:rPr>
        <w:t>Transfer of ownership of cats</w:t>
      </w:r>
      <w:bookmarkEnd w:id="46"/>
      <w:bookmarkEnd w:id="47"/>
      <w:bookmarkEnd w:id="48"/>
    </w:p>
    <w:p>
      <w:pPr>
        <w:pStyle w:val="Heading5"/>
      </w:pPr>
      <w:bookmarkStart w:id="49" w:name="_Toc112321741"/>
      <w:r>
        <w:rPr>
          <w:rStyle w:val="CharSectno"/>
        </w:rPr>
        <w:t>22</w:t>
      </w:r>
      <w:r>
        <w:t>.</w:t>
      </w:r>
      <w:r>
        <w:tab/>
        <w:t>Terms used</w:t>
      </w:r>
      <w:bookmarkEnd w:id="49"/>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50" w:name="_Toc112321742"/>
      <w:r>
        <w:rPr>
          <w:rStyle w:val="CharSectno"/>
        </w:rPr>
        <w:t>23</w:t>
      </w:r>
      <w:r>
        <w:t>.</w:t>
      </w:r>
      <w:r>
        <w:tab/>
        <w:t>Transfer of ownership of cats</w:t>
      </w:r>
      <w:bookmarkEnd w:id="50"/>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lastRenderedPageBreak/>
        <w:tab/>
        <w:t>(b)</w:t>
      </w:r>
      <w:r>
        <w:tab/>
        <w:t>in the circumstances, if any, prescribed.</w:t>
      </w:r>
    </w:p>
    <w:p>
      <w:pPr>
        <w:pStyle w:val="Heading5"/>
      </w:pPr>
      <w:bookmarkStart w:id="51" w:name="_Toc112321743"/>
      <w:r>
        <w:rPr>
          <w:rStyle w:val="CharSectno"/>
        </w:rPr>
        <w:t>24</w:t>
      </w:r>
      <w:r>
        <w:t>.</w:t>
      </w:r>
      <w:r>
        <w:tab/>
        <w:t>Notice to be given of transfer of cat</w:t>
      </w:r>
      <w:bookmarkEnd w:id="51"/>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52" w:name="_Toc112244185"/>
      <w:bookmarkStart w:id="53" w:name="_Toc112244307"/>
      <w:bookmarkStart w:id="54" w:name="_Toc112321744"/>
      <w:r>
        <w:rPr>
          <w:rStyle w:val="CharDivNo"/>
        </w:rPr>
        <w:t>Division 5</w:t>
      </w:r>
      <w:r>
        <w:t> — </w:t>
      </w:r>
      <w:r>
        <w:rPr>
          <w:rStyle w:val="CharDivText"/>
        </w:rPr>
        <w:t>Changes to recorded information</w:t>
      </w:r>
      <w:bookmarkEnd w:id="52"/>
      <w:bookmarkEnd w:id="53"/>
      <w:bookmarkEnd w:id="54"/>
    </w:p>
    <w:p>
      <w:pPr>
        <w:pStyle w:val="Heading5"/>
      </w:pPr>
      <w:bookmarkStart w:id="55" w:name="_Toc112321745"/>
      <w:r>
        <w:rPr>
          <w:rStyle w:val="CharSectno"/>
        </w:rPr>
        <w:t>25</w:t>
      </w:r>
      <w:r>
        <w:t>.</w:t>
      </w:r>
      <w:r>
        <w:tab/>
        <w:t>Notice to be given of changes to recorded information</w:t>
      </w:r>
      <w:bookmarkEnd w:id="55"/>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56" w:name="_Toc112244187"/>
      <w:bookmarkStart w:id="57" w:name="_Toc112244309"/>
      <w:bookmarkStart w:id="58" w:name="_Toc112321746"/>
      <w:r>
        <w:rPr>
          <w:rStyle w:val="CharPartNo"/>
        </w:rPr>
        <w:lastRenderedPageBreak/>
        <w:t>Part 3</w:t>
      </w:r>
      <w:r>
        <w:t> — </w:t>
      </w:r>
      <w:r>
        <w:rPr>
          <w:rStyle w:val="CharPartText"/>
        </w:rPr>
        <w:t>Management of cats</w:t>
      </w:r>
      <w:bookmarkEnd w:id="56"/>
      <w:bookmarkEnd w:id="57"/>
      <w:bookmarkEnd w:id="58"/>
    </w:p>
    <w:p>
      <w:pPr>
        <w:pStyle w:val="Heading3"/>
      </w:pPr>
      <w:bookmarkStart w:id="59" w:name="_Toc112244188"/>
      <w:bookmarkStart w:id="60" w:name="_Toc112244310"/>
      <w:bookmarkStart w:id="61" w:name="_Toc112321747"/>
      <w:r>
        <w:rPr>
          <w:rStyle w:val="CharDivNo"/>
        </w:rPr>
        <w:t>Division 1</w:t>
      </w:r>
      <w:r>
        <w:t> — </w:t>
      </w:r>
      <w:r>
        <w:rPr>
          <w:rStyle w:val="CharDivText"/>
        </w:rPr>
        <w:t>Cat control notices</w:t>
      </w:r>
      <w:bookmarkEnd w:id="59"/>
      <w:bookmarkEnd w:id="60"/>
      <w:bookmarkEnd w:id="61"/>
    </w:p>
    <w:p>
      <w:pPr>
        <w:pStyle w:val="Heading5"/>
      </w:pPr>
      <w:bookmarkStart w:id="62" w:name="_Toc112321748"/>
      <w:r>
        <w:rPr>
          <w:rStyle w:val="CharSectno"/>
        </w:rPr>
        <w:t>26</w:t>
      </w:r>
      <w:r>
        <w:t>.</w:t>
      </w:r>
      <w:r>
        <w:tab/>
        <w:t>Cat control notice may be given to cat owner</w:t>
      </w:r>
      <w:bookmarkEnd w:id="62"/>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63" w:name="_Toc112244190"/>
      <w:bookmarkStart w:id="64" w:name="_Toc112244312"/>
      <w:bookmarkStart w:id="65" w:name="_Toc112321749"/>
      <w:r>
        <w:rPr>
          <w:rStyle w:val="CharDivNo"/>
        </w:rPr>
        <w:t>Division 2</w:t>
      </w:r>
      <w:r>
        <w:t> — </w:t>
      </w:r>
      <w:r>
        <w:rPr>
          <w:rStyle w:val="CharDivText"/>
        </w:rPr>
        <w:t>Seizing cats</w:t>
      </w:r>
      <w:bookmarkEnd w:id="63"/>
      <w:bookmarkEnd w:id="64"/>
      <w:bookmarkEnd w:id="65"/>
    </w:p>
    <w:p>
      <w:pPr>
        <w:pStyle w:val="Heading5"/>
      </w:pPr>
      <w:bookmarkStart w:id="66" w:name="_Toc112321750"/>
      <w:r>
        <w:rPr>
          <w:rStyle w:val="CharSectno"/>
        </w:rPr>
        <w:t>27</w:t>
      </w:r>
      <w:r>
        <w:t>.</w:t>
      </w:r>
      <w:r>
        <w:tab/>
        <w:t>Cats may be seized</w:t>
      </w:r>
      <w:bookmarkEnd w:id="66"/>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67" w:name="_Toc112321751"/>
      <w:r>
        <w:rPr>
          <w:rStyle w:val="CharSectno"/>
        </w:rPr>
        <w:lastRenderedPageBreak/>
        <w:t>28</w:t>
      </w:r>
      <w:r>
        <w:t>.</w:t>
      </w:r>
      <w:r>
        <w:tab/>
        <w:t>Disposing of seized cats</w:t>
      </w:r>
      <w:bookmarkEnd w:id="67"/>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68" w:name="_Toc112244193"/>
      <w:bookmarkStart w:id="69" w:name="_Toc112244315"/>
      <w:bookmarkStart w:id="70" w:name="_Toc112321752"/>
      <w:r>
        <w:rPr>
          <w:rStyle w:val="CharDivNo"/>
        </w:rPr>
        <w:t>Division 3</w:t>
      </w:r>
      <w:r>
        <w:t> — </w:t>
      </w:r>
      <w:r>
        <w:rPr>
          <w:rStyle w:val="CharDivText"/>
        </w:rPr>
        <w:t>Dealing with cats at cat management facilities</w:t>
      </w:r>
      <w:bookmarkEnd w:id="68"/>
      <w:bookmarkEnd w:id="69"/>
      <w:bookmarkEnd w:id="70"/>
    </w:p>
    <w:p>
      <w:pPr>
        <w:pStyle w:val="Heading5"/>
        <w:spacing w:before="120"/>
      </w:pPr>
      <w:bookmarkStart w:id="71" w:name="_Toc112321753"/>
      <w:r>
        <w:rPr>
          <w:rStyle w:val="CharSectno"/>
        </w:rPr>
        <w:t>29</w:t>
      </w:r>
      <w:r>
        <w:t>.</w:t>
      </w:r>
      <w:r>
        <w:tab/>
        <w:t>Application of Division</w:t>
      </w:r>
      <w:bookmarkEnd w:id="71"/>
    </w:p>
    <w:p>
      <w:pPr>
        <w:pStyle w:val="Subsection"/>
      </w:pPr>
      <w:r>
        <w:tab/>
      </w:r>
      <w:r>
        <w:tab/>
        <w:t>This Division does not apply to a cat kept temporarily at a cat management facility at the request of its owner.</w:t>
      </w:r>
    </w:p>
    <w:p>
      <w:pPr>
        <w:pStyle w:val="Heading5"/>
        <w:spacing w:before="120"/>
      </w:pPr>
      <w:bookmarkStart w:id="72" w:name="_Toc112321754"/>
      <w:r>
        <w:rPr>
          <w:rStyle w:val="CharSectno"/>
        </w:rPr>
        <w:t>30</w:t>
      </w:r>
      <w:r>
        <w:t>.</w:t>
      </w:r>
      <w:r>
        <w:tab/>
        <w:t>Obligation to identify a cat’s owner</w:t>
      </w:r>
      <w:bookmarkEnd w:id="72"/>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73" w:name="_Toc112321755"/>
      <w:r>
        <w:rPr>
          <w:rStyle w:val="CharSectno"/>
        </w:rPr>
        <w:t>31</w:t>
      </w:r>
      <w:r>
        <w:t>.</w:t>
      </w:r>
      <w:r>
        <w:tab/>
        <w:t>Cat owner liable to pay costs to cat management facility</w:t>
      </w:r>
      <w:bookmarkEnd w:id="73"/>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lastRenderedPageBreak/>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74" w:name="_Toc112321756"/>
      <w:r>
        <w:rPr>
          <w:rStyle w:val="CharSectno"/>
        </w:rPr>
        <w:t>32</w:t>
      </w:r>
      <w:r>
        <w:t>.</w:t>
      </w:r>
      <w:r>
        <w:tab/>
        <w:t>Notice to be given to cat’s owner, if identified</w:t>
      </w:r>
      <w:bookmarkEnd w:id="74"/>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75" w:name="_Toc112321757"/>
      <w:r>
        <w:rPr>
          <w:rStyle w:val="CharSectno"/>
        </w:rPr>
        <w:lastRenderedPageBreak/>
        <w:t>33</w:t>
      </w:r>
      <w:r>
        <w:t>.</w:t>
      </w:r>
      <w:r>
        <w:tab/>
        <w:t>Operator of cat management facility may have cat microchipped and sterilised</w:t>
      </w:r>
      <w:bookmarkEnd w:id="75"/>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76" w:name="_Toc112321758"/>
      <w:r>
        <w:rPr>
          <w:rStyle w:val="CharSectno"/>
        </w:rPr>
        <w:t>34</w:t>
      </w:r>
      <w:r>
        <w:t>.</w:t>
      </w:r>
      <w:r>
        <w:tab/>
        <w:t>Dealing with unidentified and unclaimed cats</w:t>
      </w:r>
      <w:bookmarkEnd w:id="76"/>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lastRenderedPageBreak/>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77" w:name="_Toc112244200"/>
      <w:bookmarkStart w:id="78" w:name="_Toc112244322"/>
      <w:bookmarkStart w:id="79" w:name="_Toc112321759"/>
      <w:r>
        <w:rPr>
          <w:rStyle w:val="CharDivNo"/>
        </w:rPr>
        <w:t>Division 4</w:t>
      </w:r>
      <w:r>
        <w:t> — </w:t>
      </w:r>
      <w:r>
        <w:rPr>
          <w:rStyle w:val="CharDivText"/>
        </w:rPr>
        <w:t>Breeding of cats</w:t>
      </w:r>
      <w:bookmarkEnd w:id="77"/>
      <w:bookmarkEnd w:id="78"/>
      <w:bookmarkEnd w:id="79"/>
    </w:p>
    <w:p>
      <w:pPr>
        <w:pStyle w:val="Heading4"/>
      </w:pPr>
      <w:bookmarkStart w:id="80" w:name="_Toc112244201"/>
      <w:bookmarkStart w:id="81" w:name="_Toc112244323"/>
      <w:bookmarkStart w:id="82" w:name="_Toc112321760"/>
      <w:r>
        <w:t>Subdivision 1 — Restrictions on breeding cats</w:t>
      </w:r>
      <w:bookmarkEnd w:id="80"/>
      <w:bookmarkEnd w:id="81"/>
      <w:bookmarkEnd w:id="82"/>
    </w:p>
    <w:p>
      <w:pPr>
        <w:pStyle w:val="Heading5"/>
      </w:pPr>
      <w:bookmarkStart w:id="83" w:name="_Toc112321761"/>
      <w:r>
        <w:rPr>
          <w:rStyle w:val="CharSectno"/>
        </w:rPr>
        <w:t>35</w:t>
      </w:r>
      <w:r>
        <w:t>.</w:t>
      </w:r>
      <w:r>
        <w:tab/>
        <w:t>Only approved cat breeders may breed cats</w:t>
      </w:r>
      <w:bookmarkEnd w:id="83"/>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84" w:name="_Toc112244203"/>
      <w:bookmarkStart w:id="85" w:name="_Toc112244325"/>
      <w:bookmarkStart w:id="86" w:name="_Toc112321762"/>
      <w:r>
        <w:lastRenderedPageBreak/>
        <w:t>Subdivision 2 — Becoming an approved cat breeder</w:t>
      </w:r>
      <w:bookmarkEnd w:id="84"/>
      <w:bookmarkEnd w:id="85"/>
      <w:bookmarkEnd w:id="86"/>
    </w:p>
    <w:p>
      <w:pPr>
        <w:pStyle w:val="Heading5"/>
      </w:pPr>
      <w:bookmarkStart w:id="87" w:name="_Toc112321763"/>
      <w:r>
        <w:rPr>
          <w:rStyle w:val="CharSectno"/>
        </w:rPr>
        <w:t>36</w:t>
      </w:r>
      <w:r>
        <w:t>.</w:t>
      </w:r>
      <w:r>
        <w:tab/>
        <w:t>Application for approval to breed cats</w:t>
      </w:r>
      <w:bookmarkEnd w:id="87"/>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88" w:name="_Toc112321764"/>
      <w:r>
        <w:rPr>
          <w:rStyle w:val="CharSectno"/>
        </w:rPr>
        <w:t>37</w:t>
      </w:r>
      <w:r>
        <w:t>.</w:t>
      </w:r>
      <w:r>
        <w:tab/>
        <w:t>Approval to breed cats</w:t>
      </w:r>
      <w:bookmarkEnd w:id="88"/>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lastRenderedPageBreak/>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89" w:name="_Toc112321765"/>
      <w:r>
        <w:rPr>
          <w:rStyle w:val="CharSectno"/>
        </w:rPr>
        <w:t>38</w:t>
      </w:r>
      <w:r>
        <w:t>.</w:t>
      </w:r>
      <w:r>
        <w:tab/>
        <w:t>Cancellation of approval to breed cats</w:t>
      </w:r>
      <w:bookmarkEnd w:id="89"/>
    </w:p>
    <w:p>
      <w:pPr>
        <w:pStyle w:val="Subsection"/>
      </w:pPr>
      <w:r>
        <w:tab/>
      </w:r>
      <w:r>
        <w:tab/>
        <w:t>A local government may cancel an approval to breed cats if one or more of the things set out in section 37(2) applies in respect of the approved cat breeder.</w:t>
      </w:r>
    </w:p>
    <w:p>
      <w:pPr>
        <w:pStyle w:val="Heading5"/>
      </w:pPr>
      <w:bookmarkStart w:id="90" w:name="_Toc112321766"/>
      <w:r>
        <w:rPr>
          <w:rStyle w:val="CharSectno"/>
        </w:rPr>
        <w:t>39</w:t>
      </w:r>
      <w:r>
        <w:t>.</w:t>
      </w:r>
      <w:r>
        <w:tab/>
        <w:t>Certificate to be given to approved cat breeder</w:t>
      </w:r>
      <w:bookmarkEnd w:id="90"/>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91" w:name="_Toc112321767"/>
      <w:r>
        <w:rPr>
          <w:rStyle w:val="CharSectno"/>
        </w:rPr>
        <w:lastRenderedPageBreak/>
        <w:t>40</w:t>
      </w:r>
      <w:r>
        <w:t>.</w:t>
      </w:r>
      <w:r>
        <w:tab/>
        <w:t>Notice to be given of certain decisions made under this Subdivision</w:t>
      </w:r>
      <w:bookmarkEnd w:id="91"/>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92" w:name="_Toc112244209"/>
      <w:bookmarkStart w:id="93" w:name="_Toc112244331"/>
      <w:bookmarkStart w:id="94" w:name="_Toc112321768"/>
      <w:r>
        <w:rPr>
          <w:rStyle w:val="CharDivNo"/>
        </w:rPr>
        <w:t>Division 5</w:t>
      </w:r>
      <w:r>
        <w:t> — </w:t>
      </w:r>
      <w:r>
        <w:rPr>
          <w:rStyle w:val="CharDivText"/>
        </w:rPr>
        <w:t>Miscellaneous</w:t>
      </w:r>
      <w:bookmarkEnd w:id="92"/>
      <w:bookmarkEnd w:id="93"/>
      <w:bookmarkEnd w:id="94"/>
    </w:p>
    <w:p>
      <w:pPr>
        <w:pStyle w:val="Heading5"/>
      </w:pPr>
      <w:bookmarkStart w:id="95" w:name="_Toc112321769"/>
      <w:r>
        <w:rPr>
          <w:rStyle w:val="CharSectno"/>
        </w:rPr>
        <w:t>41</w:t>
      </w:r>
      <w:r>
        <w:t>.</w:t>
      </w:r>
      <w:r>
        <w:tab/>
        <w:t>Cats not to be offered as prizes</w:t>
      </w:r>
      <w:bookmarkEnd w:id="95"/>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96" w:name="_Toc112244211"/>
      <w:bookmarkStart w:id="97" w:name="_Toc112244333"/>
      <w:bookmarkStart w:id="98" w:name="_Toc112321770"/>
      <w:r>
        <w:rPr>
          <w:rStyle w:val="CharPartNo"/>
        </w:rPr>
        <w:lastRenderedPageBreak/>
        <w:t>Part 4</w:t>
      </w:r>
      <w:r>
        <w:t> — </w:t>
      </w:r>
      <w:r>
        <w:rPr>
          <w:rStyle w:val="CharPartText"/>
        </w:rPr>
        <w:t>Administration and enforcement</w:t>
      </w:r>
      <w:bookmarkEnd w:id="96"/>
      <w:bookmarkEnd w:id="97"/>
      <w:bookmarkEnd w:id="98"/>
    </w:p>
    <w:p>
      <w:pPr>
        <w:pStyle w:val="Heading3"/>
      </w:pPr>
      <w:bookmarkStart w:id="99" w:name="_Toc112244212"/>
      <w:bookmarkStart w:id="100" w:name="_Toc112244334"/>
      <w:bookmarkStart w:id="101" w:name="_Toc112321771"/>
      <w:r>
        <w:rPr>
          <w:rStyle w:val="CharDivNo"/>
        </w:rPr>
        <w:t>Division 1</w:t>
      </w:r>
      <w:r>
        <w:t> — </w:t>
      </w:r>
      <w:r>
        <w:rPr>
          <w:rStyle w:val="CharDivText"/>
        </w:rPr>
        <w:t>Administration</w:t>
      </w:r>
      <w:bookmarkEnd w:id="99"/>
      <w:bookmarkEnd w:id="100"/>
      <w:bookmarkEnd w:id="101"/>
    </w:p>
    <w:p>
      <w:pPr>
        <w:pStyle w:val="Heading5"/>
      </w:pPr>
      <w:bookmarkStart w:id="102" w:name="_Toc112321772"/>
      <w:r>
        <w:rPr>
          <w:rStyle w:val="CharSectno"/>
        </w:rPr>
        <w:t>42</w:t>
      </w:r>
      <w:r>
        <w:t>.</w:t>
      </w:r>
      <w:r>
        <w:tab/>
        <w:t>Administration by local governments</w:t>
      </w:r>
      <w:bookmarkEnd w:id="102"/>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03" w:name="_Toc112321773"/>
      <w:r>
        <w:rPr>
          <w:rStyle w:val="CharSectno"/>
        </w:rPr>
        <w:t>43</w:t>
      </w:r>
      <w:r>
        <w:t>.</w:t>
      </w:r>
      <w:r>
        <w:tab/>
        <w:t>Places to be regarded as within district</w:t>
      </w:r>
      <w:bookmarkEnd w:id="103"/>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04" w:name="_Toc112244215"/>
      <w:bookmarkStart w:id="105" w:name="_Toc112244337"/>
      <w:bookmarkStart w:id="106" w:name="_Toc112321774"/>
      <w:r>
        <w:rPr>
          <w:rStyle w:val="CharDivNo"/>
        </w:rPr>
        <w:lastRenderedPageBreak/>
        <w:t>Division 2</w:t>
      </w:r>
      <w:r>
        <w:t> — </w:t>
      </w:r>
      <w:r>
        <w:rPr>
          <w:rStyle w:val="CharDivText"/>
        </w:rPr>
        <w:t>Delegations</w:t>
      </w:r>
      <w:bookmarkEnd w:id="104"/>
      <w:bookmarkEnd w:id="105"/>
      <w:bookmarkEnd w:id="106"/>
    </w:p>
    <w:p>
      <w:pPr>
        <w:pStyle w:val="Heading5"/>
      </w:pPr>
      <w:bookmarkStart w:id="107" w:name="_Toc112321775"/>
      <w:r>
        <w:rPr>
          <w:rStyle w:val="CharSectno"/>
        </w:rPr>
        <w:t>44</w:t>
      </w:r>
      <w:r>
        <w:rPr>
          <w:b w:val="0"/>
        </w:rPr>
        <w:t>.</w:t>
      </w:r>
      <w:r>
        <w:rPr>
          <w:b w:val="0"/>
        </w:rPr>
        <w:tab/>
      </w:r>
      <w:r>
        <w:t>Delegation by local government</w:t>
      </w:r>
      <w:bookmarkEnd w:id="10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08" w:name="_Toc112321776"/>
      <w:r>
        <w:rPr>
          <w:rStyle w:val="CharSectno"/>
        </w:rPr>
        <w:t>45</w:t>
      </w:r>
      <w:r>
        <w:t>.</w:t>
      </w:r>
      <w:r>
        <w:tab/>
        <w:t>Delegation by CEO of local government</w:t>
      </w:r>
      <w:bookmarkEnd w:id="10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lastRenderedPageBreak/>
        <w:tab/>
        <w:t>(6)</w:t>
      </w:r>
      <w:r>
        <w:tab/>
        <w:t>A power or duty under section 63, 64 or 65 cannot be delegated to an authorised person.</w:t>
      </w:r>
    </w:p>
    <w:p>
      <w:pPr>
        <w:pStyle w:val="Heading5"/>
      </w:pPr>
      <w:bookmarkStart w:id="109" w:name="_Toc112321777"/>
      <w:r>
        <w:rPr>
          <w:rStyle w:val="CharSectno"/>
        </w:rPr>
        <w:t>46</w:t>
      </w:r>
      <w:r>
        <w:t>.</w:t>
      </w:r>
      <w:r>
        <w:tab/>
        <w:t>Other matters relevant to delegations under this Division</w:t>
      </w:r>
      <w:bookmarkEnd w:id="10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10" w:name="_Toc112321778"/>
      <w:r>
        <w:rPr>
          <w:rStyle w:val="CharSectno"/>
        </w:rPr>
        <w:t>47</w:t>
      </w:r>
      <w:r>
        <w:t>.</w:t>
      </w:r>
      <w:r>
        <w:tab/>
        <w:t>Register of, and review of, delegations</w:t>
      </w:r>
      <w:bookmarkEnd w:id="11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11" w:name="_Toc112244220"/>
      <w:bookmarkStart w:id="112" w:name="_Toc112244342"/>
      <w:bookmarkStart w:id="113" w:name="_Toc112321779"/>
      <w:r>
        <w:rPr>
          <w:rStyle w:val="CharDivNo"/>
        </w:rPr>
        <w:lastRenderedPageBreak/>
        <w:t>Division 3</w:t>
      </w:r>
      <w:r>
        <w:t> — </w:t>
      </w:r>
      <w:r>
        <w:rPr>
          <w:rStyle w:val="CharDivText"/>
        </w:rPr>
        <w:t>Authorised persons</w:t>
      </w:r>
      <w:bookmarkEnd w:id="111"/>
      <w:bookmarkEnd w:id="112"/>
      <w:bookmarkEnd w:id="113"/>
    </w:p>
    <w:p>
      <w:pPr>
        <w:pStyle w:val="Ednotesubdivision"/>
        <w:keepNext/>
      </w:pPr>
      <w:r>
        <w:t>[Subdivision 1 (s. 48) deleted: No. 16 of 2019 s. 92.]</w:t>
      </w:r>
    </w:p>
    <w:p>
      <w:pPr>
        <w:pStyle w:val="Heading4"/>
      </w:pPr>
      <w:bookmarkStart w:id="114" w:name="_Toc112244221"/>
      <w:bookmarkStart w:id="115" w:name="_Toc112244343"/>
      <w:bookmarkStart w:id="116" w:name="_Toc112321780"/>
      <w:r>
        <w:t>Subdivision 2 — Particular powers of authorised persons</w:t>
      </w:r>
      <w:bookmarkEnd w:id="114"/>
      <w:bookmarkEnd w:id="115"/>
      <w:bookmarkEnd w:id="116"/>
    </w:p>
    <w:p>
      <w:pPr>
        <w:pStyle w:val="Heading5"/>
      </w:pPr>
      <w:bookmarkStart w:id="117" w:name="_Toc112321781"/>
      <w:r>
        <w:rPr>
          <w:rStyle w:val="CharSectno"/>
        </w:rPr>
        <w:t>49</w:t>
      </w:r>
      <w:r>
        <w:t>.</w:t>
      </w:r>
      <w:r>
        <w:tab/>
        <w:t>Authorised person may cause a cat to be destroyed</w:t>
      </w:r>
      <w:bookmarkEnd w:id="117"/>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118" w:name="_Toc112321782"/>
      <w:r>
        <w:rPr>
          <w:rStyle w:val="CharSectno"/>
        </w:rPr>
        <w:t>50</w:t>
      </w:r>
      <w:r>
        <w:t>.</w:t>
      </w:r>
      <w:r>
        <w:tab/>
        <w:t>Persons found committing breach of Act to give name on demand</w:t>
      </w:r>
      <w:bookmarkEnd w:id="118"/>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lastRenderedPageBreak/>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19" w:name="_Toc112321783"/>
      <w:r>
        <w:rPr>
          <w:rStyle w:val="CharSectno"/>
        </w:rPr>
        <w:t>51</w:t>
      </w:r>
      <w:r>
        <w:t>.</w:t>
      </w:r>
      <w:r>
        <w:tab/>
        <w:t>Power to enter premises</w:t>
      </w:r>
      <w:bookmarkEnd w:id="119"/>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lastRenderedPageBreak/>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20" w:name="_Toc112321784"/>
      <w:r>
        <w:rPr>
          <w:rStyle w:val="CharSectno"/>
        </w:rPr>
        <w:t>52</w:t>
      </w:r>
      <w:r>
        <w:t>.</w:t>
      </w:r>
      <w:r>
        <w:tab/>
        <w:t>General powers of authorised person</w:t>
      </w:r>
      <w:bookmarkEnd w:id="120"/>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lastRenderedPageBreak/>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21" w:name="_Toc112321785"/>
      <w:r>
        <w:rPr>
          <w:rStyle w:val="CharSectno"/>
        </w:rPr>
        <w:t>53</w:t>
      </w:r>
      <w:r>
        <w:t>.</w:t>
      </w:r>
      <w:r>
        <w:tab/>
        <w:t>Act does not derogate from powers of police officers</w:t>
      </w:r>
      <w:bookmarkEnd w:id="121"/>
    </w:p>
    <w:p>
      <w:pPr>
        <w:pStyle w:val="Subsection"/>
      </w:pPr>
      <w:r>
        <w:tab/>
      </w:r>
      <w:r>
        <w:tab/>
        <w:t>Nothing in this Act derogates from the powers of an authorised person who is a police officer.</w:t>
      </w:r>
    </w:p>
    <w:p>
      <w:pPr>
        <w:pStyle w:val="Heading5"/>
      </w:pPr>
      <w:bookmarkStart w:id="122" w:name="_Toc112321786"/>
      <w:r>
        <w:rPr>
          <w:rStyle w:val="CharSectno"/>
        </w:rPr>
        <w:t>54</w:t>
      </w:r>
      <w:r>
        <w:t>.</w:t>
      </w:r>
      <w:r>
        <w:tab/>
        <w:t>Obstruction</w:t>
      </w:r>
      <w:bookmarkEnd w:id="122"/>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123" w:name="_Toc112244228"/>
      <w:bookmarkStart w:id="124" w:name="_Toc112244350"/>
      <w:bookmarkStart w:id="125" w:name="_Toc112321787"/>
      <w:r>
        <w:t>Subdivision 3 — Warrants</w:t>
      </w:r>
      <w:bookmarkEnd w:id="123"/>
      <w:bookmarkEnd w:id="124"/>
      <w:bookmarkEnd w:id="125"/>
    </w:p>
    <w:p>
      <w:pPr>
        <w:pStyle w:val="Heading5"/>
      </w:pPr>
      <w:bookmarkStart w:id="126" w:name="_Toc112321788"/>
      <w:r>
        <w:rPr>
          <w:rStyle w:val="CharSectno"/>
        </w:rPr>
        <w:t>55</w:t>
      </w:r>
      <w:r>
        <w:t>.</w:t>
      </w:r>
      <w:r>
        <w:tab/>
        <w:t>Grounds for a search warrant</w:t>
      </w:r>
      <w:bookmarkEnd w:id="126"/>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127" w:name="_Toc112321789"/>
      <w:r>
        <w:rPr>
          <w:rStyle w:val="CharSectno"/>
        </w:rPr>
        <w:t>56</w:t>
      </w:r>
      <w:r>
        <w:t>.</w:t>
      </w:r>
      <w:r>
        <w:tab/>
        <w:t>Grounds for a warrant to seize cat</w:t>
      </w:r>
      <w:bookmarkEnd w:id="127"/>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128" w:name="_Toc112321790"/>
      <w:r>
        <w:rPr>
          <w:rStyle w:val="CharSectno"/>
        </w:rPr>
        <w:lastRenderedPageBreak/>
        <w:t>57</w:t>
      </w:r>
      <w:r>
        <w:t>.</w:t>
      </w:r>
      <w:r>
        <w:tab/>
        <w:t>Application for warrant</w:t>
      </w:r>
      <w:bookmarkEnd w:id="128"/>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129" w:name="_Toc112321791"/>
      <w:r>
        <w:rPr>
          <w:rStyle w:val="CharSectno"/>
        </w:rPr>
        <w:t>58</w:t>
      </w:r>
      <w:r>
        <w:t>.</w:t>
      </w:r>
      <w:r>
        <w:tab/>
        <w:t>Form of warrant</w:t>
      </w:r>
      <w:bookmarkEnd w:id="129"/>
    </w:p>
    <w:p>
      <w:pPr>
        <w:pStyle w:val="Subsection"/>
      </w:pPr>
      <w:r>
        <w:tab/>
      </w:r>
      <w:r>
        <w:tab/>
        <w:t>A warrant is to be in the prescribed form.</w:t>
      </w:r>
    </w:p>
    <w:p>
      <w:pPr>
        <w:pStyle w:val="Heading5"/>
      </w:pPr>
      <w:bookmarkStart w:id="130" w:name="_Toc112321792"/>
      <w:r>
        <w:rPr>
          <w:rStyle w:val="CharSectno"/>
        </w:rPr>
        <w:t>59</w:t>
      </w:r>
      <w:r>
        <w:t>.</w:t>
      </w:r>
      <w:r>
        <w:tab/>
        <w:t>Effect of warrant</w:t>
      </w:r>
      <w:bookmarkEnd w:id="130"/>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131" w:name="_Toc112321793"/>
      <w:r>
        <w:rPr>
          <w:rStyle w:val="CharSectno"/>
        </w:rPr>
        <w:t>60</w:t>
      </w:r>
      <w:r>
        <w:t>.</w:t>
      </w:r>
      <w:r>
        <w:tab/>
        <w:t>Execution of warrant</w:t>
      </w:r>
      <w:bookmarkEnd w:id="131"/>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132" w:name="_Toc112244235"/>
      <w:bookmarkStart w:id="133" w:name="_Toc112244357"/>
      <w:bookmarkStart w:id="134" w:name="_Toc112321794"/>
      <w:r>
        <w:rPr>
          <w:rStyle w:val="CharDivNo"/>
        </w:rPr>
        <w:t>Division 4</w:t>
      </w:r>
      <w:r>
        <w:t> — </w:t>
      </w:r>
      <w:r>
        <w:rPr>
          <w:rStyle w:val="CharDivText"/>
        </w:rPr>
        <w:t>Infringement notices</w:t>
      </w:r>
      <w:bookmarkEnd w:id="132"/>
      <w:bookmarkEnd w:id="133"/>
      <w:bookmarkEnd w:id="134"/>
    </w:p>
    <w:p>
      <w:pPr>
        <w:pStyle w:val="Heading5"/>
      </w:pPr>
      <w:bookmarkStart w:id="135" w:name="_Toc112321795"/>
      <w:r>
        <w:rPr>
          <w:rStyle w:val="CharSectno"/>
        </w:rPr>
        <w:t>61</w:t>
      </w:r>
      <w:r>
        <w:t>.</w:t>
      </w:r>
      <w:r>
        <w:tab/>
        <w:t>Terms used</w:t>
      </w:r>
      <w:bookmarkEnd w:id="135"/>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lastRenderedPageBreak/>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136" w:name="_Toc112321796"/>
      <w:r>
        <w:rPr>
          <w:rStyle w:val="CharSectno"/>
        </w:rPr>
        <w:t>62</w:t>
      </w:r>
      <w:r>
        <w:t>.</w:t>
      </w:r>
      <w:r>
        <w:tab/>
        <w:t>Giving an infringement notice</w:t>
      </w:r>
      <w:bookmarkEnd w:id="136"/>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137" w:name="_Toc112321797"/>
      <w:r>
        <w:rPr>
          <w:rStyle w:val="CharSectno"/>
        </w:rPr>
        <w:t>63</w:t>
      </w:r>
      <w:r>
        <w:t>.</w:t>
      </w:r>
      <w:r>
        <w:tab/>
        <w:t>Content of infringement notice</w:t>
      </w:r>
      <w:bookmarkEnd w:id="13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the CEO of the </w:t>
      </w:r>
      <w:r>
        <w:lastRenderedPageBreak/>
        <w:t>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138" w:name="_Toc112321798"/>
      <w:r>
        <w:rPr>
          <w:rStyle w:val="CharSectno"/>
        </w:rPr>
        <w:t>64</w:t>
      </w:r>
      <w:r>
        <w:t>.</w:t>
      </w:r>
      <w:r>
        <w:tab/>
        <w:t>Extension of time</w:t>
      </w:r>
      <w:bookmarkEnd w:id="138"/>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139" w:name="_Toc112321799"/>
      <w:r>
        <w:rPr>
          <w:rStyle w:val="CharSectno"/>
        </w:rPr>
        <w:t>65</w:t>
      </w:r>
      <w:r>
        <w:t>.</w:t>
      </w:r>
      <w:r>
        <w:tab/>
        <w:t>Withdrawal of notice</w:t>
      </w:r>
      <w:bookmarkEnd w:id="13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140" w:name="_Toc112321800"/>
      <w:r>
        <w:rPr>
          <w:rStyle w:val="CharSectno"/>
        </w:rPr>
        <w:t>66</w:t>
      </w:r>
      <w:r>
        <w:t>.</w:t>
      </w:r>
      <w:r>
        <w:tab/>
        <w:t>Benefit of paying modified penalty</w:t>
      </w:r>
      <w:bookmarkEnd w:id="1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 xml:space="preserve">If this subsection applies it prevents the bringing of proceedings and the imposition of penalties to the same extent that they </w:t>
      </w:r>
      <w:r>
        <w:lastRenderedPageBreak/>
        <w:t>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41" w:name="_Toc112321801"/>
      <w:r>
        <w:rPr>
          <w:rStyle w:val="CharSectno"/>
        </w:rPr>
        <w:t>67</w:t>
      </w:r>
      <w:r>
        <w:t>.</w:t>
      </w:r>
      <w:r>
        <w:tab/>
        <w:t>Application of penalties collected</w:t>
      </w:r>
      <w:bookmarkEnd w:id="141"/>
    </w:p>
    <w:p>
      <w:pPr>
        <w:pStyle w:val="Subsection"/>
      </w:pPr>
      <w:r>
        <w:tab/>
      </w:r>
      <w:r>
        <w:tab/>
        <w:t>An amount paid as a modified penalty is, subject to section 65(2), to be dealt with as if it were a fine imposed by a court as a penalty for an offence.</w:t>
      </w:r>
    </w:p>
    <w:p>
      <w:pPr>
        <w:pStyle w:val="Heading3"/>
      </w:pPr>
      <w:bookmarkStart w:id="142" w:name="_Toc112244243"/>
      <w:bookmarkStart w:id="143" w:name="_Toc112244365"/>
      <w:bookmarkStart w:id="144" w:name="_Toc112321802"/>
      <w:r>
        <w:rPr>
          <w:rStyle w:val="CharDivNo"/>
        </w:rPr>
        <w:t>Division 5</w:t>
      </w:r>
      <w:r>
        <w:t> — </w:t>
      </w:r>
      <w:r>
        <w:rPr>
          <w:rStyle w:val="CharDivText"/>
        </w:rPr>
        <w:t>Objections and review</w:t>
      </w:r>
      <w:bookmarkEnd w:id="142"/>
      <w:bookmarkEnd w:id="143"/>
      <w:bookmarkEnd w:id="144"/>
    </w:p>
    <w:p>
      <w:pPr>
        <w:pStyle w:val="Heading5"/>
      </w:pPr>
      <w:bookmarkStart w:id="145" w:name="_Toc112321803"/>
      <w:r>
        <w:rPr>
          <w:rStyle w:val="CharSectno"/>
        </w:rPr>
        <w:t>68</w:t>
      </w:r>
      <w:r>
        <w:t>.</w:t>
      </w:r>
      <w:r>
        <w:tab/>
        <w:t>When this Division applies</w:t>
      </w:r>
      <w:bookmarkEnd w:id="145"/>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146" w:name="_Toc112321804"/>
      <w:r>
        <w:rPr>
          <w:rStyle w:val="CharSectno"/>
        </w:rPr>
        <w:t>69</w:t>
      </w:r>
      <w:r>
        <w:t>.</w:t>
      </w:r>
      <w:r>
        <w:tab/>
        <w:t>Objection may be lodged</w:t>
      </w:r>
      <w:bookmarkEnd w:id="146"/>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147" w:name="_Toc112321805"/>
      <w:r>
        <w:rPr>
          <w:rStyle w:val="CharSectno"/>
        </w:rPr>
        <w:lastRenderedPageBreak/>
        <w:t>70</w:t>
      </w:r>
      <w:r>
        <w:t>.</w:t>
      </w:r>
      <w:r>
        <w:tab/>
        <w:t>Dealing with objection</w:t>
      </w:r>
      <w:bookmarkEnd w:id="14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8" w:name="_Toc112321806"/>
      <w:r>
        <w:rPr>
          <w:rStyle w:val="CharSectno"/>
        </w:rPr>
        <w:t>71</w:t>
      </w:r>
      <w:r>
        <w:t>.</w:t>
      </w:r>
      <w:r>
        <w:tab/>
        <w:t>Review of decisions</w:t>
      </w:r>
      <w:bookmarkEnd w:id="14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lastRenderedPageBreak/>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49" w:name="_Toc112321807"/>
      <w:r>
        <w:rPr>
          <w:rStyle w:val="CharSectno"/>
        </w:rPr>
        <w:t>72</w:t>
      </w:r>
      <w:r>
        <w:t>.</w:t>
      </w:r>
      <w:r>
        <w:tab/>
        <w:t>Suspension of effect of some decisions</w:t>
      </w:r>
      <w:bookmarkEnd w:id="149"/>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150" w:name="_Toc112244249"/>
      <w:bookmarkStart w:id="151" w:name="_Toc112244371"/>
      <w:bookmarkStart w:id="152" w:name="_Toc112321808"/>
      <w:r>
        <w:rPr>
          <w:rStyle w:val="CharDivNo"/>
        </w:rPr>
        <w:lastRenderedPageBreak/>
        <w:t>Division 6</w:t>
      </w:r>
      <w:r>
        <w:t> — </w:t>
      </w:r>
      <w:r>
        <w:rPr>
          <w:rStyle w:val="CharDivText"/>
        </w:rPr>
        <w:t>Legal proceedings</w:t>
      </w:r>
      <w:bookmarkEnd w:id="150"/>
      <w:bookmarkEnd w:id="151"/>
      <w:bookmarkEnd w:id="152"/>
    </w:p>
    <w:p>
      <w:pPr>
        <w:pStyle w:val="Heading5"/>
      </w:pPr>
      <w:bookmarkStart w:id="153" w:name="_Toc112321809"/>
      <w:r>
        <w:rPr>
          <w:rStyle w:val="CharSectno"/>
        </w:rPr>
        <w:t>73</w:t>
      </w:r>
      <w:r>
        <w:t>.</w:t>
      </w:r>
      <w:r>
        <w:tab/>
        <w:t>Prosecutions</w:t>
      </w:r>
      <w:bookmarkEnd w:id="153"/>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154" w:name="_Toc112321810"/>
      <w:r>
        <w:rPr>
          <w:rStyle w:val="CharSectno"/>
        </w:rPr>
        <w:t>74</w:t>
      </w:r>
      <w:r>
        <w:t>.</w:t>
      </w:r>
      <w:r>
        <w:tab/>
        <w:t>Additional court orders</w:t>
      </w:r>
      <w:bookmarkEnd w:id="154"/>
    </w:p>
    <w:p>
      <w:pPr>
        <w:pStyle w:val="Subsection"/>
        <w:keepNext/>
      </w:pPr>
      <w:r>
        <w:tab/>
        <w:t>(1)</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keepNext/>
      </w:pPr>
      <w:r>
        <w:lastRenderedPageBreak/>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155" w:name="_Toc112321811"/>
      <w:r>
        <w:rPr>
          <w:rStyle w:val="CharSectno"/>
        </w:rPr>
        <w:t>75</w:t>
      </w:r>
      <w:r>
        <w:t>.</w:t>
      </w:r>
      <w:r>
        <w:tab/>
        <w:t>Evidentiary matters</w:t>
      </w:r>
      <w:bookmarkEnd w:id="155"/>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lastRenderedPageBreak/>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156" w:name="_Toc112244253"/>
      <w:bookmarkStart w:id="157" w:name="_Toc112244375"/>
      <w:bookmarkStart w:id="158" w:name="_Toc112321812"/>
      <w:r>
        <w:rPr>
          <w:rStyle w:val="CharPartNo"/>
        </w:rPr>
        <w:lastRenderedPageBreak/>
        <w:t>Part 5</w:t>
      </w:r>
      <w:r>
        <w:t> — </w:t>
      </w:r>
      <w:r>
        <w:rPr>
          <w:rStyle w:val="CharPartText"/>
        </w:rPr>
        <w:t>Subsidiary legislation</w:t>
      </w:r>
      <w:bookmarkEnd w:id="156"/>
      <w:bookmarkEnd w:id="157"/>
      <w:bookmarkEnd w:id="158"/>
    </w:p>
    <w:p>
      <w:pPr>
        <w:pStyle w:val="Heading3"/>
      </w:pPr>
      <w:bookmarkStart w:id="159" w:name="_Toc112244254"/>
      <w:bookmarkStart w:id="160" w:name="_Toc112244376"/>
      <w:bookmarkStart w:id="161" w:name="_Toc112321813"/>
      <w:r>
        <w:rPr>
          <w:rStyle w:val="CharDivNo"/>
        </w:rPr>
        <w:t>Division 1</w:t>
      </w:r>
      <w:r>
        <w:t> — </w:t>
      </w:r>
      <w:r>
        <w:rPr>
          <w:rStyle w:val="CharDivText"/>
        </w:rPr>
        <w:t>Regulations</w:t>
      </w:r>
      <w:bookmarkEnd w:id="159"/>
      <w:bookmarkEnd w:id="160"/>
      <w:bookmarkEnd w:id="161"/>
    </w:p>
    <w:p>
      <w:pPr>
        <w:pStyle w:val="Heading5"/>
      </w:pPr>
      <w:bookmarkStart w:id="162" w:name="_Toc112321814"/>
      <w:r>
        <w:rPr>
          <w:rStyle w:val="CharSectno"/>
        </w:rPr>
        <w:t>76</w:t>
      </w:r>
      <w:r>
        <w:t>.</w:t>
      </w:r>
      <w:r>
        <w:tab/>
        <w:t>General regulations</w:t>
      </w:r>
      <w:bookmarkEnd w:id="162"/>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163" w:name="_Toc112321815"/>
      <w:r>
        <w:rPr>
          <w:rStyle w:val="CharSectno"/>
        </w:rPr>
        <w:t>77</w:t>
      </w:r>
      <w:r>
        <w:t>.</w:t>
      </w:r>
      <w:r>
        <w:tab/>
        <w:t>Regulations that operate as local laws</w:t>
      </w:r>
      <w:bookmarkEnd w:id="16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lastRenderedPageBreak/>
        <w:tab/>
        <w:t>(6)</w:t>
      </w:r>
      <w:r>
        <w:tab/>
        <w:t>If there is any inconsistency between a regulation made under this section and a local law made under this Act, the regulation prevails to the extent of the inconsistency.</w:t>
      </w:r>
    </w:p>
    <w:p>
      <w:pPr>
        <w:pStyle w:val="Heading5"/>
      </w:pPr>
      <w:bookmarkStart w:id="164" w:name="_Toc112321816"/>
      <w:r>
        <w:rPr>
          <w:rStyle w:val="CharSectno"/>
        </w:rPr>
        <w:t>78</w:t>
      </w:r>
      <w:r>
        <w:t>.</w:t>
      </w:r>
      <w:r>
        <w:tab/>
        <w:t>Provisions about regulations</w:t>
      </w:r>
      <w:bookmarkEnd w:id="164"/>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165" w:name="_Toc112244258"/>
      <w:bookmarkStart w:id="166" w:name="_Toc112244380"/>
      <w:bookmarkStart w:id="167" w:name="_Toc112321817"/>
      <w:r>
        <w:rPr>
          <w:rStyle w:val="CharDivNo"/>
        </w:rPr>
        <w:t>Division 2</w:t>
      </w:r>
      <w:r>
        <w:t> — </w:t>
      </w:r>
      <w:r>
        <w:rPr>
          <w:rStyle w:val="CharDivText"/>
        </w:rPr>
        <w:t>Local laws</w:t>
      </w:r>
      <w:bookmarkEnd w:id="165"/>
      <w:bookmarkEnd w:id="166"/>
      <w:bookmarkEnd w:id="167"/>
    </w:p>
    <w:p>
      <w:pPr>
        <w:pStyle w:val="Heading5"/>
      </w:pPr>
      <w:bookmarkStart w:id="168" w:name="_Toc112321818"/>
      <w:r>
        <w:rPr>
          <w:rStyle w:val="CharSectno"/>
        </w:rPr>
        <w:t>79</w:t>
      </w:r>
      <w:r>
        <w:t>.</w:t>
      </w:r>
      <w:r>
        <w:tab/>
        <w:t>Local laws</w:t>
      </w:r>
      <w:bookmarkEnd w:id="168"/>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lastRenderedPageBreak/>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169" w:name="_Toc112321819"/>
      <w:r>
        <w:rPr>
          <w:rStyle w:val="CharSectno"/>
        </w:rPr>
        <w:t>80</w:t>
      </w:r>
      <w:r>
        <w:t>.</w:t>
      </w:r>
      <w:r>
        <w:tab/>
        <w:t>Places outside district</w:t>
      </w:r>
      <w:bookmarkEnd w:id="169"/>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lastRenderedPageBreak/>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170" w:name="_Toc112321820"/>
      <w:r>
        <w:rPr>
          <w:rStyle w:val="CharSectno"/>
        </w:rPr>
        <w:t>81</w:t>
      </w:r>
      <w:r>
        <w:t>.</w:t>
      </w:r>
      <w:r>
        <w:tab/>
        <w:t>Inconsistency with written laws</w:t>
      </w:r>
      <w:bookmarkEnd w:id="170"/>
    </w:p>
    <w:p>
      <w:pPr>
        <w:pStyle w:val="Subsection"/>
      </w:pPr>
      <w:r>
        <w:tab/>
      </w:r>
      <w:r>
        <w:tab/>
        <w:t>A local law made under this Act is inoperative to the extent that it is inconsistent with this Act or any other written law.</w:t>
      </w:r>
    </w:p>
    <w:p>
      <w:pPr>
        <w:pStyle w:val="Heading5"/>
      </w:pPr>
      <w:bookmarkStart w:id="171" w:name="_Toc112321821"/>
      <w:r>
        <w:rPr>
          <w:rStyle w:val="CharSectno"/>
        </w:rPr>
        <w:t>82</w:t>
      </w:r>
      <w:r>
        <w:t>.</w:t>
      </w:r>
      <w:r>
        <w:tab/>
        <w:t>Local laws may adopt codes etc.</w:t>
      </w:r>
      <w:bookmarkEnd w:id="171"/>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172" w:name="_Toc112321822"/>
      <w:r>
        <w:rPr>
          <w:rStyle w:val="CharSectno"/>
        </w:rPr>
        <w:lastRenderedPageBreak/>
        <w:t>83</w:t>
      </w:r>
      <w:r>
        <w:t>.</w:t>
      </w:r>
      <w:r>
        <w:tab/>
        <w:t>Model local laws</w:t>
      </w:r>
      <w:bookmarkEnd w:id="172"/>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73" w:name="_Toc112321823"/>
      <w:r>
        <w:rPr>
          <w:rStyle w:val="CharSectno"/>
        </w:rPr>
        <w:t>84</w:t>
      </w:r>
      <w:r>
        <w:t>.</w:t>
      </w:r>
      <w:r>
        <w:tab/>
        <w:t>Creating offences and prescribing penalties</w:t>
      </w:r>
      <w:bookmarkEnd w:id="173"/>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174" w:name="_Toc112244265"/>
      <w:bookmarkStart w:id="175" w:name="_Toc112244387"/>
      <w:bookmarkStart w:id="176" w:name="_Toc112321824"/>
      <w:r>
        <w:rPr>
          <w:rStyle w:val="CharPartNo"/>
        </w:rPr>
        <w:lastRenderedPageBreak/>
        <w:t>Part 6</w:t>
      </w:r>
      <w:r>
        <w:rPr>
          <w:rStyle w:val="CharDivNo"/>
        </w:rPr>
        <w:t> </w:t>
      </w:r>
      <w:r>
        <w:t>—</w:t>
      </w:r>
      <w:r>
        <w:rPr>
          <w:rStyle w:val="CharDivText"/>
        </w:rPr>
        <w:t> </w:t>
      </w:r>
      <w:r>
        <w:rPr>
          <w:rStyle w:val="CharPartText"/>
        </w:rPr>
        <w:t>Miscellaneous</w:t>
      </w:r>
      <w:bookmarkEnd w:id="174"/>
      <w:bookmarkEnd w:id="175"/>
      <w:bookmarkEnd w:id="176"/>
    </w:p>
    <w:p>
      <w:pPr>
        <w:pStyle w:val="Heading5"/>
      </w:pPr>
      <w:bookmarkStart w:id="177" w:name="_Toc112321825"/>
      <w:r>
        <w:rPr>
          <w:rStyle w:val="CharSectno"/>
        </w:rPr>
        <w:t>85</w:t>
      </w:r>
      <w:r>
        <w:t>.</w:t>
      </w:r>
      <w:r>
        <w:tab/>
        <w:t>False or misleading information</w:t>
      </w:r>
      <w:bookmarkEnd w:id="177"/>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178" w:name="_Toc112321826"/>
      <w:r>
        <w:rPr>
          <w:rStyle w:val="CharSectno"/>
        </w:rPr>
        <w:t>86</w:t>
      </w:r>
      <w:r>
        <w:t>.</w:t>
      </w:r>
      <w:r>
        <w:tab/>
        <w:t>Review of Act</w:t>
      </w:r>
      <w:bookmarkEnd w:id="17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179" w:name="_Toc112244268"/>
      <w:bookmarkStart w:id="180" w:name="_Toc112244390"/>
      <w:bookmarkStart w:id="181" w:name="_Toc112321827"/>
      <w:r>
        <w:rPr>
          <w:rStyle w:val="CharPartNo"/>
        </w:rPr>
        <w:lastRenderedPageBreak/>
        <w:t>Part 7</w:t>
      </w:r>
      <w:r>
        <w:t> — </w:t>
      </w:r>
      <w:r>
        <w:rPr>
          <w:rStyle w:val="CharPartText"/>
        </w:rPr>
        <w:t>Transitional provisions</w:t>
      </w:r>
      <w:bookmarkEnd w:id="179"/>
      <w:bookmarkEnd w:id="180"/>
      <w:bookmarkEnd w:id="181"/>
    </w:p>
    <w:p>
      <w:pPr>
        <w:pStyle w:val="Footnoteheading"/>
      </w:pPr>
      <w:r>
        <w:tab/>
        <w:t>[Heading inserted: No. 16 of 2019 s. 94.]</w:t>
      </w:r>
    </w:p>
    <w:p>
      <w:pPr>
        <w:pStyle w:val="Heading5"/>
      </w:pPr>
      <w:bookmarkStart w:id="182" w:name="_Toc112321828"/>
      <w:r>
        <w:rPr>
          <w:rStyle w:val="CharSectno"/>
        </w:rPr>
        <w:t>87</w:t>
      </w:r>
      <w:r>
        <w:t>.</w:t>
      </w:r>
      <w:r>
        <w:tab/>
        <w:t xml:space="preserve">Transitional provision for </w:t>
      </w:r>
      <w:r>
        <w:rPr>
          <w:i/>
        </w:rPr>
        <w:t>Local Government Legislation Amendment Act 2019</w:t>
      </w:r>
      <w:bookmarkEnd w:id="182"/>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Heading5"/>
      </w:pPr>
      <w:bookmarkStart w:id="183" w:name="_Toc90567520"/>
      <w:bookmarkStart w:id="184" w:name="_Toc90979387"/>
      <w:bookmarkStart w:id="185" w:name="_Toc112321829"/>
      <w:r>
        <w:rPr>
          <w:rStyle w:val="CharSectno"/>
        </w:rPr>
        <w:t>88</w:t>
      </w:r>
      <w:r>
        <w:t>.</w:t>
      </w:r>
      <w:r>
        <w:tab/>
        <w:t xml:space="preserve">Transitional provision for the </w:t>
      </w:r>
      <w:r>
        <w:rPr>
          <w:i/>
        </w:rPr>
        <w:t>Dog Amendment (Stop Puppy Farming) Act 2021</w:t>
      </w:r>
      <w:bookmarkEnd w:id="183"/>
      <w:bookmarkEnd w:id="184"/>
      <w:bookmarkEnd w:id="185"/>
    </w:p>
    <w:p>
      <w:pPr>
        <w:pStyle w:val="Subsection"/>
      </w:pPr>
      <w:r>
        <w:tab/>
        <w:t>(1)</w:t>
      </w:r>
      <w:r>
        <w:tab/>
        <w:t xml:space="preserve">In this section — </w:t>
      </w:r>
    </w:p>
    <w:p>
      <w:pPr>
        <w:pStyle w:val="Defstart"/>
      </w:pPr>
      <w:r>
        <w:tab/>
      </w:r>
      <w:r>
        <w:rPr>
          <w:rStyle w:val="CharDefText"/>
        </w:rPr>
        <w:t>centralised registration system</w:t>
      </w:r>
      <w:r>
        <w:t xml:space="preserve"> means the electronic database or system the Department CEO will be required to establish and maintain when the </w:t>
      </w:r>
      <w:r>
        <w:rPr>
          <w:i/>
        </w:rPr>
        <w:t>Dog Amendment (Stop Puppy Farming) Act 2021</w:t>
      </w:r>
      <w:r>
        <w:t xml:space="preserve"> section 59 comes into operation;</w:t>
      </w:r>
    </w:p>
    <w:p>
      <w:pPr>
        <w:pStyle w:val="Defstart"/>
      </w:pPr>
      <w:r>
        <w:tab/>
      </w:r>
      <w:r>
        <w:rPr>
          <w:rStyle w:val="CharDefText"/>
        </w:rPr>
        <w:t>commencement day</w:t>
      </w:r>
      <w:r>
        <w:t xml:space="preserve"> means the day on which the </w:t>
      </w:r>
      <w:r>
        <w:rPr>
          <w:i/>
        </w:rPr>
        <w:t>Dog Amendment (Stop Puppy Farming) Act 2021</w:t>
      </w:r>
      <w:r>
        <w:t xml:space="preserve"> section 59 comes into operation;</w:t>
      </w:r>
    </w:p>
    <w:p>
      <w:pPr>
        <w:pStyle w:val="Defstart"/>
      </w:pPr>
      <w:r>
        <w:tab/>
      </w:r>
      <w:r>
        <w:rPr>
          <w:rStyle w:val="CharDefText"/>
        </w:rPr>
        <w:t>Department CEO</w:t>
      </w:r>
      <w:r>
        <w:t xml:space="preserve"> means the chief executive officer of the department of the Public Service principally assisting the Minister in the administration of this Act.</w:t>
      </w:r>
    </w:p>
    <w:p>
      <w:pPr>
        <w:pStyle w:val="Subsection"/>
        <w:keepNext/>
      </w:pPr>
      <w:r>
        <w:lastRenderedPageBreak/>
        <w:tab/>
        <w:t>(2)</w:t>
      </w:r>
      <w:r>
        <w:tab/>
        <w:t xml:space="preserve">The Department CEO may establish and maintain the centralised registration system before the commencement day and may — </w:t>
      </w:r>
    </w:p>
    <w:p>
      <w:pPr>
        <w:pStyle w:val="Indenta"/>
      </w:pPr>
      <w:r>
        <w:tab/>
        <w:t>(a)</w:t>
      </w:r>
      <w:r>
        <w:tab/>
        <w:t>permit a local government to record in the centralised registration system any information that the local government is required under this Act to record in a register maintained by it; and</w:t>
      </w:r>
    </w:p>
    <w:p>
      <w:pPr>
        <w:pStyle w:val="Indenta"/>
      </w:pPr>
      <w:r>
        <w:tab/>
        <w:t>(b)</w:t>
      </w:r>
      <w:r>
        <w:tab/>
        <w:t>cause or permit information to be transferred from a register maintained by a local government to the centralised registration system.</w:t>
      </w:r>
    </w:p>
    <w:p>
      <w:pPr>
        <w:pStyle w:val="Subsection"/>
      </w:pPr>
      <w:r>
        <w:tab/>
        <w:t>(3)</w:t>
      </w:r>
      <w:r>
        <w:tab/>
        <w:t>If a local government records information in the centralised registration system under subsection (2)(a), or information from a register maintained by the local government is transferred to the centralised registration system under subsection (2)(b), before the commencement day the information is taken, for the purposes of this Act, to be information recorded by the local government on a register maintained by the local government.</w:t>
      </w:r>
    </w:p>
    <w:p>
      <w:pPr>
        <w:pStyle w:val="Footnotesection"/>
      </w:pPr>
      <w:r>
        <w:tab/>
        <w:t>[Section 88 inserted: No. 29 of 2021 s. 62.]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186" w:name="_Toc112244270"/>
      <w:bookmarkStart w:id="187" w:name="_Toc112244393"/>
      <w:bookmarkStart w:id="188" w:name="_Toc112321830"/>
      <w:r>
        <w:lastRenderedPageBreak/>
        <w:t>Notes</w:t>
      </w:r>
      <w:bookmarkEnd w:id="186"/>
      <w:bookmarkEnd w:id="187"/>
      <w:bookmarkEnd w:id="188"/>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9" w:name="_Toc112321831"/>
      <w:r>
        <w:t>Compilation table</w:t>
      </w:r>
      <w:bookmarkEnd w:id="18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52" w:type="dxa"/>
            <w:tcBorders>
              <w:top w:val="nil"/>
              <w:bottom w:val="nil"/>
            </w:tcBorders>
          </w:tcPr>
          <w:p>
            <w:pPr>
              <w:pStyle w:val="nTable"/>
              <w:spacing w:after="40"/>
              <w:rPr>
                <w:snapToGrid w:val="0"/>
              </w:rPr>
            </w:pPr>
            <w:r>
              <w:rPr>
                <w:snapToGrid w:val="0"/>
              </w:rPr>
              <w:t>7 Nov 2020 (see s. 2(b) and SL 2020/212 cl. 2)</w:t>
            </w:r>
          </w:p>
        </w:tc>
      </w:tr>
      <w:tr>
        <w:tc>
          <w:tcPr>
            <w:tcW w:w="2268" w:type="dxa"/>
            <w:tcBorders>
              <w:top w:val="nil"/>
              <w:bottom w:val="nil"/>
            </w:tcBorders>
          </w:tcPr>
          <w:p>
            <w:pPr>
              <w:pStyle w:val="nTable"/>
              <w:spacing w:after="40"/>
              <w:rPr>
                <w:i/>
              </w:rPr>
            </w:pPr>
            <w:r>
              <w:rPr>
                <w:i/>
              </w:rPr>
              <w:t>Veterinary Practice Act 2021</w:t>
            </w:r>
            <w:r>
              <w:t xml:space="preserve"> s. 228</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52" w:type="dxa"/>
            <w:tcBorders>
              <w:top w:val="nil"/>
              <w:bottom w:val="nil"/>
            </w:tcBorders>
          </w:tcPr>
          <w:p>
            <w:pPr>
              <w:pStyle w:val="nTable"/>
              <w:spacing w:after="40"/>
              <w:rPr>
                <w:snapToGrid w:val="0"/>
              </w:rPr>
            </w:pPr>
            <w:r>
              <w:rPr>
                <w:snapToGrid w:val="0"/>
              </w:rPr>
              <w:t>18 Jun 2022 (see s. 2(b) and SL 2022/81 cl. 2)</w:t>
            </w:r>
          </w:p>
        </w:tc>
      </w:tr>
      <w:tr>
        <w:tc>
          <w:tcPr>
            <w:tcW w:w="2268" w:type="dxa"/>
            <w:tcBorders>
              <w:top w:val="nil"/>
              <w:bottom w:val="single" w:sz="4" w:space="0" w:color="auto"/>
            </w:tcBorders>
          </w:tcPr>
          <w:p>
            <w:pPr>
              <w:pStyle w:val="nTable"/>
              <w:spacing w:after="40"/>
              <w:rPr>
                <w:i/>
              </w:rPr>
            </w:pPr>
            <w:r>
              <w:rPr>
                <w:i/>
              </w:rPr>
              <w:t>Dog Amendment (Stop Puppy Farming) Act 2021</w:t>
            </w:r>
            <w:r>
              <w:t xml:space="preserve"> Pt. 3 (but only s. 49 and 62)</w:t>
            </w:r>
          </w:p>
        </w:tc>
        <w:tc>
          <w:tcPr>
            <w:tcW w:w="1134" w:type="dxa"/>
            <w:tcBorders>
              <w:top w:val="nil"/>
              <w:bottom w:val="single" w:sz="4" w:space="0" w:color="auto"/>
            </w:tcBorders>
          </w:tcPr>
          <w:p>
            <w:pPr>
              <w:pStyle w:val="nTable"/>
              <w:spacing w:after="40"/>
            </w:pPr>
            <w:r>
              <w:t>29 of 2021</w:t>
            </w:r>
          </w:p>
        </w:tc>
        <w:tc>
          <w:tcPr>
            <w:tcW w:w="1134" w:type="dxa"/>
            <w:tcBorders>
              <w:top w:val="nil"/>
              <w:bottom w:val="single" w:sz="4" w:space="0" w:color="auto"/>
            </w:tcBorders>
          </w:tcPr>
          <w:p>
            <w:pPr>
              <w:pStyle w:val="nTable"/>
              <w:spacing w:after="40"/>
            </w:pPr>
            <w:r>
              <w:t>22 Dec 2021</w:t>
            </w:r>
          </w:p>
        </w:tc>
        <w:tc>
          <w:tcPr>
            <w:tcW w:w="2552" w:type="dxa"/>
            <w:tcBorders>
              <w:top w:val="nil"/>
              <w:bottom w:val="single" w:sz="4" w:space="0" w:color="auto"/>
            </w:tcBorders>
          </w:tcPr>
          <w:p>
            <w:pPr>
              <w:pStyle w:val="nTable"/>
              <w:spacing w:after="40"/>
              <w:rPr>
                <w:snapToGrid w:val="0"/>
              </w:rPr>
            </w:pPr>
            <w:r>
              <w:rPr>
                <w:snapToGrid w:val="0"/>
              </w:rPr>
              <w:t>27 Aug 2022 (see s. 2(e) and SL 2022/150 cl. 2)</w:t>
            </w:r>
          </w:p>
        </w:tc>
      </w:tr>
    </w:tbl>
    <w:p>
      <w:pPr>
        <w:pStyle w:val="nHeading3"/>
      </w:pPr>
      <w:bookmarkStart w:id="190" w:name="_Toc112321832"/>
      <w:r>
        <w:t>Uncommenced provisions table</w:t>
      </w:r>
      <w:bookmarkEnd w:id="1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right w:val="nil"/>
            </w:tcBorders>
          </w:tcPr>
          <w:p>
            <w:pPr>
              <w:pStyle w:val="nTable"/>
              <w:spacing w:after="40"/>
            </w:pPr>
            <w:r>
              <w:rPr>
                <w:i/>
              </w:rPr>
              <w:t>Dog Amendment (Stop Puppy Farming) Act 2021</w:t>
            </w:r>
            <w:r>
              <w:t xml:space="preserve"> s. 50</w:t>
            </w:r>
            <w:r>
              <w:noBreakHyphen/>
              <w:t>61</w:t>
            </w:r>
          </w:p>
        </w:tc>
        <w:tc>
          <w:tcPr>
            <w:tcW w:w="1134" w:type="dxa"/>
            <w:tcBorders>
              <w:top w:val="nil"/>
              <w:left w:val="nil"/>
              <w:right w:val="nil"/>
            </w:tcBorders>
          </w:tcPr>
          <w:p>
            <w:pPr>
              <w:pStyle w:val="nTable"/>
              <w:spacing w:after="40"/>
            </w:pPr>
            <w:r>
              <w:t>29 of 2021</w:t>
            </w:r>
          </w:p>
        </w:tc>
        <w:tc>
          <w:tcPr>
            <w:tcW w:w="1134" w:type="dxa"/>
            <w:tcBorders>
              <w:top w:val="nil"/>
              <w:left w:val="nil"/>
              <w:right w:val="nil"/>
            </w:tcBorders>
          </w:tcPr>
          <w:p>
            <w:pPr>
              <w:pStyle w:val="nTable"/>
              <w:spacing w:after="40"/>
              <w:rPr>
                <w:highlight w:val="yellow"/>
              </w:rPr>
            </w:pPr>
            <w:r>
              <w:t>22 Dec 2021</w:t>
            </w:r>
          </w:p>
        </w:tc>
        <w:tc>
          <w:tcPr>
            <w:tcW w:w="2552" w:type="dxa"/>
            <w:tcBorders>
              <w:top w:val="nil"/>
              <w:left w:val="nil"/>
            </w:tcBorders>
          </w:tcPr>
          <w:p>
            <w:pPr>
              <w:pStyle w:val="nTable"/>
              <w:spacing w:after="40"/>
            </w:pPr>
            <w:r>
              <w:t>To be proclaimed (see s. 2(e))</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centralised registration system</w:t>
      </w:r>
      <w:r>
        <w:tab/>
        <w:t>88(1)</w:t>
      </w:r>
    </w:p>
    <w:p>
      <w:pPr>
        <w:pStyle w:val="DefinedTerms"/>
      </w:pPr>
      <w:r>
        <w:t>commencement day</w:t>
      </w:r>
      <w:r>
        <w:tab/>
        <w:t>88(1)</w:t>
      </w:r>
    </w:p>
    <w:p>
      <w:pPr>
        <w:pStyle w:val="DefinedTerms"/>
      </w:pPr>
      <w:r>
        <w:t>conditions</w:t>
      </w:r>
      <w:r>
        <w:tab/>
        <w:t>45(5)</w:t>
      </w:r>
    </w:p>
    <w:p>
      <w:pPr>
        <w:pStyle w:val="DefinedTerms"/>
      </w:pPr>
      <w:r>
        <w:t>Department CEO</w:t>
      </w:r>
      <w:r>
        <w:tab/>
        <w:t>88(1)</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2" w:name="DefinedTerms"/>
    <w:bookmarkEnd w:id="1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41242"/>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 w:name="WAFER_20211221111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07_GUID" w:val="020abae2-31f6-46ec-a3b1-fa9a4790142b"/>
    <w:docVar w:name="WAFER_2022060915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01_GUID" w:val="83ab5175-dc50-4608-b251-d0c7b5d16ad8"/>
    <w:docVar w:name="WAFER_20220824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41242_GUID" w:val="3895d093-8bc7-4d33-b45a-9c4d4da0b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12055</Words>
  <Characters>55936</Characters>
  <Application>Microsoft Office Word</Application>
  <DocSecurity>0</DocSecurity>
  <Lines>1598</Lines>
  <Paragraphs>1079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2011 - 00-k0-00</dc:title>
  <dc:subject/>
  <dc:creator/>
  <cp:keywords/>
  <dc:description/>
  <cp:lastModifiedBy>Master Repository Process</cp:lastModifiedBy>
  <cp:revision>4</cp:revision>
  <cp:lastPrinted>2015-11-19T08:04:00Z</cp:lastPrinted>
  <dcterms:created xsi:type="dcterms:W3CDTF">2022-08-25T07:55:00Z</dcterms:created>
  <dcterms:modified xsi:type="dcterms:W3CDTF">2022-08-25T07:55:00Z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AsAtDate">
    <vt:lpwstr>27 Aug 2022</vt:lpwstr>
  </property>
  <property fmtid="{D5CDD505-2E9C-101B-9397-08002B2CF9AE}" pid="6" name="Suffix">
    <vt:lpwstr>00-k0-00</vt:lpwstr>
  </property>
  <property fmtid="{D5CDD505-2E9C-101B-9397-08002B2CF9AE}" pid="7" name="CommencementDate">
    <vt:lpwstr>20220827</vt:lpwstr>
  </property>
</Properties>
</file>