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_Toc112316919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_Toc112316920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_Toc112316921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_Toc112316922 \h </w:instrText>
      </w:r>
      <w:r>
        <w:fldChar w:fldCharType="separate"/>
      </w:r>
      <w:r>
        <w:t>14</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_Toc112316923 \h </w:instrText>
      </w:r>
      <w:r>
        <w:fldChar w:fldCharType="separate"/>
      </w:r>
      <w:r>
        <w:t>14</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_Toc112316924 \h </w:instrText>
      </w:r>
      <w:r>
        <w:fldChar w:fldCharType="separate"/>
      </w:r>
      <w:r>
        <w:t>15</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_Toc112316925 \h </w:instrText>
      </w:r>
      <w:r>
        <w:fldChar w:fldCharType="separate"/>
      </w:r>
      <w:r>
        <w:t>15</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_Toc112316926 \h </w:instrText>
      </w:r>
      <w:r>
        <w:fldChar w:fldCharType="separate"/>
      </w:r>
      <w:r>
        <w:t>15</w:t>
      </w:r>
      <w:r>
        <w:fldChar w:fldCharType="end"/>
      </w:r>
    </w:p>
    <w:p>
      <w:pPr>
        <w:pStyle w:val="TOC8"/>
        <w:rPr>
          <w:rFonts w:asciiTheme="minorHAnsi" w:eastAsiaTheme="minorEastAsia" w:hAnsiTheme="minorHAnsi" w:cstheme="minorBidi"/>
          <w:szCs w:val="22"/>
        </w:rPr>
      </w:pPr>
      <w:r>
        <w:t>9.</w:t>
      </w:r>
      <w:r>
        <w:tab/>
        <w:t>Standards and requirements that do not apply to certain written</w:t>
      </w:r>
      <w:r>
        <w:noBreakHyphen/>
        <w:t>off vehicles</w:t>
      </w:r>
      <w:r>
        <w:tab/>
      </w:r>
      <w:r>
        <w:fldChar w:fldCharType="begin"/>
      </w:r>
      <w:r>
        <w:instrText xml:space="preserve"> PAGEREF _Toc112316927 \h </w:instrText>
      </w:r>
      <w:r>
        <w:fldChar w:fldCharType="separate"/>
      </w:r>
      <w:r>
        <w:t>15</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_Toc112316928 \h </w:instrText>
      </w:r>
      <w:r>
        <w:fldChar w:fldCharType="separate"/>
      </w:r>
      <w:r>
        <w:t>16</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_Toc112316929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_Toc112316932 \h </w:instrText>
      </w:r>
      <w:r>
        <w:fldChar w:fldCharType="separate"/>
      </w:r>
      <w:r>
        <w:t>17</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_Toc112316933 \h </w:instrText>
      </w:r>
      <w:r>
        <w:fldChar w:fldCharType="separate"/>
      </w:r>
      <w:r>
        <w:t>17</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_Toc112316934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_Toc112316936 \h </w:instrText>
      </w:r>
      <w:r>
        <w:fldChar w:fldCharType="separate"/>
      </w:r>
      <w:r>
        <w:t>18</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_Toc112316937 \h </w:instrText>
      </w:r>
      <w:r>
        <w:fldChar w:fldCharType="separate"/>
      </w:r>
      <w:r>
        <w:t>18</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_Toc112316938 \h </w:instrText>
      </w:r>
      <w:r>
        <w:fldChar w:fldCharType="separate"/>
      </w:r>
      <w:r>
        <w:t>18</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_Toc112316939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19.</w:t>
      </w:r>
      <w:r>
        <w:tab/>
        <w:t>Certain vehicle examiners to display authorisation at inspection stations</w:t>
      </w:r>
      <w:r>
        <w:tab/>
      </w:r>
      <w:r>
        <w:fldChar w:fldCharType="begin"/>
      </w:r>
      <w:r>
        <w:instrText xml:space="preserve"> PAGEREF _Toc112316940 \h </w:instrText>
      </w:r>
      <w:r>
        <w:fldChar w:fldCharType="separate"/>
      </w:r>
      <w:r>
        <w:t>19</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_Toc112316941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_Toc112316943 \h </w:instrText>
      </w:r>
      <w:r>
        <w:fldChar w:fldCharType="separate"/>
      </w:r>
      <w:r>
        <w:t>20</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_Toc112316944 \h </w:instrText>
      </w:r>
      <w:r>
        <w:fldChar w:fldCharType="separate"/>
      </w:r>
      <w:r>
        <w:t>20</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_Toc112316945 \h </w:instrText>
      </w:r>
      <w:r>
        <w:fldChar w:fldCharType="separate"/>
      </w:r>
      <w:r>
        <w:t>20</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_Toc112316946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_Toc112316947 \h </w:instrText>
      </w:r>
      <w:r>
        <w:fldChar w:fldCharType="separate"/>
      </w:r>
      <w:r>
        <w:t>21</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_Toc112316948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_Toc112316949 \h </w:instrText>
      </w:r>
      <w:r>
        <w:fldChar w:fldCharType="separate"/>
      </w:r>
      <w:r>
        <w:t>22</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_Toc112316950 \h </w:instrText>
      </w:r>
      <w:r>
        <w:fldChar w:fldCharType="separate"/>
      </w:r>
      <w:r>
        <w:t>22</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_Toc112316951 \h </w:instrText>
      </w:r>
      <w:r>
        <w:fldChar w:fldCharType="separate"/>
      </w:r>
      <w:r>
        <w:t>23</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_Toc112316952 \h </w:instrText>
      </w:r>
      <w:r>
        <w:fldChar w:fldCharType="separate"/>
      </w:r>
      <w:r>
        <w:t>24</w:t>
      </w:r>
      <w:r>
        <w:fldChar w:fldCharType="end"/>
      </w:r>
    </w:p>
    <w:p>
      <w:pPr>
        <w:pStyle w:val="TOC8"/>
        <w:rPr>
          <w:rFonts w:asciiTheme="minorHAnsi" w:eastAsiaTheme="minorEastAsia" w:hAnsiTheme="minorHAnsi" w:cstheme="minorBidi"/>
          <w:szCs w:val="22"/>
        </w:rPr>
      </w:pPr>
      <w:r>
        <w:t>31A.</w:t>
      </w:r>
      <w:r>
        <w:tab/>
        <w:t>Monthly renewal of vehicle licence</w:t>
      </w:r>
      <w:r>
        <w:tab/>
      </w:r>
      <w:r>
        <w:fldChar w:fldCharType="begin"/>
      </w:r>
      <w:r>
        <w:instrText xml:space="preserve"> PAGEREF _Toc112316953 \h </w:instrText>
      </w:r>
      <w:r>
        <w:fldChar w:fldCharType="separate"/>
      </w:r>
      <w:r>
        <w:t>25</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_Toc112316954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_Toc112316956 \h </w:instrText>
      </w:r>
      <w:r>
        <w:fldChar w:fldCharType="separate"/>
      </w:r>
      <w:r>
        <w:t>27</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_Toc112316957 \h </w:instrText>
      </w:r>
      <w:r>
        <w:fldChar w:fldCharType="separate"/>
      </w:r>
      <w:r>
        <w:t>27</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_Toc112316958 \h </w:instrText>
      </w:r>
      <w:r>
        <w:fldChar w:fldCharType="separate"/>
      </w:r>
      <w:r>
        <w:t>27</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_Toc112316959 \h </w:instrText>
      </w:r>
      <w:r>
        <w:fldChar w:fldCharType="separate"/>
      </w:r>
      <w:r>
        <w:t>28</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_Toc112316960 \h </w:instrText>
      </w:r>
      <w:r>
        <w:fldChar w:fldCharType="separate"/>
      </w:r>
      <w:r>
        <w:t>28</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_Toc112316961 \h </w:instrText>
      </w:r>
      <w:r>
        <w:fldChar w:fldCharType="separate"/>
      </w:r>
      <w:r>
        <w:t>28</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_Toc112316962 \h </w:instrText>
      </w:r>
      <w:r>
        <w:fldChar w:fldCharType="separate"/>
      </w:r>
      <w:r>
        <w:t>33</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_Toc112316963 \h </w:instrText>
      </w:r>
      <w:r>
        <w:fldChar w:fldCharType="separate"/>
      </w:r>
      <w:r>
        <w:t>33</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_Toc112316964 \h </w:instrText>
      </w:r>
      <w:r>
        <w:fldChar w:fldCharType="separate"/>
      </w:r>
      <w:r>
        <w:t>34</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_Toc112316965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_Toc112316967 \h </w:instrText>
      </w:r>
      <w:r>
        <w:fldChar w:fldCharType="separate"/>
      </w:r>
      <w:r>
        <w:t>34</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_Toc112316968 \h </w:instrText>
      </w:r>
      <w:r>
        <w:fldChar w:fldCharType="separate"/>
      </w:r>
      <w:r>
        <w:t>34</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_Toc112316969 \h </w:instrText>
      </w:r>
      <w:r>
        <w:fldChar w:fldCharType="separate"/>
      </w:r>
      <w:r>
        <w:t>36</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_Toc112316970 \h </w:instrText>
      </w:r>
      <w:r>
        <w:fldChar w:fldCharType="separate"/>
      </w:r>
      <w:r>
        <w:t>36</w:t>
      </w:r>
      <w:r>
        <w:fldChar w:fldCharType="end"/>
      </w:r>
    </w:p>
    <w:p>
      <w:pPr>
        <w:pStyle w:val="TOC8"/>
        <w:rPr>
          <w:rFonts w:asciiTheme="minorHAnsi" w:eastAsiaTheme="minorEastAsia" w:hAnsiTheme="minorHAnsi" w:cstheme="minorBidi"/>
          <w:szCs w:val="22"/>
        </w:rPr>
      </w:pPr>
      <w:r>
        <w:lastRenderedPageBreak/>
        <w:t>47.</w:t>
      </w:r>
      <w:r>
        <w:tab/>
        <w:t>Display of s</w:t>
      </w:r>
      <w:r>
        <w:rPr>
          <w:snapToGrid w:val="0"/>
        </w:rPr>
        <w:t>igns</w:t>
      </w:r>
      <w:r>
        <w:tab/>
      </w:r>
      <w:r>
        <w:fldChar w:fldCharType="begin"/>
      </w:r>
      <w:r>
        <w:instrText xml:space="preserve"> PAGEREF _Toc112316971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Duplicate or certified copy of vehicle licence document</w:t>
      </w:r>
      <w:r>
        <w:tab/>
      </w:r>
      <w:r>
        <w:fldChar w:fldCharType="begin"/>
      </w:r>
      <w:r>
        <w:instrText xml:space="preserve"> PAGEREF _Toc112316973 \h </w:instrText>
      </w:r>
      <w:r>
        <w:fldChar w:fldCharType="separate"/>
      </w:r>
      <w:r>
        <w:t>37</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_Toc112316974 \h </w:instrText>
      </w:r>
      <w:r>
        <w:fldChar w:fldCharType="separate"/>
      </w:r>
      <w:r>
        <w:t>37</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_Toc112316975 \h </w:instrText>
      </w:r>
      <w:r>
        <w:fldChar w:fldCharType="separate"/>
      </w:r>
      <w:r>
        <w:t>37</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_Toc112316976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_Toc112316979 \h </w:instrText>
      </w:r>
      <w:r>
        <w:fldChar w:fldCharType="separate"/>
      </w:r>
      <w:r>
        <w:t>39</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_Toc112316980 \h </w:instrText>
      </w:r>
      <w:r>
        <w:fldChar w:fldCharType="separate"/>
      </w:r>
      <w:r>
        <w:t>39</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_Toc112316981 \h </w:instrText>
      </w:r>
      <w:r>
        <w:fldChar w:fldCharType="separate"/>
      </w:r>
      <w:r>
        <w:t>39</w:t>
      </w:r>
      <w:r>
        <w:fldChar w:fldCharType="end"/>
      </w:r>
    </w:p>
    <w:p>
      <w:pPr>
        <w:pStyle w:val="TOC8"/>
        <w:rPr>
          <w:rFonts w:asciiTheme="minorHAnsi" w:eastAsiaTheme="minorEastAsia" w:hAnsiTheme="minorHAnsi" w:cstheme="minorBidi"/>
          <w:szCs w:val="22"/>
        </w:rPr>
      </w:pPr>
      <w:r>
        <w:t>54A.</w:t>
      </w:r>
      <w:r>
        <w:tab/>
        <w:t>Reduction if election made for 1 year grant or renewal</w:t>
      </w:r>
      <w:r>
        <w:tab/>
      </w:r>
      <w:r>
        <w:fldChar w:fldCharType="begin"/>
      </w:r>
      <w:r>
        <w:instrText xml:space="preserve"> PAGEREF _Toc112316982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_Toc112316984 \h </w:instrText>
      </w:r>
      <w:r>
        <w:fldChar w:fldCharType="separate"/>
      </w:r>
      <w:r>
        <w:t>41</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_Toc112316985 \h </w:instrText>
      </w:r>
      <w:r>
        <w:fldChar w:fldCharType="separate"/>
      </w:r>
      <w:r>
        <w:t>41</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_Toc112316986 \h </w:instrText>
      </w:r>
      <w:r>
        <w:fldChar w:fldCharType="separate"/>
      </w:r>
      <w:r>
        <w:t>42</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_Toc112316987 \h </w:instrText>
      </w:r>
      <w:r>
        <w:fldChar w:fldCharType="separate"/>
      </w:r>
      <w:r>
        <w:t>42</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_Toc112316988 \h </w:instrText>
      </w:r>
      <w:r>
        <w:fldChar w:fldCharType="separate"/>
      </w:r>
      <w:r>
        <w:t>42</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_Toc112316989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_Toc112316991 \h </w:instrText>
      </w:r>
      <w:r>
        <w:fldChar w:fldCharType="separate"/>
      </w:r>
      <w:r>
        <w:t>43</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_Toc112316992 \h </w:instrText>
      </w:r>
      <w:r>
        <w:fldChar w:fldCharType="separate"/>
      </w:r>
      <w:r>
        <w:t>43</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_Toc112316993 \h </w:instrText>
      </w:r>
      <w:r>
        <w:fldChar w:fldCharType="separate"/>
      </w:r>
      <w:r>
        <w:t>44</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_Toc112316994 \h </w:instrText>
      </w:r>
      <w:r>
        <w:fldChar w:fldCharType="separate"/>
      </w:r>
      <w:r>
        <w:t>45</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_Toc112316995 \h </w:instrText>
      </w:r>
      <w:r>
        <w:fldChar w:fldCharType="separate"/>
      </w:r>
      <w:r>
        <w:t>46</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_Toc112316996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_Toc112316998 \h </w:instrText>
      </w:r>
      <w:r>
        <w:fldChar w:fldCharType="separate"/>
      </w:r>
      <w:r>
        <w:t>47</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_Toc112316999 \h </w:instrText>
      </w:r>
      <w:r>
        <w:fldChar w:fldCharType="separate"/>
      </w:r>
      <w:r>
        <w:t>47</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_Toc112317000 \h </w:instrText>
      </w:r>
      <w:r>
        <w:fldChar w:fldCharType="separate"/>
      </w:r>
      <w:r>
        <w:t>48</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_Toc112317001 \h </w:instrText>
      </w:r>
      <w:r>
        <w:fldChar w:fldCharType="separate"/>
      </w:r>
      <w:r>
        <w:t>48</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_Toc112317002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_Toc112317004 \h </w:instrText>
      </w:r>
      <w:r>
        <w:fldChar w:fldCharType="separate"/>
      </w:r>
      <w:r>
        <w:t>49</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_Toc112317005 \h </w:instrText>
      </w:r>
      <w:r>
        <w:fldChar w:fldCharType="separate"/>
      </w:r>
      <w:r>
        <w:t>49</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_Toc112317006 \h </w:instrText>
      </w:r>
      <w:r>
        <w:fldChar w:fldCharType="separate"/>
      </w:r>
      <w:r>
        <w:t>50</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_Toc112317007 \h </w:instrText>
      </w:r>
      <w:r>
        <w:fldChar w:fldCharType="separate"/>
      </w:r>
      <w:r>
        <w:t>50</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_Toc112317008 \h </w:instrText>
      </w:r>
      <w:r>
        <w:fldChar w:fldCharType="separate"/>
      </w:r>
      <w:r>
        <w:t>50</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_Toc112317009 \h </w:instrText>
      </w:r>
      <w:r>
        <w:fldChar w:fldCharType="separate"/>
      </w:r>
      <w:r>
        <w:t>50</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_Toc112317010 \h </w:instrText>
      </w:r>
      <w:r>
        <w:fldChar w:fldCharType="separate"/>
      </w:r>
      <w:r>
        <w:t>51</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_Toc112317011 \h </w:instrText>
      </w:r>
      <w:r>
        <w:fldChar w:fldCharType="separate"/>
      </w:r>
      <w:r>
        <w:t>52</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_Toc112317012 \h </w:instrText>
      </w:r>
      <w:r>
        <w:fldChar w:fldCharType="separate"/>
      </w:r>
      <w:r>
        <w:t>52</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_Toc112317013 \h </w:instrText>
      </w:r>
      <w:r>
        <w:fldChar w:fldCharType="separate"/>
      </w:r>
      <w:r>
        <w:t>53</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_Toc112317014 \h </w:instrText>
      </w:r>
      <w:r>
        <w:fldChar w:fldCharType="separate"/>
      </w:r>
      <w:r>
        <w:t>54</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_Toc112317015 \h </w:instrText>
      </w:r>
      <w:r>
        <w:fldChar w:fldCharType="separate"/>
      </w:r>
      <w:r>
        <w:t>54</w:t>
      </w:r>
      <w:r>
        <w:fldChar w:fldCharType="end"/>
      </w:r>
    </w:p>
    <w:p>
      <w:pPr>
        <w:pStyle w:val="TOC8"/>
        <w:rPr>
          <w:rFonts w:asciiTheme="minorHAnsi" w:eastAsiaTheme="minorEastAsia" w:hAnsiTheme="minorHAnsi" w:cstheme="minorBidi"/>
          <w:szCs w:val="22"/>
        </w:rPr>
      </w:pPr>
      <w:r>
        <w:t>84A.</w:t>
      </w:r>
      <w:r>
        <w:tab/>
        <w:t>Classic vehicles</w:t>
      </w:r>
      <w:r>
        <w:tab/>
      </w:r>
      <w:r>
        <w:fldChar w:fldCharType="begin"/>
      </w:r>
      <w:r>
        <w:instrText xml:space="preserve"> PAGEREF _Toc112317016 \h </w:instrText>
      </w:r>
      <w:r>
        <w:fldChar w:fldCharType="separate"/>
      </w:r>
      <w:r>
        <w:t>55</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_Toc112317017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_Toc112317020 \h </w:instrText>
      </w:r>
      <w:r>
        <w:fldChar w:fldCharType="separate"/>
      </w:r>
      <w:r>
        <w:t>57</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_Toc112317021 \h </w:instrText>
      </w:r>
      <w:r>
        <w:fldChar w:fldCharType="separate"/>
      </w:r>
      <w:r>
        <w:t>58</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_Toc112317022 \h </w:instrText>
      </w:r>
      <w:r>
        <w:fldChar w:fldCharType="separate"/>
      </w:r>
      <w:r>
        <w:t>58</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_Toc112317023 \h </w:instrText>
      </w:r>
      <w:r>
        <w:fldChar w:fldCharType="separate"/>
      </w:r>
      <w:r>
        <w:t>59</w:t>
      </w:r>
      <w:r>
        <w:fldChar w:fldCharType="end"/>
      </w:r>
    </w:p>
    <w:p>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_Toc112317024 \h </w:instrText>
      </w:r>
      <w:r>
        <w:fldChar w:fldCharType="separate"/>
      </w:r>
      <w:r>
        <w:t>60</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_Toc112317025 \h </w:instrText>
      </w:r>
      <w:r>
        <w:fldChar w:fldCharType="separate"/>
      </w:r>
      <w:r>
        <w:t>61</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_Toc112317026 \h </w:instrText>
      </w:r>
      <w:r>
        <w:fldChar w:fldCharType="separate"/>
      </w:r>
      <w:r>
        <w:t>61</w:t>
      </w:r>
      <w:r>
        <w:fldChar w:fldCharType="end"/>
      </w:r>
    </w:p>
    <w:p>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_Toc112317027 \h </w:instrText>
      </w:r>
      <w:r>
        <w:fldChar w:fldCharType="separate"/>
      </w:r>
      <w:r>
        <w:t>62</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_Toc112317028 \h </w:instrText>
      </w:r>
      <w:r>
        <w:fldChar w:fldCharType="separate"/>
      </w:r>
      <w:r>
        <w:t>63</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_Toc112317029 \h </w:instrText>
      </w:r>
      <w:r>
        <w:fldChar w:fldCharType="separate"/>
      </w:r>
      <w:r>
        <w:t>63</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_Toc112317030 \h </w:instrText>
      </w:r>
      <w:r>
        <w:fldChar w:fldCharType="separate"/>
      </w:r>
      <w:r>
        <w:t>64</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_Toc112317031 \h </w:instrText>
      </w:r>
      <w:r>
        <w:fldChar w:fldCharType="separate"/>
      </w:r>
      <w:r>
        <w:t>65</w:t>
      </w:r>
      <w:r>
        <w:fldChar w:fldCharType="end"/>
      </w:r>
    </w:p>
    <w:p>
      <w:pPr>
        <w:pStyle w:val="TOC8"/>
        <w:rPr>
          <w:rFonts w:asciiTheme="minorHAnsi" w:eastAsiaTheme="minorEastAsia" w:hAnsiTheme="minorHAnsi" w:cstheme="minorBidi"/>
          <w:szCs w:val="22"/>
        </w:rPr>
      </w:pPr>
      <w:r>
        <w:lastRenderedPageBreak/>
        <w:t>96.</w:t>
      </w:r>
      <w:r>
        <w:tab/>
        <w:t>Exemption for person with disability</w:t>
      </w:r>
      <w:r>
        <w:tab/>
      </w:r>
      <w:r>
        <w:fldChar w:fldCharType="begin"/>
      </w:r>
      <w:r>
        <w:instrText xml:space="preserve"> PAGEREF _Toc112317032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_Toc112317034 \h </w:instrText>
      </w:r>
      <w:r>
        <w:fldChar w:fldCharType="separate"/>
      </w:r>
      <w:r>
        <w:t>66</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_Toc112317035 \h </w:instrText>
      </w:r>
      <w:r>
        <w:fldChar w:fldCharType="separate"/>
      </w:r>
      <w:r>
        <w:t>67</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_Toc112317036 \h </w:instrText>
      </w:r>
      <w:r>
        <w:fldChar w:fldCharType="separate"/>
      </w:r>
      <w:r>
        <w:t>67</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_Toc112317037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_Toc112317039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_Toc112317041 \h </w:instrText>
      </w:r>
      <w:r>
        <w:fldChar w:fldCharType="separate"/>
      </w:r>
      <w:r>
        <w:t>69</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_Toc112317042 \h </w:instrText>
      </w:r>
      <w:r>
        <w:fldChar w:fldCharType="separate"/>
      </w:r>
      <w:r>
        <w:t>69</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_Toc112317043 \h </w:instrText>
      </w:r>
      <w:r>
        <w:fldChar w:fldCharType="separate"/>
      </w:r>
      <w:r>
        <w:t>70</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_Toc112317044 \h </w:instrText>
      </w:r>
      <w:r>
        <w:fldChar w:fldCharType="separate"/>
      </w:r>
      <w:r>
        <w:t>70</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_Toc112317045 \h </w:instrText>
      </w:r>
      <w:r>
        <w:fldChar w:fldCharType="separate"/>
      </w:r>
      <w:r>
        <w:t>70</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_Toc112317046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_Toc112317049 \h </w:instrText>
      </w:r>
      <w:r>
        <w:fldChar w:fldCharType="separate"/>
      </w:r>
      <w:r>
        <w:t>72</w:t>
      </w:r>
      <w:r>
        <w:fldChar w:fldCharType="end"/>
      </w:r>
    </w:p>
    <w:p>
      <w:pPr>
        <w:pStyle w:val="TOC8"/>
        <w:rPr>
          <w:rFonts w:asciiTheme="minorHAnsi" w:eastAsiaTheme="minorEastAsia" w:hAnsiTheme="minorHAnsi" w:cstheme="minorBidi"/>
          <w:szCs w:val="22"/>
        </w:rPr>
      </w:pPr>
      <w:r>
        <w:t>109A.</w:t>
      </w:r>
      <w:r>
        <w:tab/>
        <w:t>Passenger transport vehicle authorisations</w:t>
      </w:r>
      <w:r>
        <w:tab/>
      </w:r>
      <w:r>
        <w:fldChar w:fldCharType="begin"/>
      </w:r>
      <w:r>
        <w:instrText xml:space="preserve"> PAGEREF _Toc112317050 \h </w:instrText>
      </w:r>
      <w:r>
        <w:fldChar w:fldCharType="separate"/>
      </w:r>
      <w:r>
        <w:t>73</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_Toc112317051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_Toc112317053 \h </w:instrText>
      </w:r>
      <w:r>
        <w:fldChar w:fldCharType="separate"/>
      </w:r>
      <w:r>
        <w:t>74</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_Toc112317054 \h </w:instrText>
      </w:r>
      <w:r>
        <w:fldChar w:fldCharType="separate"/>
      </w:r>
      <w:r>
        <w:t>75</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_Toc112317055 \h </w:instrText>
      </w:r>
      <w:r>
        <w:fldChar w:fldCharType="separate"/>
      </w:r>
      <w:r>
        <w:t>77</w:t>
      </w:r>
      <w:r>
        <w:fldChar w:fldCharType="end"/>
      </w:r>
    </w:p>
    <w:p>
      <w:pPr>
        <w:pStyle w:val="TOC8"/>
        <w:rPr>
          <w:rFonts w:asciiTheme="minorHAnsi" w:eastAsiaTheme="minorEastAsia" w:hAnsiTheme="minorHAnsi" w:cstheme="minorBidi"/>
          <w:szCs w:val="22"/>
        </w:rPr>
      </w:pPr>
      <w:r>
        <w:t>113A.</w:t>
      </w:r>
      <w:r>
        <w:tab/>
        <w:t>Return of number plates for passenger transport vehicles</w:t>
      </w:r>
      <w:r>
        <w:tab/>
      </w:r>
      <w:r>
        <w:fldChar w:fldCharType="begin"/>
      </w:r>
      <w:r>
        <w:instrText xml:space="preserve"> PAGEREF _Toc112317056 \h </w:instrText>
      </w:r>
      <w:r>
        <w:fldChar w:fldCharType="separate"/>
      </w:r>
      <w:r>
        <w:t>78</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_Toc112317057 \h </w:instrText>
      </w:r>
      <w:r>
        <w:fldChar w:fldCharType="separate"/>
      </w:r>
      <w:r>
        <w:t>79</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_Toc112317058 \h </w:instrText>
      </w:r>
      <w:r>
        <w:fldChar w:fldCharType="separate"/>
      </w:r>
      <w:r>
        <w:t>80</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_Toc112317059 \h </w:instrText>
      </w:r>
      <w:r>
        <w:fldChar w:fldCharType="separate"/>
      </w:r>
      <w:r>
        <w:t>81</w:t>
      </w:r>
      <w:r>
        <w:fldChar w:fldCharType="end"/>
      </w:r>
    </w:p>
    <w:p>
      <w:pPr>
        <w:pStyle w:val="TOC8"/>
        <w:rPr>
          <w:rFonts w:asciiTheme="minorHAnsi" w:eastAsiaTheme="minorEastAsia" w:hAnsiTheme="minorHAnsi" w:cstheme="minorBidi"/>
          <w:szCs w:val="22"/>
        </w:rPr>
      </w:pPr>
      <w:r>
        <w:lastRenderedPageBreak/>
        <w:t>117.</w:t>
      </w:r>
      <w:r>
        <w:tab/>
        <w:t>Number plate content, colour</w:t>
      </w:r>
      <w:r>
        <w:tab/>
      </w:r>
      <w:r>
        <w:fldChar w:fldCharType="begin"/>
      </w:r>
      <w:r>
        <w:instrText xml:space="preserve"> PAGEREF _Toc112317060 \h </w:instrText>
      </w:r>
      <w:r>
        <w:fldChar w:fldCharType="separate"/>
      </w:r>
      <w:r>
        <w:t>82</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_Toc112317061 \h </w:instrText>
      </w:r>
      <w:r>
        <w:fldChar w:fldCharType="separate"/>
      </w:r>
      <w:r>
        <w:t>83</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_Toc112317062 \h </w:instrText>
      </w:r>
      <w:r>
        <w:fldChar w:fldCharType="separate"/>
      </w:r>
      <w:r>
        <w:t>84</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_Toc112317063 \h </w:instrText>
      </w:r>
      <w:r>
        <w:fldChar w:fldCharType="separate"/>
      </w:r>
      <w:r>
        <w:t>85</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_Toc112317064 \h </w:instrText>
      </w:r>
      <w:r>
        <w:fldChar w:fldCharType="separate"/>
      </w:r>
      <w:r>
        <w:t>87</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_Toc112317065 \h </w:instrText>
      </w:r>
      <w:r>
        <w:fldChar w:fldCharType="separate"/>
      </w:r>
      <w:r>
        <w:t>88</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_Toc112317066 \h </w:instrText>
      </w:r>
      <w:r>
        <w:fldChar w:fldCharType="separate"/>
      </w:r>
      <w:r>
        <w:t>88</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_Toc112317067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Name plates, special plates and reserved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_Toc112317069 \h </w:instrText>
      </w:r>
      <w:r>
        <w:fldChar w:fldCharType="separate"/>
      </w:r>
      <w:r>
        <w:t>90</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_Toc112317070 \h </w:instrText>
      </w:r>
      <w:r>
        <w:fldChar w:fldCharType="separate"/>
      </w:r>
      <w:r>
        <w:t>90</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_Toc112317071 \h </w:instrText>
      </w:r>
      <w:r>
        <w:fldChar w:fldCharType="separate"/>
      </w:r>
      <w:r>
        <w:t>91</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_Toc112317072 \h </w:instrText>
      </w:r>
      <w:r>
        <w:fldChar w:fldCharType="separate"/>
      </w:r>
      <w:r>
        <w:t>91</w:t>
      </w:r>
      <w:r>
        <w:fldChar w:fldCharType="end"/>
      </w:r>
    </w:p>
    <w:p>
      <w:pPr>
        <w:pStyle w:val="TOC8"/>
        <w:rPr>
          <w:rFonts w:asciiTheme="minorHAnsi" w:eastAsiaTheme="minorEastAsia" w:hAnsiTheme="minorHAnsi" w:cstheme="minorBidi"/>
          <w:szCs w:val="22"/>
        </w:rPr>
      </w:pPr>
      <w:r>
        <w:t>128A.</w:t>
      </w:r>
      <w:r>
        <w:tab/>
        <w:t>Reserved plates</w:t>
      </w:r>
      <w:r>
        <w:tab/>
      </w:r>
      <w:r>
        <w:fldChar w:fldCharType="begin"/>
      </w:r>
      <w:r>
        <w:instrText xml:space="preserve"> PAGEREF _Toc112317073 \h </w:instrText>
      </w:r>
      <w:r>
        <w:fldChar w:fldCharType="separate"/>
      </w:r>
      <w:r>
        <w:t>91</w:t>
      </w:r>
      <w:r>
        <w:fldChar w:fldCharType="end"/>
      </w:r>
    </w:p>
    <w:p>
      <w:pPr>
        <w:pStyle w:val="TOC8"/>
        <w:rPr>
          <w:rFonts w:asciiTheme="minorHAnsi" w:eastAsiaTheme="minorEastAsia" w:hAnsiTheme="minorHAnsi" w:cstheme="minorBidi"/>
          <w:szCs w:val="22"/>
        </w:rPr>
      </w:pPr>
      <w:r>
        <w:t>129.</w:t>
      </w:r>
      <w:r>
        <w:tab/>
        <w:t>Right to display special plates, name plates, reserved plates</w:t>
      </w:r>
      <w:r>
        <w:tab/>
      </w:r>
      <w:r>
        <w:fldChar w:fldCharType="begin"/>
      </w:r>
      <w:r>
        <w:instrText xml:space="preserve"> PAGEREF _Toc112317074 \h </w:instrText>
      </w:r>
      <w:r>
        <w:fldChar w:fldCharType="separate"/>
      </w:r>
      <w:r>
        <w:t>91</w:t>
      </w:r>
      <w:r>
        <w:fldChar w:fldCharType="end"/>
      </w:r>
    </w:p>
    <w:p>
      <w:pPr>
        <w:pStyle w:val="TOC8"/>
        <w:rPr>
          <w:rFonts w:asciiTheme="minorHAnsi" w:eastAsiaTheme="minorEastAsia" w:hAnsiTheme="minorHAnsi" w:cstheme="minorBidi"/>
          <w:szCs w:val="22"/>
        </w:rPr>
      </w:pPr>
      <w:r>
        <w:t>130.</w:t>
      </w:r>
      <w:r>
        <w:tab/>
        <w:t>Fees for transfer of right to display special plates, name plates, reserved plates</w:t>
      </w:r>
      <w:r>
        <w:tab/>
      </w:r>
      <w:r>
        <w:fldChar w:fldCharType="begin"/>
      </w:r>
      <w:r>
        <w:instrText xml:space="preserve"> PAGEREF _Toc112317075 \h </w:instrText>
      </w:r>
      <w:r>
        <w:fldChar w:fldCharType="separate"/>
      </w:r>
      <w:r>
        <w:t>93</w:t>
      </w:r>
      <w:r>
        <w:fldChar w:fldCharType="end"/>
      </w:r>
    </w:p>
    <w:p>
      <w:pPr>
        <w:pStyle w:val="TOC8"/>
        <w:rPr>
          <w:rFonts w:asciiTheme="minorHAnsi" w:eastAsiaTheme="minorEastAsia" w:hAnsiTheme="minorHAnsi" w:cstheme="minorBidi"/>
          <w:szCs w:val="22"/>
        </w:rPr>
      </w:pPr>
      <w:r>
        <w:t>131.</w:t>
      </w:r>
      <w:r>
        <w:tab/>
        <w:t>Retention of special plates, name plates, reserved plates by CEO</w:t>
      </w:r>
      <w:r>
        <w:tab/>
      </w:r>
      <w:r>
        <w:fldChar w:fldCharType="begin"/>
      </w:r>
      <w:r>
        <w:instrText xml:space="preserve"> PAGEREF _Toc112317076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_Toc112317078 \h </w:instrText>
      </w:r>
      <w:r>
        <w:fldChar w:fldCharType="separate"/>
      </w:r>
      <w:r>
        <w:t>95</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_Toc112317079 \h </w:instrText>
      </w:r>
      <w:r>
        <w:fldChar w:fldCharType="separate"/>
      </w:r>
      <w:r>
        <w:t>95</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_Toc112317080 \h </w:instrText>
      </w:r>
      <w:r>
        <w:fldChar w:fldCharType="separate"/>
      </w:r>
      <w:r>
        <w:t>96</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_Toc112317081 \h </w:instrText>
      </w:r>
      <w:r>
        <w:fldChar w:fldCharType="separate"/>
      </w:r>
      <w:r>
        <w:t>96</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_Toc112317082 \h </w:instrText>
      </w:r>
      <w:r>
        <w:fldChar w:fldCharType="separate"/>
      </w:r>
      <w:r>
        <w:t>97</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_Toc112317083 \h </w:instrText>
      </w:r>
      <w:r>
        <w:fldChar w:fldCharType="separate"/>
      </w:r>
      <w:r>
        <w:t>98</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_Toc112317084 \h </w:instrText>
      </w:r>
      <w:r>
        <w:fldChar w:fldCharType="separate"/>
      </w:r>
      <w:r>
        <w:t>101</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_Toc112317085 \h </w:instrText>
      </w:r>
      <w:r>
        <w:fldChar w:fldCharType="separate"/>
      </w:r>
      <w:r>
        <w:t>102</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_Toc112317086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_Toc112317088 \h </w:instrText>
      </w:r>
      <w:r>
        <w:fldChar w:fldCharType="separate"/>
      </w:r>
      <w:r>
        <w:t>104</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_Toc112317089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_Toc112317092 \h </w:instrText>
      </w:r>
      <w:r>
        <w:fldChar w:fldCharType="separate"/>
      </w:r>
      <w:r>
        <w:t>107</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_Toc112317093 \h </w:instrText>
      </w:r>
      <w:r>
        <w:fldChar w:fldCharType="separate"/>
      </w:r>
      <w:r>
        <w:t>108</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_Toc112317094 \h </w:instrText>
      </w:r>
      <w:r>
        <w:fldChar w:fldCharType="separate"/>
      </w:r>
      <w:r>
        <w:t>109</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_Toc112317095 \h </w:instrText>
      </w:r>
      <w:r>
        <w:fldChar w:fldCharType="separate"/>
      </w:r>
      <w:r>
        <w:t>109</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_Toc112317096 \h </w:instrText>
      </w:r>
      <w:r>
        <w:fldChar w:fldCharType="separate"/>
      </w:r>
      <w:r>
        <w:t>109</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_Toc112317097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_Toc112317099 \h </w:instrText>
      </w:r>
      <w:r>
        <w:fldChar w:fldCharType="separate"/>
      </w:r>
      <w:r>
        <w:t>110</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_Toc112317100 \h </w:instrText>
      </w:r>
      <w:r>
        <w:fldChar w:fldCharType="separate"/>
      </w:r>
      <w:r>
        <w:t>111</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_Toc112317101 \h </w:instrText>
      </w:r>
      <w:r>
        <w:fldChar w:fldCharType="separate"/>
      </w:r>
      <w:r>
        <w:t>112</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_Toc112317102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_Toc112317104 \h </w:instrText>
      </w:r>
      <w:r>
        <w:fldChar w:fldCharType="separate"/>
      </w:r>
      <w:r>
        <w:t>113</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_Toc112317105 \h </w:instrText>
      </w:r>
      <w:r>
        <w:fldChar w:fldCharType="separate"/>
      </w:r>
      <w:r>
        <w:t>113</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_Toc112317106 \h </w:instrText>
      </w:r>
      <w:r>
        <w:fldChar w:fldCharType="separate"/>
      </w:r>
      <w:r>
        <w:t>114</w:t>
      </w:r>
      <w:r>
        <w:fldChar w:fldCharType="end"/>
      </w:r>
    </w:p>
    <w:p>
      <w:pPr>
        <w:pStyle w:val="TOC8"/>
        <w:rPr>
          <w:rFonts w:asciiTheme="minorHAnsi" w:eastAsiaTheme="minorEastAsia" w:hAnsiTheme="minorHAnsi" w:cstheme="minorBidi"/>
          <w:szCs w:val="22"/>
        </w:rPr>
      </w:pPr>
      <w:r>
        <w:t>158A.</w:t>
      </w:r>
      <w:r>
        <w:tab/>
        <w:t>WOVR to include information relating to certain NSW written</w:t>
      </w:r>
      <w:r>
        <w:noBreakHyphen/>
        <w:t>off heavy vehicles</w:t>
      </w:r>
      <w:r>
        <w:tab/>
      </w:r>
      <w:r>
        <w:fldChar w:fldCharType="begin"/>
      </w:r>
      <w:r>
        <w:instrText xml:space="preserve"> PAGEREF _Toc112317107 \h </w:instrText>
      </w:r>
      <w:r>
        <w:fldChar w:fldCharType="separate"/>
      </w:r>
      <w:r>
        <w:t>114</w:t>
      </w:r>
      <w:r>
        <w:fldChar w:fldCharType="end"/>
      </w:r>
    </w:p>
    <w:p>
      <w:pPr>
        <w:pStyle w:val="TOC8"/>
        <w:rPr>
          <w:rFonts w:asciiTheme="minorHAnsi" w:eastAsiaTheme="minorEastAsia" w:hAnsiTheme="minorHAnsi" w:cstheme="minorBidi"/>
          <w:szCs w:val="22"/>
        </w:rPr>
      </w:pPr>
      <w:r>
        <w:t>158B.</w:t>
      </w:r>
      <w:r>
        <w:tab/>
        <w:t>Cancellation of entry in WOVR of certain repaired and registered NSW written</w:t>
      </w:r>
      <w:r>
        <w:noBreakHyphen/>
        <w:t>off heavy vehicles</w:t>
      </w:r>
      <w:r>
        <w:tab/>
      </w:r>
      <w:r>
        <w:fldChar w:fldCharType="begin"/>
      </w:r>
      <w:r>
        <w:instrText xml:space="preserve"> PAGEREF _Toc112317108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_Toc112317112 \h </w:instrText>
      </w:r>
      <w:r>
        <w:fldChar w:fldCharType="separate"/>
      </w:r>
      <w:r>
        <w:t>116</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_Toc112317113 \h </w:instrText>
      </w:r>
      <w:r>
        <w:fldChar w:fldCharType="separate"/>
      </w:r>
      <w:r>
        <w:t>116</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_Toc112317114 \h </w:instrText>
      </w:r>
      <w:r>
        <w:fldChar w:fldCharType="separate"/>
      </w:r>
      <w:r>
        <w:t>116</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_Toc112317115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_Toc112317117 \h </w:instrText>
      </w:r>
      <w:r>
        <w:fldChar w:fldCharType="separate"/>
      </w:r>
      <w:r>
        <w:t>118</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_Toc112317118 \h </w:instrText>
      </w:r>
      <w:r>
        <w:fldChar w:fldCharType="separate"/>
      </w:r>
      <w:r>
        <w:t>118</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_Toc112317119 \h </w:instrText>
      </w:r>
      <w:r>
        <w:fldChar w:fldCharType="separate"/>
      </w:r>
      <w:r>
        <w:t>122</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_Toc112317120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_Toc112317122 \h </w:instrText>
      </w:r>
      <w:r>
        <w:fldChar w:fldCharType="separate"/>
      </w:r>
      <w:r>
        <w:t>126</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_Toc112317123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_Toc112317125 \h </w:instrText>
      </w:r>
      <w:r>
        <w:fldChar w:fldCharType="separate"/>
      </w:r>
      <w:r>
        <w:t>128</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_Toc112317126 \h </w:instrText>
      </w:r>
      <w:r>
        <w:fldChar w:fldCharType="separate"/>
      </w:r>
      <w:r>
        <w:t>128</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_Toc112317127 \h </w:instrText>
      </w:r>
      <w:r>
        <w:fldChar w:fldCharType="separate"/>
      </w:r>
      <w:r>
        <w:t>128</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_Toc112317128 \h </w:instrText>
      </w:r>
      <w:r>
        <w:fldChar w:fldCharType="separate"/>
      </w:r>
      <w:r>
        <w:t>128</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_Toc112317129 \h </w:instrText>
      </w:r>
      <w:r>
        <w:fldChar w:fldCharType="separate"/>
      </w:r>
      <w:r>
        <w:t>129</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_Toc112317130 \h </w:instrText>
      </w:r>
      <w:r>
        <w:fldChar w:fldCharType="separate"/>
      </w:r>
      <w:r>
        <w:t>130</w:t>
      </w:r>
      <w:r>
        <w:fldChar w:fldCharType="end"/>
      </w:r>
    </w:p>
    <w:p>
      <w:pPr>
        <w:pStyle w:val="TOC8"/>
        <w:rPr>
          <w:rFonts w:asciiTheme="minorHAnsi" w:eastAsiaTheme="minorEastAsia" w:hAnsiTheme="minorHAnsi" w:cstheme="minorBidi"/>
          <w:szCs w:val="22"/>
        </w:rPr>
      </w:pPr>
      <w:r>
        <w:t>175.</w:t>
      </w:r>
      <w:r>
        <w:tab/>
        <w:t>Rear overhang</w:t>
      </w:r>
      <w:r>
        <w:tab/>
      </w:r>
      <w:r>
        <w:fldChar w:fldCharType="begin"/>
      </w:r>
      <w:r>
        <w:instrText xml:space="preserve"> PAGEREF _Toc112317131 \h </w:instrText>
      </w:r>
      <w:r>
        <w:fldChar w:fldCharType="separate"/>
      </w:r>
      <w:r>
        <w:t>131</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_Toc112317132 \h </w:instrText>
      </w:r>
      <w:r>
        <w:fldChar w:fldCharType="separate"/>
      </w:r>
      <w:r>
        <w:t>131</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_Toc112317133 \h </w:instrText>
      </w:r>
      <w:r>
        <w:fldChar w:fldCharType="separate"/>
      </w:r>
      <w:r>
        <w:t>132</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_Toc112317134 \h </w:instrText>
      </w:r>
      <w:r>
        <w:fldChar w:fldCharType="separate"/>
      </w:r>
      <w:r>
        <w:t>132</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_Toc112317135 \h </w:instrText>
      </w:r>
      <w:r>
        <w:fldChar w:fldCharType="separate"/>
      </w:r>
      <w:r>
        <w:t>134</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_Toc112317136 \h </w:instrText>
      </w:r>
      <w:r>
        <w:fldChar w:fldCharType="separate"/>
      </w:r>
      <w:r>
        <w:t>135</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_Toc112317137 \h </w:instrText>
      </w:r>
      <w:r>
        <w:fldChar w:fldCharType="separate"/>
      </w:r>
      <w:r>
        <w:t>136</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_Toc112317138 \h </w:instrText>
      </w:r>
      <w:r>
        <w:fldChar w:fldCharType="separate"/>
      </w:r>
      <w:r>
        <w:t>136</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_Toc112317139 \h </w:instrText>
      </w:r>
      <w:r>
        <w:fldChar w:fldCharType="separate"/>
      </w:r>
      <w:r>
        <w:t>137</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_Toc112317140 \h </w:instrText>
      </w:r>
      <w:r>
        <w:fldChar w:fldCharType="separate"/>
      </w:r>
      <w:r>
        <w:t>137</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_Toc112317141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_Toc112317143 \h </w:instrText>
      </w:r>
      <w:r>
        <w:fldChar w:fldCharType="separate"/>
      </w:r>
      <w:r>
        <w:t>138</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_Toc112317144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_Toc112317146 \h </w:instrText>
      </w:r>
      <w:r>
        <w:fldChar w:fldCharType="separate"/>
      </w:r>
      <w:r>
        <w:t>139</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_Toc112317147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_Toc112317149 \h </w:instrText>
      </w:r>
      <w:r>
        <w:fldChar w:fldCharType="separate"/>
      </w:r>
      <w:r>
        <w:t>140</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_Toc112317150 \h </w:instrText>
      </w:r>
      <w:r>
        <w:fldChar w:fldCharType="separate"/>
      </w:r>
      <w:r>
        <w:t>141</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_Toc112317151 \h </w:instrText>
      </w:r>
      <w:r>
        <w:fldChar w:fldCharType="separate"/>
      </w:r>
      <w:r>
        <w:t>141</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_Toc112317152 \h </w:instrText>
      </w:r>
      <w:r>
        <w:fldChar w:fldCharType="separate"/>
      </w:r>
      <w:r>
        <w:t>142</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_Toc112317153 \h </w:instrText>
      </w:r>
      <w:r>
        <w:fldChar w:fldCharType="separate"/>
      </w:r>
      <w:r>
        <w:t>142</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_Toc112317154 \h </w:instrText>
      </w:r>
      <w:r>
        <w:fldChar w:fldCharType="separate"/>
      </w:r>
      <w:r>
        <w:t>142</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_Toc112317155 \h </w:instrText>
      </w:r>
      <w:r>
        <w:fldChar w:fldCharType="separate"/>
      </w:r>
      <w:r>
        <w:t>143</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_Toc112317156 \h </w:instrText>
      </w:r>
      <w:r>
        <w:fldChar w:fldCharType="separate"/>
      </w:r>
      <w:r>
        <w:t>143</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_Toc112317157 \h </w:instrText>
      </w:r>
      <w:r>
        <w:fldChar w:fldCharType="separate"/>
      </w:r>
      <w:r>
        <w:t>144</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_Toc112317158 \h </w:instrText>
      </w:r>
      <w:r>
        <w:fldChar w:fldCharType="separate"/>
      </w:r>
      <w:r>
        <w:t>144</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_Toc112317159 \h </w:instrText>
      </w:r>
      <w:r>
        <w:fldChar w:fldCharType="separate"/>
      </w:r>
      <w:r>
        <w:t>145</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_Toc112317160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_Toc112317162 \h </w:instrText>
      </w:r>
      <w:r>
        <w:fldChar w:fldCharType="separate"/>
      </w:r>
      <w:r>
        <w:t>146</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_Toc112317163 \h </w:instrText>
      </w:r>
      <w:r>
        <w:fldChar w:fldCharType="separate"/>
      </w:r>
      <w:r>
        <w:t>146</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_Toc112317164 \h </w:instrText>
      </w:r>
      <w:r>
        <w:fldChar w:fldCharType="separate"/>
      </w:r>
      <w:r>
        <w:t>147</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_Toc112317165 \h </w:instrText>
      </w:r>
      <w:r>
        <w:fldChar w:fldCharType="separate"/>
      </w:r>
      <w:r>
        <w:t>147</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_Toc112317166 \h </w:instrText>
      </w:r>
      <w:r>
        <w:fldChar w:fldCharType="separate"/>
      </w:r>
      <w:r>
        <w:t>147</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_Toc112317167 \h </w:instrText>
      </w:r>
      <w:r>
        <w:fldChar w:fldCharType="separate"/>
      </w:r>
      <w:r>
        <w:t>148</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_Toc112317168 \h </w:instrText>
      </w:r>
      <w:r>
        <w:fldChar w:fldCharType="separate"/>
      </w:r>
      <w:r>
        <w:t>148</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_Toc112317169 \h </w:instrText>
      </w:r>
      <w:r>
        <w:fldChar w:fldCharType="separate"/>
      </w:r>
      <w:r>
        <w:t>148</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_Toc112317170 \h </w:instrText>
      </w:r>
      <w:r>
        <w:fldChar w:fldCharType="separate"/>
      </w:r>
      <w:r>
        <w:t>149</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_Toc112317171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_Toc112317173 \h </w:instrText>
      </w:r>
      <w:r>
        <w:fldChar w:fldCharType="separate"/>
      </w:r>
      <w:r>
        <w:t>150</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_Toc112317174 \h </w:instrText>
      </w:r>
      <w:r>
        <w:fldChar w:fldCharType="separate"/>
      </w:r>
      <w:r>
        <w:t>150</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_Toc112317175 \h </w:instrText>
      </w:r>
      <w:r>
        <w:fldChar w:fldCharType="separate"/>
      </w:r>
      <w:r>
        <w:t>150</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_Toc112317176 \h </w:instrText>
      </w:r>
      <w:r>
        <w:fldChar w:fldCharType="separate"/>
      </w:r>
      <w:r>
        <w:t>150</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_Toc112317177 \h </w:instrText>
      </w:r>
      <w:r>
        <w:fldChar w:fldCharType="separate"/>
      </w:r>
      <w:r>
        <w:t>151</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_Toc112317178 \h </w:instrText>
      </w:r>
      <w:r>
        <w:fldChar w:fldCharType="separate"/>
      </w:r>
      <w:r>
        <w:t>151</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_Toc112317179 \h </w:instrText>
      </w:r>
      <w:r>
        <w:fldChar w:fldCharType="separate"/>
      </w:r>
      <w:r>
        <w:t>152</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_Toc112317180 \h </w:instrText>
      </w:r>
      <w:r>
        <w:fldChar w:fldCharType="separate"/>
      </w:r>
      <w:r>
        <w:t>152</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_Toc112317181 \h </w:instrText>
      </w:r>
      <w:r>
        <w:fldChar w:fldCharType="separate"/>
      </w:r>
      <w:r>
        <w:t>152</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_Toc112317182 \h </w:instrText>
      </w:r>
      <w:r>
        <w:fldChar w:fldCharType="separate"/>
      </w:r>
      <w:r>
        <w:t>152</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_Toc112317183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_Toc112317185 \h </w:instrText>
      </w:r>
      <w:r>
        <w:fldChar w:fldCharType="separate"/>
      </w:r>
      <w:r>
        <w:t>154</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_Toc112317186 \h </w:instrText>
      </w:r>
      <w:r>
        <w:fldChar w:fldCharType="separate"/>
      </w:r>
      <w:r>
        <w:t>154</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_Toc112317187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_Toc112317190 \h </w:instrText>
      </w:r>
      <w:r>
        <w:fldChar w:fldCharType="separate"/>
      </w:r>
      <w:r>
        <w:t>155</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_Toc112317191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_Toc112317193 \h </w:instrText>
      </w:r>
      <w:r>
        <w:fldChar w:fldCharType="separate"/>
      </w:r>
      <w:r>
        <w:t>157</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_Toc112317194 \h </w:instrText>
      </w:r>
      <w:r>
        <w:fldChar w:fldCharType="separate"/>
      </w:r>
      <w:r>
        <w:t>158</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_Toc112317195 \h </w:instrText>
      </w:r>
      <w:r>
        <w:fldChar w:fldCharType="separate"/>
      </w:r>
      <w:r>
        <w:t>158</w:t>
      </w:r>
      <w:r>
        <w:fldChar w:fldCharType="end"/>
      </w:r>
    </w:p>
    <w:p>
      <w:pPr>
        <w:pStyle w:val="TOC8"/>
        <w:rPr>
          <w:rFonts w:asciiTheme="minorHAnsi" w:eastAsiaTheme="minorEastAsia" w:hAnsiTheme="minorHAnsi" w:cstheme="minorBidi"/>
          <w:szCs w:val="22"/>
        </w:rPr>
      </w:pPr>
      <w:r>
        <w:t>231.</w:t>
      </w:r>
      <w:r>
        <w:tab/>
        <w:t>Non</w:t>
      </w:r>
      <w:r>
        <w:noBreakHyphen/>
        <w:t>application of this Part: approvals under Commonwealth legislation</w:t>
      </w:r>
      <w:r>
        <w:tab/>
      </w:r>
      <w:r>
        <w:fldChar w:fldCharType="begin"/>
      </w:r>
      <w:r>
        <w:instrText xml:space="preserve"> PAGEREF _Toc112317196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_Toc112317198 \h </w:instrText>
      </w:r>
      <w:r>
        <w:fldChar w:fldCharType="separate"/>
      </w:r>
      <w:r>
        <w:t>159</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_Toc112317199 \h </w:instrText>
      </w:r>
      <w:r>
        <w:fldChar w:fldCharType="separate"/>
      </w:r>
      <w:r>
        <w:t>160</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_Toc112317200 \h </w:instrText>
      </w:r>
      <w:r>
        <w:fldChar w:fldCharType="separate"/>
      </w:r>
      <w:r>
        <w:t>160</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_Toc112317201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_Toc112317203 \h </w:instrText>
      </w:r>
      <w:r>
        <w:fldChar w:fldCharType="separate"/>
      </w:r>
      <w:r>
        <w:t>164</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_Toc112317204 \h </w:instrText>
      </w:r>
      <w:r>
        <w:fldChar w:fldCharType="separate"/>
      </w:r>
      <w:r>
        <w:t>165</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_Toc112317205 \h </w:instrText>
      </w:r>
      <w:r>
        <w:fldChar w:fldCharType="separate"/>
      </w:r>
      <w:r>
        <w:t>167</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_Toc112317206 \h </w:instrText>
      </w:r>
      <w:r>
        <w:fldChar w:fldCharType="separate"/>
      </w:r>
      <w:r>
        <w:t>168</w:t>
      </w:r>
      <w:r>
        <w:fldChar w:fldCharType="end"/>
      </w:r>
    </w:p>
    <w:p>
      <w:pPr>
        <w:pStyle w:val="TOC8"/>
        <w:rPr>
          <w:rFonts w:asciiTheme="minorHAnsi" w:eastAsiaTheme="minorEastAsia" w:hAnsiTheme="minorHAnsi" w:cstheme="minorBidi"/>
          <w:szCs w:val="22"/>
        </w:rPr>
      </w:pPr>
      <w:r>
        <w:t>240.</w:t>
      </w:r>
      <w:r>
        <w:tab/>
        <w:t>Exception to compliance with ADRs: approvals under Commonwealth legislation</w:t>
      </w:r>
      <w:r>
        <w:tab/>
      </w:r>
      <w:r>
        <w:fldChar w:fldCharType="begin"/>
      </w:r>
      <w:r>
        <w:instrText xml:space="preserve"> PAGEREF _Toc112317207 \h </w:instrText>
      </w:r>
      <w:r>
        <w:fldChar w:fldCharType="separate"/>
      </w:r>
      <w:r>
        <w:t>168</w:t>
      </w:r>
      <w:r>
        <w:fldChar w:fldCharType="end"/>
      </w:r>
    </w:p>
    <w:p>
      <w:pPr>
        <w:pStyle w:val="TOC8"/>
        <w:rPr>
          <w:rFonts w:asciiTheme="minorHAnsi" w:eastAsiaTheme="minorEastAsia" w:hAnsiTheme="minorHAnsi" w:cstheme="minorBidi"/>
          <w:szCs w:val="22"/>
        </w:rPr>
      </w:pPr>
      <w:r>
        <w:t>240A.</w:t>
      </w:r>
      <w:r>
        <w:tab/>
        <w:t xml:space="preserve">Vehicles satisfying an entry pathway under </w:t>
      </w:r>
      <w:r>
        <w:rPr>
          <w:i/>
        </w:rPr>
        <w:t>Road Vehicle Standards Act 2018</w:t>
      </w:r>
      <w:r>
        <w:t xml:space="preserve"> (Commonwealth)</w:t>
      </w:r>
      <w:r>
        <w:tab/>
      </w:r>
      <w:r>
        <w:fldChar w:fldCharType="begin"/>
      </w:r>
      <w:r>
        <w:instrText xml:space="preserve"> PAGEREF _Toc112317208 \h </w:instrText>
      </w:r>
      <w:r>
        <w:fldChar w:fldCharType="separate"/>
      </w:r>
      <w:r>
        <w:t>169</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_Toc112317209 \h </w:instrText>
      </w:r>
      <w:r>
        <w:fldChar w:fldCharType="separate"/>
      </w:r>
      <w:r>
        <w:t>170</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_Toc112317210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_Toc112317212 \h </w:instrText>
      </w:r>
      <w:r>
        <w:fldChar w:fldCharType="separate"/>
      </w:r>
      <w:r>
        <w:t>171</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_Toc112317213 \h </w:instrText>
      </w:r>
      <w:r>
        <w:fldChar w:fldCharType="separate"/>
      </w:r>
      <w:r>
        <w:t>172</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_Toc112317214 \h </w:instrText>
      </w:r>
      <w:r>
        <w:fldChar w:fldCharType="separate"/>
      </w:r>
      <w:r>
        <w:t>173</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_Toc112317215 \h </w:instrText>
      </w:r>
      <w:r>
        <w:fldChar w:fldCharType="separate"/>
      </w:r>
      <w:r>
        <w:t>173</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_Toc112317216 \h </w:instrText>
      </w:r>
      <w:r>
        <w:fldChar w:fldCharType="separate"/>
      </w:r>
      <w:r>
        <w:t>174</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_Toc112317217 \h </w:instrText>
      </w:r>
      <w:r>
        <w:fldChar w:fldCharType="separate"/>
      </w:r>
      <w:r>
        <w:t>174</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_Toc112317218 \h </w:instrText>
      </w:r>
      <w:r>
        <w:fldChar w:fldCharType="separate"/>
      </w:r>
      <w:r>
        <w:t>174</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_Toc112317219 \h </w:instrText>
      </w:r>
      <w:r>
        <w:fldChar w:fldCharType="separate"/>
      </w:r>
      <w:r>
        <w:t>174</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_Toc112317220 \h </w:instrText>
      </w:r>
      <w:r>
        <w:fldChar w:fldCharType="separate"/>
      </w:r>
      <w:r>
        <w:t>176</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_Toc112317221 \h </w:instrText>
      </w:r>
      <w:r>
        <w:fldChar w:fldCharType="separate"/>
      </w:r>
      <w:r>
        <w:t>177</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_Toc112317222 \h </w:instrText>
      </w:r>
      <w:r>
        <w:fldChar w:fldCharType="separate"/>
      </w:r>
      <w:r>
        <w:t>178</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_Toc112317223 \h </w:instrText>
      </w:r>
      <w:r>
        <w:fldChar w:fldCharType="separate"/>
      </w:r>
      <w:r>
        <w:t>178</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_Toc112317224 \h </w:instrText>
      </w:r>
      <w:r>
        <w:fldChar w:fldCharType="separate"/>
      </w:r>
      <w:r>
        <w:t>179</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_Toc112317225 \h </w:instrText>
      </w:r>
      <w:r>
        <w:fldChar w:fldCharType="separate"/>
      </w:r>
      <w:r>
        <w:t>179</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_Toc112317226 \h </w:instrText>
      </w:r>
      <w:r>
        <w:fldChar w:fldCharType="separate"/>
      </w:r>
      <w:r>
        <w:t>179</w:t>
      </w:r>
      <w:r>
        <w:fldChar w:fldCharType="end"/>
      </w:r>
    </w:p>
    <w:p>
      <w:pPr>
        <w:pStyle w:val="TOC8"/>
        <w:rPr>
          <w:rFonts w:asciiTheme="minorHAnsi" w:eastAsiaTheme="minorEastAsia" w:hAnsiTheme="minorHAnsi" w:cstheme="minorBidi"/>
          <w:szCs w:val="22"/>
        </w:rPr>
      </w:pPr>
      <w:r>
        <w:lastRenderedPageBreak/>
        <w:t>258.</w:t>
      </w:r>
      <w:r>
        <w:tab/>
        <w:t>Motor vehicle TVs, VDUs</w:t>
      </w:r>
      <w:r>
        <w:tab/>
      </w:r>
      <w:r>
        <w:fldChar w:fldCharType="begin"/>
      </w:r>
      <w:r>
        <w:instrText xml:space="preserve"> PAGEREF _Toc112317227 \h </w:instrText>
      </w:r>
      <w:r>
        <w:fldChar w:fldCharType="separate"/>
      </w:r>
      <w:r>
        <w:t>180</w:t>
      </w:r>
      <w:r>
        <w:fldChar w:fldCharType="end"/>
      </w:r>
    </w:p>
    <w:p>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_Toc112317228 \h </w:instrText>
      </w:r>
      <w:r>
        <w:fldChar w:fldCharType="separate"/>
      </w:r>
      <w:r>
        <w:t>181</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_Toc112317229 \h </w:instrText>
      </w:r>
      <w:r>
        <w:fldChar w:fldCharType="separate"/>
      </w:r>
      <w:r>
        <w:t>181</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_Toc112317230 \h </w:instrText>
      </w:r>
      <w:r>
        <w:fldChar w:fldCharType="separate"/>
      </w:r>
      <w:r>
        <w:t>182</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_Toc112317231 \h </w:instrText>
      </w:r>
      <w:r>
        <w:fldChar w:fldCharType="separate"/>
      </w:r>
      <w:r>
        <w:t>183</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_Toc112317232 \h </w:instrText>
      </w:r>
      <w:r>
        <w:fldChar w:fldCharType="separate"/>
      </w:r>
      <w:r>
        <w:t>185</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_Toc112317233 \h </w:instrText>
      </w:r>
      <w:r>
        <w:fldChar w:fldCharType="separate"/>
      </w:r>
      <w:r>
        <w:t>185</w:t>
      </w:r>
      <w:r>
        <w:fldChar w:fldCharType="end"/>
      </w:r>
    </w:p>
    <w:p>
      <w:pPr>
        <w:pStyle w:val="TOC8"/>
        <w:rPr>
          <w:rFonts w:asciiTheme="minorHAnsi" w:eastAsiaTheme="minorEastAsia" w:hAnsiTheme="minorHAnsi" w:cstheme="minorBidi"/>
          <w:szCs w:val="22"/>
        </w:rPr>
      </w:pPr>
      <w:r>
        <w:t>264.</w:t>
      </w:r>
      <w:r>
        <w:tab/>
        <w:t>Pneumatic tyres for vehicles</w:t>
      </w:r>
      <w:r>
        <w:tab/>
      </w:r>
      <w:r>
        <w:fldChar w:fldCharType="begin"/>
      </w:r>
      <w:r>
        <w:instrText xml:space="preserve"> PAGEREF _Toc112317234 \h </w:instrText>
      </w:r>
      <w:r>
        <w:fldChar w:fldCharType="separate"/>
      </w:r>
      <w:r>
        <w:t>185</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_Toc112317235 \h </w:instrText>
      </w:r>
      <w:r>
        <w:fldChar w:fldCharType="separate"/>
      </w:r>
      <w:r>
        <w:t>185</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_Toc112317236 \h </w:instrText>
      </w:r>
      <w:r>
        <w:fldChar w:fldCharType="separate"/>
      </w:r>
      <w:r>
        <w:t>185</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_Toc112317237 \h </w:instrText>
      </w:r>
      <w:r>
        <w:fldChar w:fldCharType="separate"/>
      </w:r>
      <w:r>
        <w:t>186</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_Toc112317238 \h </w:instrText>
      </w:r>
      <w:r>
        <w:fldChar w:fldCharType="separate"/>
      </w:r>
      <w:r>
        <w:t>186</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_Toc112317239 \h </w:instrText>
      </w:r>
      <w:r>
        <w:fldChar w:fldCharType="separate"/>
      </w:r>
      <w:r>
        <w:t>187</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_Toc112317240 \h </w:instrText>
      </w:r>
      <w:r>
        <w:fldChar w:fldCharType="separate"/>
      </w:r>
      <w:r>
        <w:t>188</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_Toc112317241 \h </w:instrText>
      </w:r>
      <w:r>
        <w:fldChar w:fldCharType="separate"/>
      </w:r>
      <w:r>
        <w:t>188</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_Toc112317242 \h </w:instrText>
      </w:r>
      <w:r>
        <w:fldChar w:fldCharType="separate"/>
      </w:r>
      <w:r>
        <w:t>189</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_Toc112317243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_Toc112317245 \h </w:instrText>
      </w:r>
      <w:r>
        <w:fldChar w:fldCharType="separate"/>
      </w:r>
      <w:r>
        <w:t>190</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_Toc112317246 \h </w:instrText>
      </w:r>
      <w:r>
        <w:fldChar w:fldCharType="separate"/>
      </w:r>
      <w:r>
        <w:t>190</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_Toc112317247 \h </w:instrText>
      </w:r>
      <w:r>
        <w:fldChar w:fldCharType="separate"/>
      </w:r>
      <w:r>
        <w:t>191</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_Toc112317248 \h </w:instrText>
      </w:r>
      <w:r>
        <w:fldChar w:fldCharType="separate"/>
      </w:r>
      <w:r>
        <w:t>191</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_Toc112317249 \h </w:instrText>
      </w:r>
      <w:r>
        <w:fldChar w:fldCharType="separate"/>
      </w:r>
      <w:r>
        <w:t>193</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_Toc112317250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_Toc112317252 \h </w:instrText>
      </w:r>
      <w:r>
        <w:fldChar w:fldCharType="separate"/>
      </w:r>
      <w:r>
        <w:t>194</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_Toc112317253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_Toc112317256 \h </w:instrText>
      </w:r>
      <w:r>
        <w:fldChar w:fldCharType="separate"/>
      </w:r>
      <w:r>
        <w:t>195</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_Toc112317257 \h </w:instrText>
      </w:r>
      <w:r>
        <w:fldChar w:fldCharType="separate"/>
      </w:r>
      <w:r>
        <w:t>195</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_Toc112317258 \h </w:instrText>
      </w:r>
      <w:r>
        <w:fldChar w:fldCharType="separate"/>
      </w:r>
      <w:r>
        <w:t>196</w:t>
      </w:r>
      <w:r>
        <w:fldChar w:fldCharType="end"/>
      </w:r>
    </w:p>
    <w:p>
      <w:pPr>
        <w:pStyle w:val="TOC8"/>
        <w:rPr>
          <w:rFonts w:asciiTheme="minorHAnsi" w:eastAsiaTheme="minorEastAsia" w:hAnsiTheme="minorHAnsi" w:cstheme="minorBidi"/>
          <w:szCs w:val="22"/>
        </w:rPr>
      </w:pPr>
      <w:r>
        <w:lastRenderedPageBreak/>
        <w:t>285.</w:t>
      </w:r>
      <w:r>
        <w:tab/>
        <w:t>Certain vehicles not required to have lights or reflectors</w:t>
      </w:r>
      <w:r>
        <w:tab/>
      </w:r>
      <w:r>
        <w:fldChar w:fldCharType="begin"/>
      </w:r>
      <w:r>
        <w:instrText xml:space="preserve"> PAGEREF _Toc112317259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_Toc112317261 \h </w:instrText>
      </w:r>
      <w:r>
        <w:fldChar w:fldCharType="separate"/>
      </w:r>
      <w:r>
        <w:t>196</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_Toc112317262 \h </w:instrText>
      </w:r>
      <w:r>
        <w:fldChar w:fldCharType="separate"/>
      </w:r>
      <w:r>
        <w:t>198</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_Toc112317263 \h </w:instrText>
      </w:r>
      <w:r>
        <w:fldChar w:fldCharType="separate"/>
      </w:r>
      <w:r>
        <w:t>198</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_Toc112317264 \h </w:instrText>
      </w:r>
      <w:r>
        <w:fldChar w:fldCharType="separate"/>
      </w:r>
      <w:r>
        <w:t>198</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_Toc112317265 \h </w:instrText>
      </w:r>
      <w:r>
        <w:fldChar w:fldCharType="separate"/>
      </w:r>
      <w:r>
        <w:t>198</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_Toc112317266 \h </w:instrText>
      </w:r>
      <w:r>
        <w:fldChar w:fldCharType="separate"/>
      </w:r>
      <w:r>
        <w:t>199</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_Toc112317267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_Toc112317269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_Toc112317271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_Toc112317273 \h </w:instrText>
      </w:r>
      <w:r>
        <w:fldChar w:fldCharType="separate"/>
      </w:r>
      <w:r>
        <w:t>203</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_Toc112317274 \h </w:instrText>
      </w:r>
      <w:r>
        <w:fldChar w:fldCharType="separate"/>
      </w:r>
      <w:r>
        <w:t>203</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_Toc112317275 \h </w:instrText>
      </w:r>
      <w:r>
        <w:fldChar w:fldCharType="separate"/>
      </w:r>
      <w:r>
        <w:t>204</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_Toc112317276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_Toc112317278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_Toc112317280 \h </w:instrText>
      </w:r>
      <w:r>
        <w:fldChar w:fldCharType="separate"/>
      </w:r>
      <w:r>
        <w:t>205</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_Toc112317281 \h </w:instrText>
      </w:r>
      <w:r>
        <w:fldChar w:fldCharType="separate"/>
      </w:r>
      <w:r>
        <w:t>206</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_Toc112317282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_Toc112317284 \h </w:instrText>
      </w:r>
      <w:r>
        <w:fldChar w:fldCharType="separate"/>
      </w:r>
      <w:r>
        <w:t>207</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_Toc112317285 \h </w:instrText>
      </w:r>
      <w:r>
        <w:fldChar w:fldCharType="separate"/>
      </w:r>
      <w:r>
        <w:t>208</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_Toc112317286 \h </w:instrText>
      </w:r>
      <w:r>
        <w:fldChar w:fldCharType="separate"/>
      </w:r>
      <w:r>
        <w:t>209</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_Toc112317287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_Toc112317289 \h </w:instrText>
      </w:r>
      <w:r>
        <w:fldChar w:fldCharType="separate"/>
      </w:r>
      <w:r>
        <w:t>210</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_Toc112317290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_Toc112317292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_Toc112317294 \h </w:instrText>
      </w:r>
      <w:r>
        <w:fldChar w:fldCharType="separate"/>
      </w:r>
      <w:r>
        <w:t>213</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_Toc112317295 \h </w:instrText>
      </w:r>
      <w:r>
        <w:fldChar w:fldCharType="separate"/>
      </w:r>
      <w:r>
        <w:t>214</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_Toc112317296 \h </w:instrText>
      </w:r>
      <w:r>
        <w:fldChar w:fldCharType="separate"/>
      </w:r>
      <w:r>
        <w:t>214</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_Toc112317297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_Toc112317299 \h </w:instrText>
      </w:r>
      <w:r>
        <w:fldChar w:fldCharType="separate"/>
      </w:r>
      <w:r>
        <w:t>217</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_Toc112317300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_Toc112317302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_Toc112317304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_Toc112317306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_Toc112317308 \h </w:instrText>
      </w:r>
      <w:r>
        <w:fldChar w:fldCharType="separate"/>
      </w:r>
      <w:r>
        <w:t>219</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_Toc112317309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_Toc112317311 \h </w:instrText>
      </w:r>
      <w:r>
        <w:fldChar w:fldCharType="separate"/>
      </w:r>
      <w:r>
        <w:t>220</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_Toc112317312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_Toc112317314 \h </w:instrText>
      </w:r>
      <w:r>
        <w:fldChar w:fldCharType="separate"/>
      </w:r>
      <w:r>
        <w:t>221</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_Toc112317315 \h </w:instrText>
      </w:r>
      <w:r>
        <w:fldChar w:fldCharType="separate"/>
      </w:r>
      <w:r>
        <w:t>221</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_Toc112317316 \h </w:instrText>
      </w:r>
      <w:r>
        <w:fldChar w:fldCharType="separate"/>
      </w:r>
      <w:r>
        <w:t>222</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_Toc112317317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_Toc112317319 \h </w:instrText>
      </w:r>
      <w:r>
        <w:fldChar w:fldCharType="separate"/>
      </w:r>
      <w:r>
        <w:t>225</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_Toc112317320 \h </w:instrText>
      </w:r>
      <w:r>
        <w:fldChar w:fldCharType="separate"/>
      </w:r>
      <w:r>
        <w:t>226</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_Toc112317321 \h </w:instrText>
      </w:r>
      <w:r>
        <w:fldChar w:fldCharType="separate"/>
      </w:r>
      <w:r>
        <w:t>227</w:t>
      </w:r>
      <w:r>
        <w:fldChar w:fldCharType="end"/>
      </w:r>
    </w:p>
    <w:p>
      <w:pPr>
        <w:pStyle w:val="TOC8"/>
        <w:rPr>
          <w:rFonts w:asciiTheme="minorHAnsi" w:eastAsiaTheme="minorEastAsia" w:hAnsiTheme="minorHAnsi" w:cstheme="minorBidi"/>
          <w:szCs w:val="22"/>
        </w:rPr>
      </w:pPr>
      <w:r>
        <w:lastRenderedPageBreak/>
        <w:t>330.</w:t>
      </w:r>
      <w:r>
        <w:tab/>
        <w:t>Mechanical signalling devices</w:t>
      </w:r>
      <w:r>
        <w:tab/>
      </w:r>
      <w:r>
        <w:fldChar w:fldCharType="begin"/>
      </w:r>
      <w:r>
        <w:instrText xml:space="preserve"> PAGEREF _Toc112317322 \h </w:instrText>
      </w:r>
      <w:r>
        <w:fldChar w:fldCharType="separate"/>
      </w:r>
      <w:r>
        <w:t>227</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_Toc112317323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_Toc112317326 \h </w:instrText>
      </w:r>
      <w:r>
        <w:fldChar w:fldCharType="separate"/>
      </w:r>
      <w:r>
        <w:t>229</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_Toc112317327 \h </w:instrText>
      </w:r>
      <w:r>
        <w:fldChar w:fldCharType="separate"/>
      </w:r>
      <w:r>
        <w:t>230</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_Toc112317328 \h </w:instrText>
      </w:r>
      <w:r>
        <w:fldChar w:fldCharType="separate"/>
      </w:r>
      <w:r>
        <w:t>230</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_Toc112317329 \h </w:instrText>
      </w:r>
      <w:r>
        <w:fldChar w:fldCharType="separate"/>
      </w:r>
      <w:r>
        <w:t>231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_Toc112317331 \h </w:instrText>
      </w:r>
      <w:r>
        <w:fldChar w:fldCharType="separate"/>
      </w:r>
      <w:r>
        <w:t>234</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_Toc112317332 \h </w:instrText>
      </w:r>
      <w:r>
        <w:fldChar w:fldCharType="separate"/>
      </w:r>
      <w:r>
        <w:t>235</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_Toc112317333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_Toc112317335 \h </w:instrText>
      </w:r>
      <w:r>
        <w:fldChar w:fldCharType="separate"/>
      </w:r>
      <w:r>
        <w:t>236</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_Toc112317336 \h </w:instrText>
      </w:r>
      <w:r>
        <w:fldChar w:fldCharType="separate"/>
      </w:r>
      <w:r>
        <w:t>237</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_Toc112317337 \h </w:instrText>
      </w:r>
      <w:r>
        <w:fldChar w:fldCharType="separate"/>
      </w:r>
      <w:r>
        <w:t>237</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_Toc112317339 \h </w:instrText>
      </w:r>
      <w:r>
        <w:fldChar w:fldCharType="separate"/>
      </w:r>
      <w:r>
        <w:t>238</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_Toc112317340 \h </w:instrText>
      </w:r>
      <w:r>
        <w:fldChar w:fldCharType="separate"/>
      </w:r>
      <w:r>
        <w:t>238</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_Toc112317341 \h </w:instrText>
      </w:r>
      <w:r>
        <w:fldChar w:fldCharType="separate"/>
      </w:r>
      <w:r>
        <w:t>238</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_Toc112317342 \h </w:instrText>
      </w:r>
      <w:r>
        <w:fldChar w:fldCharType="separate"/>
      </w:r>
      <w:r>
        <w:t>238</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_Toc112317343 \h </w:instrText>
      </w:r>
      <w:r>
        <w:fldChar w:fldCharType="separate"/>
      </w:r>
      <w:r>
        <w:t>239</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_Toc112317344 \h </w:instrText>
      </w:r>
      <w:r>
        <w:fldChar w:fldCharType="separate"/>
      </w:r>
      <w:r>
        <w:t>240</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_Toc112317345 \h </w:instrText>
      </w:r>
      <w:r>
        <w:fldChar w:fldCharType="separate"/>
      </w:r>
      <w:r>
        <w:t>240</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_Toc112317346 \h </w:instrText>
      </w:r>
      <w:r>
        <w:fldChar w:fldCharType="separate"/>
      </w:r>
      <w:r>
        <w:t>241</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_Toc112317347 \h </w:instrText>
      </w:r>
      <w:r>
        <w:fldChar w:fldCharType="separate"/>
      </w:r>
      <w:r>
        <w:t>241</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_Toc112317348 \h </w:instrText>
      </w:r>
      <w:r>
        <w:fldChar w:fldCharType="separate"/>
      </w:r>
      <w:r>
        <w:t>242</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_Toc112317349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_Toc112317352 \h </w:instrText>
      </w:r>
      <w:r>
        <w:fldChar w:fldCharType="separate"/>
      </w:r>
      <w:r>
        <w:t>242</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_Toc112317353 \h </w:instrText>
      </w:r>
      <w:r>
        <w:fldChar w:fldCharType="separate"/>
      </w:r>
      <w:r>
        <w:t>242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_Toc112317355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_Toc112317357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_Toc112317359 \h </w:instrText>
      </w:r>
      <w:r>
        <w:fldChar w:fldCharType="separate"/>
      </w:r>
      <w:r>
        <w:t>246</w:t>
      </w:r>
      <w:r>
        <w:fldChar w:fldCharType="end"/>
      </w:r>
    </w:p>
    <w:p>
      <w:pPr>
        <w:pStyle w:val="TOC8"/>
        <w:rPr>
          <w:rFonts w:asciiTheme="minorHAnsi" w:eastAsiaTheme="minorEastAsia" w:hAnsiTheme="minorHAnsi" w:cstheme="minorBidi"/>
          <w:szCs w:val="22"/>
        </w:rPr>
      </w:pPr>
      <w:r>
        <w:t>357A.</w:t>
      </w:r>
      <w:r>
        <w:tab/>
        <w:t xml:space="preserve">Meaning of </w:t>
      </w:r>
      <w:r>
        <w:rPr>
          <w:i/>
        </w:rPr>
        <w:t>certified to ADR 83/00</w:t>
      </w:r>
      <w:r>
        <w:tab/>
      </w:r>
      <w:r>
        <w:fldChar w:fldCharType="begin"/>
      </w:r>
      <w:r>
        <w:instrText xml:space="preserve"> PAGEREF _Toc112317360 \h </w:instrText>
      </w:r>
      <w:r>
        <w:fldChar w:fldCharType="separate"/>
      </w:r>
      <w:r>
        <w:t>246</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_Toc112317361 \h </w:instrText>
      </w:r>
      <w:r>
        <w:fldChar w:fldCharType="separate"/>
      </w:r>
      <w:r>
        <w:t>247</w:t>
      </w:r>
      <w:r>
        <w:fldChar w:fldCharType="end"/>
      </w:r>
    </w:p>
    <w:p>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_Toc112317362 \h </w:instrText>
      </w:r>
      <w:r>
        <w:fldChar w:fldCharType="separate"/>
      </w:r>
      <w:r>
        <w:t>247</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_Toc112317363 \h </w:instrText>
      </w:r>
      <w:r>
        <w:fldChar w:fldCharType="separate"/>
      </w:r>
      <w:r>
        <w:t>247</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_Toc112317364 \h </w:instrText>
      </w:r>
      <w:r>
        <w:fldChar w:fldCharType="separate"/>
      </w:r>
      <w:r>
        <w:t>248</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_Toc112317365 \h </w:instrText>
      </w:r>
      <w:r>
        <w:fldChar w:fldCharType="separate"/>
      </w:r>
      <w:r>
        <w:t>248</w:t>
      </w:r>
      <w:r>
        <w:fldChar w:fldCharType="end"/>
      </w:r>
    </w:p>
    <w:p>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_Toc112317366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_Toc112317368 \h </w:instrText>
      </w:r>
      <w:r>
        <w:fldChar w:fldCharType="separate"/>
      </w:r>
      <w:r>
        <w:t>250</w:t>
      </w:r>
      <w:r>
        <w:fldChar w:fldCharType="end"/>
      </w:r>
    </w:p>
    <w:p>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_Toc112317369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_Toc112317371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_Toc112317374 \h </w:instrText>
      </w:r>
      <w:r>
        <w:fldChar w:fldCharType="separate"/>
      </w:r>
      <w:r>
        <w:t>252</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_Toc112317375 \h </w:instrText>
      </w:r>
      <w:r>
        <w:fldChar w:fldCharType="separate"/>
      </w:r>
      <w:r>
        <w:t>252</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_Toc112317376 \h </w:instrText>
      </w:r>
      <w:r>
        <w:fldChar w:fldCharType="separate"/>
      </w:r>
      <w:r>
        <w:t>252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_Toc112317378 \h </w:instrText>
      </w:r>
      <w:r>
        <w:fldChar w:fldCharType="separate"/>
      </w:r>
      <w:r>
        <w:t>253</w:t>
      </w:r>
      <w:r>
        <w:fldChar w:fldCharType="end"/>
      </w:r>
    </w:p>
    <w:p>
      <w:pPr>
        <w:pStyle w:val="TOC8"/>
        <w:rPr>
          <w:rFonts w:asciiTheme="minorHAnsi" w:eastAsiaTheme="minorEastAsia" w:hAnsiTheme="minorHAnsi" w:cstheme="minorBidi"/>
          <w:szCs w:val="22"/>
        </w:rPr>
      </w:pPr>
      <w:r>
        <w:lastRenderedPageBreak/>
        <w:t>368.</w:t>
      </w:r>
      <w:r>
        <w:tab/>
        <w:t>Couplings for B</w:t>
      </w:r>
      <w:r>
        <w:noBreakHyphen/>
        <w:t>doubles and road trains</w:t>
      </w:r>
      <w:r>
        <w:tab/>
      </w:r>
      <w:r>
        <w:fldChar w:fldCharType="begin"/>
      </w:r>
      <w:r>
        <w:instrText xml:space="preserve"> PAGEREF _Toc112317379 \h </w:instrText>
      </w:r>
      <w:r>
        <w:fldChar w:fldCharType="separate"/>
      </w:r>
      <w:r>
        <w:t>254</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_Toc112317380 \h </w:instrText>
      </w:r>
      <w:r>
        <w:fldChar w:fldCharType="separate"/>
      </w:r>
      <w:r>
        <w:t>254</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_Toc112317381 \h </w:instrText>
      </w:r>
      <w:r>
        <w:fldChar w:fldCharType="separate"/>
      </w:r>
      <w:r>
        <w:t>255</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_Toc112317382 \h </w:instrText>
      </w:r>
      <w:r>
        <w:fldChar w:fldCharType="separate"/>
      </w:r>
      <w:r>
        <w:t>255</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_Toc112317383 \h </w:instrText>
      </w:r>
      <w:r>
        <w:fldChar w:fldCharType="separate"/>
      </w:r>
      <w:r>
        <w:t>255</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_Toc112317384 \h </w:instrText>
      </w:r>
      <w:r>
        <w:fldChar w:fldCharType="separate"/>
      </w:r>
      <w:r>
        <w:t>256</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_Toc112317385 \h </w:instrText>
      </w:r>
      <w:r>
        <w:fldChar w:fldCharType="separate"/>
      </w:r>
      <w:r>
        <w:t>257</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_Toc112317386 \h </w:instrText>
      </w:r>
      <w:r>
        <w:fldChar w:fldCharType="separate"/>
      </w:r>
      <w:r>
        <w:t>257</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_Toc112317387 \h </w:instrText>
      </w:r>
      <w:r>
        <w:fldChar w:fldCharType="separate"/>
      </w:r>
      <w:r>
        <w:t>258</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_Toc112317388 \h </w:instrText>
      </w:r>
      <w:r>
        <w:fldChar w:fldCharType="separate"/>
      </w:r>
      <w:r>
        <w:t>258</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_Toc112317389 \h </w:instrText>
      </w:r>
      <w:r>
        <w:fldChar w:fldCharType="separate"/>
      </w:r>
      <w:r>
        <w:t>258</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_Toc112317390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_Toc112317392 \h </w:instrText>
      </w:r>
      <w:r>
        <w:fldChar w:fldCharType="separate"/>
      </w:r>
      <w:r>
        <w:t>261</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_Toc112317393 \h </w:instrText>
      </w:r>
      <w:r>
        <w:fldChar w:fldCharType="separate"/>
      </w:r>
      <w:r>
        <w:t>262</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_Toc112317394 \h </w:instrText>
      </w:r>
      <w:r>
        <w:fldChar w:fldCharType="separate"/>
      </w:r>
      <w:r>
        <w:t>262</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_Toc112317395 \h </w:instrText>
      </w:r>
      <w:r>
        <w:fldChar w:fldCharType="separate"/>
      </w:r>
      <w:r>
        <w:t>262</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_Toc112317396 \h </w:instrText>
      </w:r>
      <w:r>
        <w:fldChar w:fldCharType="separate"/>
      </w:r>
      <w:r>
        <w:t>263</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_Toc112317397 \h </w:instrText>
      </w:r>
      <w:r>
        <w:fldChar w:fldCharType="separate"/>
      </w:r>
      <w:r>
        <w:t>263</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_Toc112317398 \h </w:instrText>
      </w:r>
      <w:r>
        <w:fldChar w:fldCharType="separate"/>
      </w:r>
      <w:r>
        <w:t>264</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_Toc112317399 \h </w:instrText>
      </w:r>
      <w:r>
        <w:fldChar w:fldCharType="separate"/>
      </w:r>
      <w:r>
        <w:t>264</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_Toc112317400 \h </w:instrText>
      </w:r>
      <w:r>
        <w:fldChar w:fldCharType="separate"/>
      </w:r>
      <w:r>
        <w:t>265</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_Toc112317401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_Toc112317404 \h </w:instrText>
      </w:r>
      <w:r>
        <w:fldChar w:fldCharType="separate"/>
      </w:r>
      <w:r>
        <w:t>268</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_Toc112317405 \h </w:instrText>
      </w:r>
      <w:r>
        <w:fldChar w:fldCharType="separate"/>
      </w:r>
      <w:r>
        <w:t>268</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_Toc112317406 \h </w:instrText>
      </w:r>
      <w:r>
        <w:fldChar w:fldCharType="separate"/>
      </w:r>
      <w:r>
        <w:t>268</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_Toc112317407 \h </w:instrText>
      </w:r>
      <w:r>
        <w:fldChar w:fldCharType="separate"/>
      </w:r>
      <w:r>
        <w:t>268</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_Toc112317408 \h </w:instrText>
      </w:r>
      <w:r>
        <w:fldChar w:fldCharType="separate"/>
      </w:r>
      <w:r>
        <w:t>269</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_Toc112317409 \h </w:instrText>
      </w:r>
      <w:r>
        <w:fldChar w:fldCharType="separate"/>
      </w:r>
      <w:r>
        <w:t>270</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_Toc112317410 \h </w:instrText>
      </w:r>
      <w:r>
        <w:fldChar w:fldCharType="separate"/>
      </w:r>
      <w:r>
        <w:t>270</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_Toc112317411 \h </w:instrText>
      </w:r>
      <w:r>
        <w:fldChar w:fldCharType="separate"/>
      </w:r>
      <w:r>
        <w:t>271</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_Toc112317412 \h </w:instrText>
      </w:r>
      <w:r>
        <w:fldChar w:fldCharType="separate"/>
      </w:r>
      <w:r>
        <w:t>271</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_Toc112317413 \h </w:instrText>
      </w:r>
      <w:r>
        <w:fldChar w:fldCharType="separate"/>
      </w:r>
      <w:r>
        <w:t>272</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_Toc112317414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_Toc112317416 \h </w:instrText>
      </w:r>
      <w:r>
        <w:fldChar w:fldCharType="separate"/>
      </w:r>
      <w:r>
        <w:t>273</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_Toc112317417 \h </w:instrText>
      </w:r>
      <w:r>
        <w:fldChar w:fldCharType="separate"/>
      </w:r>
      <w:r>
        <w:t>273</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_Toc112317418 \h </w:instrText>
      </w:r>
      <w:r>
        <w:fldChar w:fldCharType="separate"/>
      </w:r>
      <w:r>
        <w:t>273</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_Toc112317419 \h </w:instrText>
      </w:r>
      <w:r>
        <w:fldChar w:fldCharType="separate"/>
      </w:r>
      <w:r>
        <w:t>273</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_Toc112317420 \h </w:instrText>
      </w:r>
      <w:r>
        <w:fldChar w:fldCharType="separate"/>
      </w:r>
      <w:r>
        <w:t>274</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_Toc112317421 \h </w:instrText>
      </w:r>
      <w:r>
        <w:fldChar w:fldCharType="separate"/>
      </w:r>
      <w:r>
        <w:t>274</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_Toc112317422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_Toc112317425 \h </w:instrText>
      </w:r>
      <w:r>
        <w:fldChar w:fldCharType="separate"/>
      </w:r>
      <w:r>
        <w:t>275</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_Toc112317426 \h </w:instrText>
      </w:r>
      <w:r>
        <w:fldChar w:fldCharType="separate"/>
      </w:r>
      <w:r>
        <w:t>275</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_Toc112317427 \h </w:instrText>
      </w:r>
      <w:r>
        <w:fldChar w:fldCharType="separate"/>
      </w:r>
      <w:r>
        <w:t>276</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_Toc112317428 \h </w:instrText>
      </w:r>
      <w:r>
        <w:fldChar w:fldCharType="separate"/>
      </w:r>
      <w:r>
        <w:t>277</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_Toc112317429 \h </w:instrText>
      </w:r>
      <w:r>
        <w:fldChar w:fldCharType="separate"/>
      </w:r>
      <w:r>
        <w:t>277</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_Toc112317430 \h </w:instrText>
      </w:r>
      <w:r>
        <w:fldChar w:fldCharType="separate"/>
      </w:r>
      <w:r>
        <w:t>278</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_Toc112317431 \h </w:instrText>
      </w:r>
      <w:r>
        <w:fldChar w:fldCharType="separate"/>
      </w:r>
      <w:r>
        <w:t>278</w:t>
      </w:r>
      <w:r>
        <w:fldChar w:fldCharType="end"/>
      </w:r>
    </w:p>
    <w:p>
      <w:pPr>
        <w:pStyle w:val="TOC8"/>
        <w:rPr>
          <w:rFonts w:asciiTheme="minorHAnsi" w:eastAsiaTheme="minorEastAsia" w:hAnsiTheme="minorHAnsi" w:cstheme="minorBidi"/>
          <w:szCs w:val="22"/>
        </w:rPr>
      </w:pPr>
      <w:r>
        <w:lastRenderedPageBreak/>
        <w:t>415.</w:t>
      </w:r>
      <w:r>
        <w:tab/>
      </w:r>
      <w:r>
        <w:rPr>
          <w:snapToGrid w:val="0"/>
        </w:rPr>
        <w:t>Lifting requirements</w:t>
      </w:r>
      <w:r>
        <w:tab/>
      </w:r>
      <w:r>
        <w:fldChar w:fldCharType="begin"/>
      </w:r>
      <w:r>
        <w:instrText xml:space="preserve"> PAGEREF _Toc112317432 \h </w:instrText>
      </w:r>
      <w:r>
        <w:fldChar w:fldCharType="separate"/>
      </w:r>
      <w:r>
        <w:t>279</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_Toc112317433 \h </w:instrText>
      </w:r>
      <w:r>
        <w:fldChar w:fldCharType="separate"/>
      </w:r>
      <w:r>
        <w:t>280</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_Toc112317434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_Toc112317436 \h </w:instrText>
      </w:r>
      <w:r>
        <w:fldChar w:fldCharType="separate"/>
      </w:r>
      <w:r>
        <w:t>281</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_Toc112317437 \h </w:instrText>
      </w:r>
      <w:r>
        <w:fldChar w:fldCharType="separate"/>
      </w:r>
      <w:r>
        <w:t>282</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_Toc112317438 \h </w:instrText>
      </w:r>
      <w:r>
        <w:fldChar w:fldCharType="separate"/>
      </w:r>
      <w:r>
        <w:t>284</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_Toc112317439 \h </w:instrText>
      </w:r>
      <w:r>
        <w:fldChar w:fldCharType="separate"/>
      </w:r>
      <w:r>
        <w:t>285</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_Toc112317440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_Toc112317443 \h </w:instrText>
      </w:r>
      <w:r>
        <w:fldChar w:fldCharType="separate"/>
      </w:r>
      <w:r>
        <w:t>287</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_Toc112317444 \h </w:instrText>
      </w:r>
      <w:r>
        <w:fldChar w:fldCharType="separate"/>
      </w:r>
      <w:r>
        <w:t>287</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_Toc112317445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_Toc112317447 \h </w:instrText>
      </w:r>
      <w:r>
        <w:fldChar w:fldCharType="separate"/>
      </w:r>
      <w:r>
        <w:t>289</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_Toc112317448 \h </w:instrText>
      </w:r>
      <w:r>
        <w:fldChar w:fldCharType="separate"/>
      </w:r>
      <w:r>
        <w:t>289</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_Toc112317449 \h </w:instrText>
      </w:r>
      <w:r>
        <w:fldChar w:fldCharType="separate"/>
      </w:r>
      <w:r>
        <w:t>290</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_Toc112317450 \h </w:instrText>
      </w:r>
      <w:r>
        <w:fldChar w:fldCharType="separate"/>
      </w:r>
      <w:r>
        <w:t>290</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_Toc112317451 \h </w:instrText>
      </w:r>
      <w:r>
        <w:fldChar w:fldCharType="separate"/>
      </w:r>
      <w:r>
        <w:t>291</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_Toc112317452 \h </w:instrText>
      </w:r>
      <w:r>
        <w:fldChar w:fldCharType="separate"/>
      </w:r>
      <w:r>
        <w:t>292</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_Toc112317453 \h </w:instrText>
      </w:r>
      <w:r>
        <w:fldChar w:fldCharType="separate"/>
      </w:r>
      <w:r>
        <w:t>292</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_Toc112317454 \h </w:instrText>
      </w:r>
      <w:r>
        <w:fldChar w:fldCharType="separate"/>
      </w:r>
      <w:r>
        <w:t>293</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_Toc112317455 \h </w:instrText>
      </w:r>
      <w:r>
        <w:fldChar w:fldCharType="separate"/>
      </w:r>
      <w:r>
        <w:t>293</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_Toc112317456 \h </w:instrText>
      </w:r>
      <w:r>
        <w:fldChar w:fldCharType="separate"/>
      </w:r>
      <w:r>
        <w:t>294</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_Toc112317457 \h </w:instrText>
      </w:r>
      <w:r>
        <w:fldChar w:fldCharType="separate"/>
      </w:r>
      <w:r>
        <w:t>295</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_Toc112317458 \h </w:instrText>
      </w:r>
      <w:r>
        <w:fldChar w:fldCharType="separate"/>
      </w:r>
      <w:r>
        <w:t>295</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_Toc112317459 \h </w:instrText>
      </w:r>
      <w:r>
        <w:fldChar w:fldCharType="separate"/>
      </w:r>
      <w:r>
        <w:t>295</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_Toc112317460 \h </w:instrText>
      </w:r>
      <w:r>
        <w:fldChar w:fldCharType="separate"/>
      </w:r>
      <w:r>
        <w:t>296</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_Toc112317461 \h </w:instrText>
      </w:r>
      <w:r>
        <w:fldChar w:fldCharType="separate"/>
      </w:r>
      <w:r>
        <w:t>296</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_Toc112317462 \h </w:instrText>
      </w:r>
      <w:r>
        <w:fldChar w:fldCharType="separate"/>
      </w:r>
      <w:r>
        <w:t>296</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_Toc112317463 \h </w:instrText>
      </w:r>
      <w:r>
        <w:fldChar w:fldCharType="separate"/>
      </w:r>
      <w:r>
        <w:t>296</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_Toc112317464 \h </w:instrText>
      </w:r>
      <w:r>
        <w:fldChar w:fldCharType="separate"/>
      </w:r>
      <w:r>
        <w:t>296</w:t>
      </w:r>
      <w:r>
        <w:fldChar w:fldCharType="end"/>
      </w:r>
    </w:p>
    <w:p>
      <w:pPr>
        <w:pStyle w:val="TOC8"/>
        <w:rPr>
          <w:rFonts w:asciiTheme="minorHAnsi" w:eastAsiaTheme="minorEastAsia" w:hAnsiTheme="minorHAnsi" w:cstheme="minorBidi"/>
          <w:szCs w:val="22"/>
        </w:rPr>
      </w:pPr>
      <w:r>
        <w:lastRenderedPageBreak/>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_Toc112317465 \h </w:instrText>
      </w:r>
      <w:r>
        <w:fldChar w:fldCharType="separate"/>
      </w:r>
      <w:r>
        <w:t>297</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_Toc112317466 \h </w:instrText>
      </w:r>
      <w:r>
        <w:fldChar w:fldCharType="separate"/>
      </w:r>
      <w:r>
        <w:t>298</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_Toc112317467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_Toc112317469 \h </w:instrText>
      </w:r>
      <w:r>
        <w:fldChar w:fldCharType="separate"/>
      </w:r>
      <w:r>
        <w:t>299</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_Toc112317470 \h </w:instrText>
      </w:r>
      <w:r>
        <w:fldChar w:fldCharType="separate"/>
      </w:r>
      <w:r>
        <w:t>300</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_Toc112317471 \h </w:instrText>
      </w:r>
      <w:r>
        <w:fldChar w:fldCharType="separate"/>
      </w:r>
      <w:r>
        <w:t>300</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_Toc112317472 \h </w:instrText>
      </w:r>
      <w:r>
        <w:fldChar w:fldCharType="separate"/>
      </w:r>
      <w:r>
        <w:t>301</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_Toc112317473 \h </w:instrText>
      </w:r>
      <w:r>
        <w:fldChar w:fldCharType="separate"/>
      </w:r>
      <w:r>
        <w:t>301</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_Toc112317474 \h </w:instrText>
      </w:r>
      <w:r>
        <w:fldChar w:fldCharType="separate"/>
      </w:r>
      <w:r>
        <w:t>301</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_Toc112317475 \h </w:instrText>
      </w:r>
      <w:r>
        <w:fldChar w:fldCharType="separate"/>
      </w:r>
      <w:r>
        <w:t>302</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_Toc112317476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_Toc112317479 \h </w:instrText>
      </w:r>
      <w:r>
        <w:fldChar w:fldCharType="separate"/>
      </w:r>
      <w:r>
        <w:t>305</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_Toc112317480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_Toc112317483 \h </w:instrText>
      </w:r>
      <w:r>
        <w:fldChar w:fldCharType="separate"/>
      </w:r>
      <w:r>
        <w:t>306</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_Toc112317484 \h </w:instrText>
      </w:r>
      <w:r>
        <w:fldChar w:fldCharType="separate"/>
      </w:r>
      <w:r>
        <w:t>307</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_Toc112317485 \h </w:instrText>
      </w:r>
      <w:r>
        <w:fldChar w:fldCharType="separate"/>
      </w:r>
      <w:r>
        <w:t>308</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_Toc112317486 \h </w:instrText>
      </w:r>
      <w:r>
        <w:fldChar w:fldCharType="separate"/>
      </w:r>
      <w:r>
        <w:t>309</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_Toc112317487 \h </w:instrText>
      </w:r>
      <w:r>
        <w:fldChar w:fldCharType="separate"/>
      </w:r>
      <w:r>
        <w:t>310</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_Toc112317488 \h </w:instrText>
      </w:r>
      <w:r>
        <w:fldChar w:fldCharType="separate"/>
      </w:r>
      <w:r>
        <w:t>311</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_Toc112317489 \h </w:instrText>
      </w:r>
      <w:r>
        <w:fldChar w:fldCharType="separate"/>
      </w:r>
      <w:r>
        <w:t>312</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_Toc112317490 \h </w:instrText>
      </w:r>
      <w:r>
        <w:fldChar w:fldCharType="separate"/>
      </w:r>
      <w:r>
        <w:t>312</w:t>
      </w:r>
      <w:r>
        <w:fldChar w:fldCharType="end"/>
      </w:r>
    </w:p>
    <w:p>
      <w:pPr>
        <w:pStyle w:val="TOC8"/>
        <w:rPr>
          <w:rFonts w:asciiTheme="minorHAnsi" w:eastAsiaTheme="minorEastAsia" w:hAnsiTheme="minorHAnsi" w:cstheme="minorBidi"/>
          <w:szCs w:val="22"/>
        </w:rPr>
      </w:pPr>
      <w:r>
        <w:lastRenderedPageBreak/>
        <w:t>454K.</w:t>
      </w:r>
      <w:r>
        <w:tab/>
        <w:t>Heavy vehicle pilot licence not transferable</w:t>
      </w:r>
      <w:r>
        <w:tab/>
      </w:r>
      <w:r>
        <w:fldChar w:fldCharType="begin"/>
      </w:r>
      <w:r>
        <w:instrText xml:space="preserve"> PAGEREF _Toc112317491 \h </w:instrText>
      </w:r>
      <w:r>
        <w:fldChar w:fldCharType="separate"/>
      </w:r>
      <w:r>
        <w:t>312</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_Toc112317492 \h </w:instrText>
      </w:r>
      <w:r>
        <w:fldChar w:fldCharType="separate"/>
      </w:r>
      <w:r>
        <w:t>312</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_Toc112317493 \h </w:instrText>
      </w:r>
      <w:r>
        <w:fldChar w:fldCharType="separate"/>
      </w:r>
      <w:r>
        <w:t>312</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_Toc112317494 \h </w:instrText>
      </w:r>
      <w:r>
        <w:fldChar w:fldCharType="separate"/>
      </w:r>
      <w:r>
        <w:t>313</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_Toc112317495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_Toc112317497 \h </w:instrText>
      </w:r>
      <w:r>
        <w:fldChar w:fldCharType="separate"/>
      </w:r>
      <w:r>
        <w:t>315</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_Toc112317498 \h </w:instrText>
      </w:r>
      <w:r>
        <w:fldChar w:fldCharType="separate"/>
      </w:r>
      <w:r>
        <w:t>316</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_Toc112317499 \h </w:instrText>
      </w:r>
      <w:r>
        <w:fldChar w:fldCharType="separate"/>
      </w:r>
      <w:r>
        <w:t>317</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_Toc112317500 \h </w:instrText>
      </w:r>
      <w:r>
        <w:fldChar w:fldCharType="separate"/>
      </w:r>
      <w:r>
        <w:t>317</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_Toc112317501 \h </w:instrText>
      </w:r>
      <w:r>
        <w:fldChar w:fldCharType="separate"/>
      </w:r>
      <w:r>
        <w:t>318</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_Toc112317503 \h </w:instrText>
      </w:r>
      <w:r>
        <w:fldChar w:fldCharType="separate"/>
      </w:r>
      <w:r>
        <w:t>318</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_Toc112317504 \h </w:instrText>
      </w:r>
      <w:r>
        <w:fldChar w:fldCharType="separate"/>
      </w:r>
      <w:r>
        <w:t>319</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_Toc112317505 \h </w:instrText>
      </w:r>
      <w:r>
        <w:fldChar w:fldCharType="separate"/>
      </w:r>
      <w:r>
        <w:t>319</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_Toc112317506 \h </w:instrText>
      </w:r>
      <w:r>
        <w:fldChar w:fldCharType="separate"/>
      </w:r>
      <w:r>
        <w:t>320</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_Toc112317507 \h </w:instrText>
      </w:r>
      <w:r>
        <w:fldChar w:fldCharType="separate"/>
      </w:r>
      <w:r>
        <w:t>320</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_Toc112317508 \h </w:instrText>
      </w:r>
      <w:r>
        <w:fldChar w:fldCharType="separate"/>
      </w:r>
      <w:r>
        <w:t>321</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_Toc112317510 \h </w:instrText>
      </w:r>
      <w:r>
        <w:fldChar w:fldCharType="separate"/>
      </w:r>
      <w:r>
        <w:t>321</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_Toc112317511 \h </w:instrText>
      </w:r>
      <w:r>
        <w:fldChar w:fldCharType="separate"/>
      </w:r>
      <w:r>
        <w:t>322</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_Toc112317512 \h </w:instrText>
      </w:r>
      <w:r>
        <w:fldChar w:fldCharType="separate"/>
      </w:r>
      <w:r>
        <w:t>322</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_Toc112317515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_Toc112317517 \h </w:instrText>
      </w:r>
      <w:r>
        <w:fldChar w:fldCharType="separate"/>
      </w:r>
      <w:r>
        <w:t>323</w:t>
      </w:r>
      <w:r>
        <w:fldChar w:fldCharType="end"/>
      </w:r>
    </w:p>
    <w:p>
      <w:pPr>
        <w:pStyle w:val="TOC8"/>
        <w:rPr>
          <w:rFonts w:asciiTheme="minorHAnsi" w:eastAsiaTheme="minorEastAsia" w:hAnsiTheme="minorHAnsi" w:cstheme="minorBidi"/>
          <w:szCs w:val="22"/>
        </w:rPr>
      </w:pPr>
      <w:r>
        <w:lastRenderedPageBreak/>
        <w:t>457.</w:t>
      </w:r>
      <w:r>
        <w:tab/>
        <w:t>Minister’s declarations that specified regulations do not apply to specified persons or vehicles (s. 138)</w:t>
      </w:r>
      <w:r>
        <w:tab/>
      </w:r>
      <w:r>
        <w:fldChar w:fldCharType="begin"/>
      </w:r>
      <w:r>
        <w:instrText xml:space="preserve"> PAGEREF _Toc112317518 \h </w:instrText>
      </w:r>
      <w:r>
        <w:fldChar w:fldCharType="separate"/>
      </w:r>
      <w:r>
        <w:t>323</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_Toc112317519 \h </w:instrText>
      </w:r>
      <w:r>
        <w:fldChar w:fldCharType="separate"/>
      </w:r>
      <w:r>
        <w:t>324</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_Toc112317520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_Toc112317522 \h </w:instrText>
      </w:r>
      <w:r>
        <w:fldChar w:fldCharType="separate"/>
      </w:r>
      <w:r>
        <w:t>325</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_Toc112317523 \h </w:instrText>
      </w:r>
      <w:r>
        <w:fldChar w:fldCharType="separate"/>
      </w:r>
      <w:r>
        <w:t>325</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_Toc112317524 \h </w:instrText>
      </w:r>
      <w:r>
        <w:fldChar w:fldCharType="separate"/>
      </w:r>
      <w:r>
        <w:t>326</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_Toc112317525 \h </w:instrText>
      </w:r>
      <w:r>
        <w:fldChar w:fldCharType="separate"/>
      </w:r>
      <w:r>
        <w:t>327</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_Toc112317526 \h </w:instrText>
      </w:r>
      <w:r>
        <w:fldChar w:fldCharType="separate"/>
      </w:r>
      <w:r>
        <w:t>328</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_Toc112317527 \h </w:instrText>
      </w:r>
      <w:r>
        <w:fldChar w:fldCharType="separate"/>
      </w:r>
      <w:r>
        <w:t>328</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_Toc112317528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_Toc112317530 \h </w:instrText>
      </w:r>
      <w:r>
        <w:fldChar w:fldCharType="separate"/>
      </w:r>
      <w:r>
        <w:t>329</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_Toc112317531 \h </w:instrText>
      </w:r>
      <w:r>
        <w:fldChar w:fldCharType="separate"/>
      </w:r>
      <w:r>
        <w:t>330</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_Toc112317532 \h </w:instrText>
      </w:r>
      <w:r>
        <w:fldChar w:fldCharType="separate"/>
      </w:r>
      <w:r>
        <w:t>330</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_Toc112317533 \h </w:instrText>
      </w:r>
      <w:r>
        <w:fldChar w:fldCharType="separate"/>
      </w:r>
      <w:r>
        <w:t>331</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_Toc112317534 \h </w:instrText>
      </w:r>
      <w:r>
        <w:fldChar w:fldCharType="separate"/>
      </w:r>
      <w:r>
        <w:t>332</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_Toc112317535 \h </w:instrText>
      </w:r>
      <w:r>
        <w:fldChar w:fldCharType="separate"/>
      </w:r>
      <w:r>
        <w:t>332</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_Toc112317536 \h </w:instrText>
      </w:r>
      <w:r>
        <w:fldChar w:fldCharType="separate"/>
      </w:r>
      <w:r>
        <w:t>332</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_Toc112317537 \h </w:instrText>
      </w:r>
      <w:r>
        <w:fldChar w:fldCharType="separate"/>
      </w:r>
      <w:r>
        <w:t>332</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_Toc112317538 \h </w:instrText>
      </w:r>
      <w:r>
        <w:fldChar w:fldCharType="separate"/>
      </w:r>
      <w:r>
        <w:t>332</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_Toc112317539 \h </w:instrText>
      </w:r>
      <w:r>
        <w:fldChar w:fldCharType="separate"/>
      </w:r>
      <w:r>
        <w:t>333</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_Toc112317540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_Toc112317543 \h </w:instrText>
      </w:r>
      <w:r>
        <w:fldChar w:fldCharType="separate"/>
      </w:r>
      <w:r>
        <w:t>334</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_Toc112317544 \h </w:instrText>
      </w:r>
      <w:r>
        <w:fldChar w:fldCharType="separate"/>
      </w:r>
      <w:r>
        <w:t>336</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_Toc112317545 \h </w:instrText>
      </w:r>
      <w:r>
        <w:fldChar w:fldCharType="separate"/>
      </w:r>
      <w:r>
        <w:t>337</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_Toc112317547 \h </w:instrText>
      </w:r>
      <w:r>
        <w:fldChar w:fldCharType="separate"/>
      </w:r>
      <w:r>
        <w:t>338</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_Toc112317548 \h </w:instrText>
      </w:r>
      <w:r>
        <w:fldChar w:fldCharType="separate"/>
      </w:r>
      <w:r>
        <w:t>338</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_Toc112317549 \h </w:instrText>
      </w:r>
      <w:r>
        <w:fldChar w:fldCharType="separate"/>
      </w:r>
      <w:r>
        <w:t>339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_Toc112317551 \h </w:instrText>
      </w:r>
      <w:r>
        <w:fldChar w:fldCharType="separate"/>
      </w:r>
      <w:r>
        <w:t>341</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_Toc112317552 \h </w:instrText>
      </w:r>
      <w:r>
        <w:fldChar w:fldCharType="separate"/>
      </w:r>
      <w:r>
        <w:t>341</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_Toc112317553 \h </w:instrText>
      </w:r>
      <w:r>
        <w:fldChar w:fldCharType="separate"/>
      </w:r>
      <w:r>
        <w:t>341</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_Toc112317554 \h </w:instrText>
      </w:r>
      <w:r>
        <w:fldChar w:fldCharType="separate"/>
      </w:r>
      <w:r>
        <w:t>341</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_Toc112317555 \h </w:instrText>
      </w:r>
      <w:r>
        <w:fldChar w:fldCharType="separate"/>
      </w:r>
      <w:r>
        <w:t>341</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_Toc112317556 \h </w:instrText>
      </w:r>
      <w:r>
        <w:fldChar w:fldCharType="separate"/>
      </w:r>
      <w:r>
        <w:t>342</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_Toc112317557 \h </w:instrText>
      </w:r>
      <w:r>
        <w:fldChar w:fldCharType="separate"/>
      </w:r>
      <w:r>
        <w:t>342</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_Toc112317558 \h </w:instrText>
      </w:r>
      <w:r>
        <w:fldChar w:fldCharType="separate"/>
      </w:r>
      <w:r>
        <w:t>343</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_Toc112317559 \h </w:instrText>
      </w:r>
      <w:r>
        <w:fldChar w:fldCharType="separate"/>
      </w:r>
      <w:r>
        <w:t>343</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_Toc112317560 \h </w:instrText>
      </w:r>
      <w:r>
        <w:fldChar w:fldCharType="separate"/>
      </w:r>
      <w:r>
        <w:t>344</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_Toc112317561 \h </w:instrText>
      </w:r>
      <w:r>
        <w:fldChar w:fldCharType="separate"/>
      </w:r>
      <w:r>
        <w:t>344</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_Toc112317562 \h </w:instrText>
      </w:r>
      <w:r>
        <w:fldChar w:fldCharType="separate"/>
      </w:r>
      <w:r>
        <w:t>344</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_Toc112317563 \h </w:instrText>
      </w:r>
      <w:r>
        <w:fldChar w:fldCharType="separate"/>
      </w:r>
      <w:r>
        <w:t>344</w:t>
      </w:r>
      <w:r>
        <w:fldChar w:fldCharType="end"/>
      </w:r>
    </w:p>
    <w:p>
      <w:pPr>
        <w:pStyle w:val="TOC8"/>
        <w:rPr>
          <w:rFonts w:asciiTheme="minorHAnsi" w:eastAsiaTheme="minorEastAsia" w:hAnsiTheme="minorHAnsi" w:cstheme="minorBidi"/>
          <w:szCs w:val="22"/>
        </w:rPr>
      </w:pPr>
      <w:r>
        <w:lastRenderedPageBreak/>
        <w:t>499.</w:t>
      </w:r>
      <w:r>
        <w:tab/>
        <w:t>Permissions to move excessively high agricultural combinations</w:t>
      </w:r>
      <w:r>
        <w:tab/>
      </w:r>
      <w:r>
        <w:fldChar w:fldCharType="begin"/>
      </w:r>
      <w:r>
        <w:instrText xml:space="preserve"> PAGEREF _Toc112317564 \h </w:instrText>
      </w:r>
      <w:r>
        <w:fldChar w:fldCharType="separate"/>
      </w:r>
      <w:r>
        <w:t>345</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_Toc112317565 \h </w:instrText>
      </w:r>
      <w:r>
        <w:fldChar w:fldCharType="separate"/>
      </w:r>
      <w:r>
        <w:t>345</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_Toc112317566 \h </w:instrText>
      </w:r>
      <w:r>
        <w:fldChar w:fldCharType="separate"/>
      </w:r>
      <w:r>
        <w:t>345</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_Toc112317567 \h </w:instrText>
      </w:r>
      <w:r>
        <w:fldChar w:fldCharType="separate"/>
      </w:r>
      <w:r>
        <w:t>345</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_Toc112317568 \h </w:instrText>
      </w:r>
      <w:r>
        <w:fldChar w:fldCharType="separate"/>
      </w:r>
      <w:r>
        <w:t>346</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_Toc112317569 \h </w:instrText>
      </w:r>
      <w:r>
        <w:fldChar w:fldCharType="separate"/>
      </w:r>
      <w:r>
        <w:t>347</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_Toc112317570 \h </w:instrText>
      </w:r>
      <w:r>
        <w:fldChar w:fldCharType="separate"/>
      </w:r>
      <w:r>
        <w:t>347</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_Toc112317571 \h </w:instrText>
      </w:r>
      <w:r>
        <w:fldChar w:fldCharType="separate"/>
      </w:r>
      <w:r>
        <w:t>348</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_Toc112317572 \h </w:instrText>
      </w:r>
      <w:r>
        <w:fldChar w:fldCharType="separate"/>
      </w:r>
      <w:r>
        <w:t>349</w:t>
      </w:r>
      <w:r>
        <w:fldChar w:fldCharType="end"/>
      </w:r>
    </w:p>
    <w:p>
      <w:pPr>
        <w:pStyle w:val="TOC2"/>
        <w:tabs>
          <w:tab w:val="right" w:leader="dot" w:pos="7077"/>
        </w:tabs>
        <w:rPr>
          <w:rFonts w:asciiTheme="minorHAnsi" w:eastAsiaTheme="minorEastAsia" w:hAnsiTheme="minorHAnsi" w:cstheme="minorBidi"/>
          <w:b w:val="0"/>
          <w:sz w:val="22"/>
          <w:szCs w:val="22"/>
        </w:rPr>
      </w:pPr>
      <w:r>
        <w:t>Part 17</w:t>
      </w:r>
      <w:r>
        <w:rPr>
          <w:b w:val="0"/>
        </w:rPr>
        <w:t> </w:t>
      </w:r>
      <w:r>
        <w:t>—</w:t>
      </w:r>
      <w:r>
        <w:rPr>
          <w:b w:val="0"/>
        </w:rPr>
        <w:t> </w:t>
      </w:r>
      <w:r>
        <w:t xml:space="preserve">Transitional provision relating to </w:t>
      </w:r>
      <w:r>
        <w:rPr>
          <w:i/>
        </w:rPr>
        <w:t>Transport Regulations Amendment (Fees and Charges) Regulations 2019</w:t>
      </w:r>
      <w:r>
        <w:t xml:space="preserve"> Part 3 Division 2</w:t>
      </w:r>
    </w:p>
    <w:p>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_Toc112317574 \h </w:instrText>
      </w:r>
      <w:r>
        <w:fldChar w:fldCharType="separate"/>
      </w:r>
      <w:r>
        <w:t>350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18 — Transitional provision relating to </w:t>
      </w:r>
      <w:r>
        <w:rPr>
          <w:i/>
        </w:rPr>
        <w:t>Road Traffic (Vehicles) Amendment Regulations (No. 4) 2022</w:t>
      </w:r>
    </w:p>
    <w:p>
      <w:pPr>
        <w:pStyle w:val="TOC8"/>
        <w:rPr>
          <w:rFonts w:asciiTheme="minorHAnsi" w:eastAsiaTheme="minorEastAsia" w:hAnsiTheme="minorHAnsi" w:cstheme="minorBidi"/>
          <w:szCs w:val="22"/>
        </w:rPr>
      </w:pPr>
      <w:r>
        <w:t>509.</w:t>
      </w:r>
      <w:r>
        <w:tab/>
        <w:t>Renewal by direct debit</w:t>
      </w:r>
      <w:r>
        <w:tab/>
      </w:r>
      <w:r>
        <w:fldChar w:fldCharType="begin"/>
      </w:r>
      <w:r>
        <w:instrText xml:space="preserve"> PAGEREF _Toc112317576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_Toc112317578 \h </w:instrText>
      </w:r>
      <w:r>
        <w:fldChar w:fldCharType="separate"/>
      </w:r>
      <w:r>
        <w:t>352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_Toc112317579 \h </w:instrText>
      </w:r>
      <w:r>
        <w:fldChar w:fldCharType="separate"/>
      </w:r>
      <w:r>
        <w:t>355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3" w:name="_Toc112235319"/>
      <w:bookmarkStart w:id="4" w:name="_Toc112237100"/>
      <w:bookmarkStart w:id="5" w:name="_Toc11231691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12316919"/>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7" w:name="_Toc112316920"/>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8" w:name="_Toc112316921"/>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lastRenderedPageBreak/>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w:t>
      </w:r>
      <w:r>
        <w:t xml:space="preserve"> </w:t>
      </w:r>
      <w:r>
        <w:rPr>
          <w:b/>
          <w:i/>
        </w:rPr>
        <w:t>(</w:t>
      </w:r>
      <w:r>
        <w:rPr>
          <w:rStyle w:val="CharDefText"/>
        </w:rPr>
        <w:t>ADR</w:t>
      </w:r>
      <w:r>
        <w:rPr>
          <w:b/>
          <w:i/>
        </w:rPr>
        <w:t>)</w:t>
      </w:r>
      <w:r>
        <w:t xml:space="preserve"> has the meaning given in regulation 226;</w:t>
      </w:r>
    </w:p>
    <w:p>
      <w:pPr>
        <w:pStyle w:val="Defstart"/>
      </w:pPr>
      <w:r>
        <w:tab/>
      </w:r>
      <w:r>
        <w:rPr>
          <w:rStyle w:val="CharDefText"/>
        </w:rPr>
        <w:t>Australian Standard</w:t>
      </w:r>
      <w:r>
        <w:t xml:space="preserve"> </w:t>
      </w:r>
      <w:r>
        <w:rPr>
          <w:b/>
          <w:i/>
        </w:rPr>
        <w:t>(</w:t>
      </w:r>
      <w:r>
        <w:rPr>
          <w:rStyle w:val="CharDefText"/>
        </w:rPr>
        <w:t>AS</w:t>
      </w:r>
      <w:r>
        <w:rPr>
          <w:b/>
          <w:i/>
        </w:rPr>
        <w:t>)</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lastRenderedPageBreak/>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lastRenderedPageBreak/>
        <w:tab/>
        <w:t>(b)</w:t>
      </w:r>
      <w:r>
        <w:tab/>
        <w:t>relates to the vehicle; and</w:t>
      </w:r>
    </w:p>
    <w:p>
      <w:pPr>
        <w:pStyle w:val="Defpara"/>
      </w:pPr>
      <w:r>
        <w:tab/>
        <w:t>(c)</w:t>
      </w:r>
      <w:r>
        <w:tab/>
        <w:t>indicates that the vehicle complies with each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lastRenderedPageBreak/>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w:t>
      </w:r>
      <w:r>
        <w:t xml:space="preserve"> </w:t>
      </w:r>
      <w:r>
        <w:rPr>
          <w:b/>
          <w:i/>
        </w:rPr>
        <w:t>(</w:t>
      </w:r>
      <w:r>
        <w:rPr>
          <w:rStyle w:val="CharDefText"/>
        </w:rPr>
        <w:t>GTM</w:t>
      </w:r>
      <w:r>
        <w:rPr>
          <w:b/>
          <w:i/>
        </w:rPr>
        <w:t>)</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lastRenderedPageBreak/>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lastRenderedPageBreak/>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w:t>
      </w:r>
      <w:r>
        <w:rPr>
          <w:b/>
          <w:i/>
        </w:rPr>
        <w:t xml:space="preserve"> (</w:t>
      </w:r>
      <w:r>
        <w:rPr>
          <w:rStyle w:val="CharDefText"/>
        </w:rPr>
        <w:t>MRC</w:t>
      </w:r>
      <w:r>
        <w:rPr>
          <w:b/>
          <w:i/>
        </w:rPr>
        <w:t>)</w:t>
      </w:r>
      <w:r>
        <w:t xml:space="preserve">, for a vehicle, means — </w:t>
      </w:r>
    </w:p>
    <w:p>
      <w:pPr>
        <w:pStyle w:val="Defpara"/>
      </w:pPr>
      <w:r>
        <w:tab/>
        <w:t>(a)</w:t>
      </w:r>
      <w:r>
        <w:tab/>
        <w:t>the maximum permissible loaded mass of the vehicle as stated on the RAV for that vehicle; or</w:t>
      </w:r>
    </w:p>
    <w:p>
      <w:pPr>
        <w:pStyle w:val="Defpara"/>
      </w:pPr>
      <w:r>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lastRenderedPageBreak/>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lastRenderedPageBreak/>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lastRenderedPageBreak/>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lastRenderedPageBreak/>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lastRenderedPageBreak/>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lastRenderedPageBreak/>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w:t>
      </w:r>
      <w:r>
        <w:lastRenderedPageBreak/>
        <w:t>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w:t>
      </w:r>
      <w:r>
        <w:rPr>
          <w:b/>
          <w:i/>
        </w:rPr>
        <w:t xml:space="preserve"> (</w:t>
      </w:r>
      <w:r>
        <w:rPr>
          <w:rStyle w:val="CharDefText"/>
        </w:rPr>
        <w:t>VIN</w:t>
      </w:r>
      <w:r>
        <w:rPr>
          <w:b/>
          <w:i/>
        </w:rPr>
        <w:t>)</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w:t>
      </w:r>
      <w:r>
        <w:rPr>
          <w:b/>
          <w:i/>
        </w:rPr>
        <w:t xml:space="preserve"> (</w:t>
      </w:r>
      <w:r>
        <w:rPr>
          <w:rStyle w:val="CharDefText"/>
        </w:rPr>
        <w:t>WOVR</w:t>
      </w:r>
      <w:r>
        <w:rPr>
          <w:b/>
          <w:i/>
        </w:rPr>
        <w:t>)</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8; SL 2022/149 r. 5.]</w:t>
      </w:r>
    </w:p>
    <w:p>
      <w:pPr>
        <w:pStyle w:val="Heading5"/>
      </w:pPr>
      <w:bookmarkStart w:id="9" w:name="_Toc112316922"/>
      <w:r>
        <w:rPr>
          <w:rStyle w:val="CharSectno"/>
        </w:rPr>
        <w:t>4</w:t>
      </w:r>
      <w:r>
        <w:t>.</w:t>
      </w:r>
      <w:r>
        <w:tab/>
        <w:t>Use or driving of a vehicle relates to roads</w:t>
      </w:r>
      <w:bookmarkEnd w:id="9"/>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0" w:name="_Toc112316923"/>
      <w:r>
        <w:rPr>
          <w:rStyle w:val="CharSectno"/>
        </w:rPr>
        <w:t>5</w:t>
      </w:r>
      <w:r>
        <w:t>.</w:t>
      </w:r>
      <w:r>
        <w:tab/>
        <w:t>Measuring distances between parallel lines</w:t>
      </w:r>
      <w:bookmarkEnd w:id="10"/>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1" w:name="_Toc112316924"/>
      <w:r>
        <w:rPr>
          <w:rStyle w:val="CharSectno"/>
        </w:rPr>
        <w:lastRenderedPageBreak/>
        <w:t>6</w:t>
      </w:r>
      <w:r>
        <w:t>.</w:t>
      </w:r>
      <w:r>
        <w:tab/>
        <w:t>Required equipment to be in working order</w:t>
      </w:r>
      <w:bookmarkEnd w:id="11"/>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2" w:name="_Toc112316925"/>
      <w:r>
        <w:rPr>
          <w:rStyle w:val="CharSectno"/>
        </w:rPr>
        <w:t>7</w:t>
      </w:r>
      <w:r>
        <w:t>.</w:t>
      </w:r>
      <w:r>
        <w:tab/>
        <w:t>Restored vehicles</w:t>
      </w:r>
      <w:bookmarkEnd w:id="12"/>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3" w:name="_Toc112316926"/>
      <w:r>
        <w:rPr>
          <w:rStyle w:val="CharSectno"/>
        </w:rPr>
        <w:t>8</w:t>
      </w:r>
      <w:r>
        <w:t>.</w:t>
      </w:r>
      <w:r>
        <w:tab/>
        <w:t>Diagrams</w:t>
      </w:r>
      <w:bookmarkEnd w:id="13"/>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4" w:name="_Toc112316927"/>
      <w:r>
        <w:rPr>
          <w:rStyle w:val="CharSectno"/>
        </w:rPr>
        <w:t>9</w:t>
      </w:r>
      <w:r>
        <w:t>.</w:t>
      </w:r>
      <w:r>
        <w:tab/>
        <w:t>Standards and requirements that do not apply to certain written</w:t>
      </w:r>
      <w:r>
        <w:noBreakHyphen/>
        <w:t>off vehicles</w:t>
      </w:r>
      <w:bookmarkEnd w:id="14"/>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under regulation 158; or</w:t>
      </w:r>
    </w:p>
    <w:p>
      <w:pPr>
        <w:pStyle w:val="Indenta"/>
      </w:pPr>
      <w:r>
        <w:tab/>
        <w:t>(b)</w:t>
      </w:r>
      <w:r>
        <w:tab/>
        <w:t>the vehicle’s identifier is the same number as a number that is registered in the Written</w:t>
      </w:r>
      <w:r>
        <w:noBreakHyphen/>
        <w:t>Off Vehicle Register as the identifier of a vehicle to which paragraph (a) applies; or</w:t>
      </w:r>
    </w:p>
    <w:p>
      <w:pPr>
        <w:pStyle w:val="Indenta"/>
      </w:pPr>
      <w:r>
        <w:lastRenderedPageBreak/>
        <w:tab/>
        <w:t>(c)</w:t>
      </w:r>
      <w:r>
        <w:tab/>
        <w:t>the vehicle is registered in the Written</w:t>
      </w:r>
      <w:r>
        <w:noBreakHyphen/>
        <w:t>Off Vehicle Register under regulation 158A, and the registration has not been cancelled under regulation 158B; or</w:t>
      </w:r>
    </w:p>
    <w:p>
      <w:pPr>
        <w:pStyle w:val="Indenta"/>
      </w:pPr>
      <w:r>
        <w:tab/>
        <w:t>(d)</w:t>
      </w:r>
      <w:r>
        <w:tab/>
        <w:t>the vehicle’s identifier is the same number as a number that is registered in the Written</w:t>
      </w:r>
      <w:r>
        <w:noBreakHyphen/>
        <w:t>Off Vehicle Register as the identifier of a vehicle to which paragraph (c) applies.</w:t>
      </w:r>
    </w:p>
    <w:p>
      <w:pPr>
        <w:pStyle w:val="Footnotesection"/>
      </w:pPr>
      <w:r>
        <w:tab/>
        <w:t>[Regulation 9 amended: SL 2022/16 r. 4.]</w:t>
      </w:r>
    </w:p>
    <w:p>
      <w:pPr>
        <w:pStyle w:val="Heading5"/>
      </w:pPr>
      <w:bookmarkStart w:id="15" w:name="_Toc112316928"/>
      <w:r>
        <w:rPr>
          <w:rStyle w:val="CharSectno"/>
        </w:rPr>
        <w:t>10</w:t>
      </w:r>
      <w:r>
        <w:t>.</w:t>
      </w:r>
      <w:r>
        <w:tab/>
        <w:t>Freight containers</w:t>
      </w:r>
      <w:bookmarkEnd w:id="15"/>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6" w:name="_Toc112316929"/>
      <w:r>
        <w:rPr>
          <w:rStyle w:val="CharSectno"/>
        </w:rPr>
        <w:t>11</w:t>
      </w:r>
      <w:r>
        <w:t>.</w:t>
      </w:r>
      <w:r>
        <w:tab/>
      </w:r>
      <w:r>
        <w:rPr>
          <w:snapToGrid w:val="0"/>
        </w:rPr>
        <w:t>Subsequent offences</w:t>
      </w:r>
      <w:bookmarkEnd w:id="16"/>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7" w:name="_Toc112235331"/>
      <w:bookmarkStart w:id="18" w:name="_Toc112237112"/>
      <w:bookmarkStart w:id="19" w:name="_Toc112316930"/>
      <w:r>
        <w:rPr>
          <w:rStyle w:val="CharPartNo"/>
        </w:rPr>
        <w:lastRenderedPageBreak/>
        <w:t>Part 2</w:t>
      </w:r>
      <w:r>
        <w:t> — </w:t>
      </w:r>
      <w:r>
        <w:rPr>
          <w:rStyle w:val="CharPartText"/>
        </w:rPr>
        <w:t>Licensing of vehicles</w:t>
      </w:r>
      <w:bookmarkEnd w:id="17"/>
      <w:bookmarkEnd w:id="18"/>
      <w:bookmarkEnd w:id="19"/>
    </w:p>
    <w:p>
      <w:pPr>
        <w:pStyle w:val="Heading3"/>
      </w:pPr>
      <w:bookmarkStart w:id="20" w:name="_Toc112235332"/>
      <w:bookmarkStart w:id="21" w:name="_Toc112237113"/>
      <w:bookmarkStart w:id="22" w:name="_Toc112316931"/>
      <w:r>
        <w:rPr>
          <w:rStyle w:val="CharDivNo"/>
        </w:rPr>
        <w:t>Division 1</w:t>
      </w:r>
      <w:r>
        <w:t> — </w:t>
      </w:r>
      <w:r>
        <w:rPr>
          <w:rStyle w:val="CharDivText"/>
        </w:rPr>
        <w:t>Preliminary</w:t>
      </w:r>
      <w:bookmarkEnd w:id="20"/>
      <w:bookmarkEnd w:id="21"/>
      <w:bookmarkEnd w:id="22"/>
    </w:p>
    <w:p>
      <w:pPr>
        <w:pStyle w:val="Heading5"/>
      </w:pPr>
      <w:bookmarkStart w:id="23" w:name="_Toc112316932"/>
      <w:r>
        <w:rPr>
          <w:rStyle w:val="CharSectno"/>
        </w:rPr>
        <w:t>12</w:t>
      </w:r>
      <w:r>
        <w:t>.</w:t>
      </w:r>
      <w:r>
        <w:tab/>
        <w:t>Terms used</w:t>
      </w:r>
      <w:bookmarkEnd w:id="23"/>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24" w:name="_Toc112316933"/>
      <w:r>
        <w:rPr>
          <w:rStyle w:val="CharSectno"/>
        </w:rPr>
        <w:t>13</w:t>
      </w:r>
      <w:r>
        <w:t>.</w:t>
      </w:r>
      <w:r>
        <w:tab/>
        <w:t>Counting axles</w:t>
      </w:r>
      <w:bookmarkEnd w:id="24"/>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25" w:name="_Toc112316934"/>
      <w:r>
        <w:rPr>
          <w:rStyle w:val="CharSectno"/>
        </w:rPr>
        <w:t>14</w:t>
      </w:r>
      <w:r>
        <w:t>.</w:t>
      </w:r>
      <w:r>
        <w:tab/>
        <w:t>Notification and reconsideration of vehicle licensing decisions</w:t>
      </w:r>
      <w:bookmarkEnd w:id="25"/>
    </w:p>
    <w:p>
      <w:pPr>
        <w:pStyle w:val="Subsection"/>
      </w:pPr>
      <w:r>
        <w:tab/>
      </w:r>
      <w:r>
        <w:tab/>
        <w:t>Part 15 provides for the notification and reconsideration of certain decisions made under Part 2 of the Act.</w:t>
      </w:r>
    </w:p>
    <w:p>
      <w:pPr>
        <w:pStyle w:val="Heading3"/>
      </w:pPr>
      <w:bookmarkStart w:id="26" w:name="_Toc112235336"/>
      <w:bookmarkStart w:id="27" w:name="_Toc112237117"/>
      <w:bookmarkStart w:id="28" w:name="_Toc112316935"/>
      <w:r>
        <w:rPr>
          <w:rStyle w:val="CharDivNo"/>
        </w:rPr>
        <w:lastRenderedPageBreak/>
        <w:t>Division 2</w:t>
      </w:r>
      <w:r>
        <w:t> — </w:t>
      </w:r>
      <w:r>
        <w:rPr>
          <w:rStyle w:val="CharDivText"/>
        </w:rPr>
        <w:t>Vehicle licences</w:t>
      </w:r>
      <w:bookmarkEnd w:id="26"/>
      <w:bookmarkEnd w:id="27"/>
      <w:bookmarkEnd w:id="28"/>
    </w:p>
    <w:p>
      <w:pPr>
        <w:pStyle w:val="Heading5"/>
      </w:pPr>
      <w:bookmarkStart w:id="29" w:name="_Toc112316936"/>
      <w:r>
        <w:rPr>
          <w:rStyle w:val="CharSectno"/>
        </w:rPr>
        <w:t>15</w:t>
      </w:r>
      <w:r>
        <w:t>.</w:t>
      </w:r>
      <w:r>
        <w:tab/>
        <w:t>Vehicles required to be licensed</w:t>
      </w:r>
      <w:bookmarkEnd w:id="29"/>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30" w:name="_Toc112316937"/>
      <w:r>
        <w:rPr>
          <w:rStyle w:val="CharSectno"/>
        </w:rPr>
        <w:t>16</w:t>
      </w:r>
      <w:r>
        <w:t>.</w:t>
      </w:r>
      <w:r>
        <w:tab/>
        <w:t>Period within renewal period and after the expiry of vehicle licence in which offence under s. 4(2) not committed</w:t>
      </w:r>
      <w:bookmarkEnd w:id="30"/>
    </w:p>
    <w:p>
      <w:pPr>
        <w:pStyle w:val="Subsection"/>
      </w:pPr>
      <w:r>
        <w:tab/>
      </w:r>
      <w:r>
        <w:tab/>
        <w:t>For section 4(3)(b), the period after the expiry of the licence is 15 days.</w:t>
      </w:r>
    </w:p>
    <w:p>
      <w:pPr>
        <w:pStyle w:val="Heading5"/>
      </w:pPr>
      <w:bookmarkStart w:id="31" w:name="_Toc112316938"/>
      <w:r>
        <w:rPr>
          <w:rStyle w:val="CharSectno"/>
        </w:rPr>
        <w:t>17</w:t>
      </w:r>
      <w:r>
        <w:t>.</w:t>
      </w:r>
      <w:r>
        <w:tab/>
        <w:t>Prescribed standards and requirements</w:t>
      </w:r>
      <w:bookmarkEnd w:id="31"/>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32" w:name="_Toc112316939"/>
      <w:r>
        <w:rPr>
          <w:rStyle w:val="CharSectno"/>
        </w:rPr>
        <w:lastRenderedPageBreak/>
        <w:t>18</w:t>
      </w:r>
      <w:r>
        <w:t>.</w:t>
      </w:r>
      <w:r>
        <w:tab/>
        <w:t>Who can issue c</w:t>
      </w:r>
      <w:r>
        <w:rPr>
          <w:snapToGrid w:val="0"/>
        </w:rPr>
        <w:t>ertificates of inspection</w:t>
      </w:r>
      <w:bookmarkEnd w:id="32"/>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33" w:name="_Toc112316940"/>
      <w:r>
        <w:rPr>
          <w:rStyle w:val="CharSectno"/>
        </w:rPr>
        <w:t>19</w:t>
      </w:r>
      <w:r>
        <w:t>.</w:t>
      </w:r>
      <w:r>
        <w:tab/>
        <w:t>Certain vehicle examiners to display authorisation at inspection stations</w:t>
      </w:r>
      <w:bookmarkEnd w:id="33"/>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34" w:name="_Toc112316941"/>
      <w:r>
        <w:rPr>
          <w:rStyle w:val="CharSectno"/>
        </w:rPr>
        <w:t>20</w:t>
      </w:r>
      <w:r>
        <w:t>.</w:t>
      </w:r>
      <w:r>
        <w:tab/>
        <w:t>Place of vehicle examination</w:t>
      </w:r>
      <w:bookmarkEnd w:id="34"/>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35" w:name="_Toc112235343"/>
      <w:bookmarkStart w:id="36" w:name="_Toc112237124"/>
      <w:bookmarkStart w:id="37" w:name="_Toc112316942"/>
      <w:r>
        <w:rPr>
          <w:rStyle w:val="CharDivNo"/>
        </w:rPr>
        <w:lastRenderedPageBreak/>
        <w:t>Division 3</w:t>
      </w:r>
      <w:r>
        <w:t> — </w:t>
      </w:r>
      <w:r>
        <w:rPr>
          <w:rStyle w:val="CharDivText"/>
        </w:rPr>
        <w:t>Grant, renewal, transfer and variation of vehicle licences</w:t>
      </w:r>
      <w:bookmarkEnd w:id="35"/>
      <w:bookmarkEnd w:id="36"/>
      <w:bookmarkEnd w:id="37"/>
    </w:p>
    <w:p>
      <w:pPr>
        <w:pStyle w:val="Heading5"/>
        <w:spacing w:before="120"/>
      </w:pPr>
      <w:bookmarkStart w:id="38" w:name="_Toc112316943"/>
      <w:r>
        <w:rPr>
          <w:rStyle w:val="CharSectno"/>
        </w:rPr>
        <w:t>21</w:t>
      </w:r>
      <w:r>
        <w:t>.</w:t>
      </w:r>
      <w:r>
        <w:tab/>
        <w:t>Minimum age for application for grant, transfer of vehicle licence</w:t>
      </w:r>
      <w:bookmarkEnd w:id="3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39" w:name="_Toc112316944"/>
      <w:r>
        <w:rPr>
          <w:rStyle w:val="CharSectno"/>
        </w:rPr>
        <w:t>22</w:t>
      </w:r>
      <w:r>
        <w:t>.</w:t>
      </w:r>
      <w:r>
        <w:tab/>
        <w:t>Proof of age and identity of applicant for grant, transfer of vehicle licence</w:t>
      </w:r>
      <w:bookmarkEnd w:id="39"/>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40" w:name="_Toc112316945"/>
      <w:r>
        <w:rPr>
          <w:rStyle w:val="CharSectno"/>
        </w:rPr>
        <w:t>23</w:t>
      </w:r>
      <w:r>
        <w:t>.</w:t>
      </w:r>
      <w:r>
        <w:tab/>
      </w:r>
      <w:r>
        <w:rPr>
          <w:snapToGrid w:val="0"/>
        </w:rPr>
        <w:t>Proof of ownership</w:t>
      </w:r>
      <w:bookmarkEnd w:id="4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41" w:name="_Toc112316946"/>
      <w:r>
        <w:rPr>
          <w:rStyle w:val="CharSectno"/>
        </w:rPr>
        <w:t>24</w:t>
      </w:r>
      <w:r>
        <w:t>.</w:t>
      </w:r>
      <w:r>
        <w:tab/>
        <w:t>Examination</w:t>
      </w:r>
      <w:r>
        <w:rPr>
          <w:snapToGrid w:val="0"/>
        </w:rPr>
        <w:t xml:space="preserve"> for licensing purposes</w:t>
      </w:r>
      <w:bookmarkEnd w:id="41"/>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lastRenderedPageBreak/>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42" w:name="_Toc112316947"/>
      <w:r>
        <w:rPr>
          <w:rStyle w:val="CharSectno"/>
        </w:rPr>
        <w:t>26</w:t>
      </w:r>
      <w:r>
        <w:t>.</w:t>
      </w:r>
      <w:r>
        <w:tab/>
      </w:r>
      <w:r>
        <w:rPr>
          <w:snapToGrid w:val="0"/>
        </w:rPr>
        <w:t>Weighbridge record</w:t>
      </w:r>
      <w:bookmarkEnd w:id="42"/>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43" w:name="_Toc112316948"/>
      <w:r>
        <w:rPr>
          <w:rStyle w:val="CharSectno"/>
        </w:rPr>
        <w:t>27</w:t>
      </w:r>
      <w:r>
        <w:t>.</w:t>
      </w:r>
      <w:r>
        <w:tab/>
        <w:t>E</w:t>
      </w:r>
      <w:r>
        <w:rPr>
          <w:snapToGrid w:val="0"/>
        </w:rPr>
        <w:t>ngine and vehicle identification numbers</w:t>
      </w:r>
      <w:bookmarkEnd w:id="4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lastRenderedPageBreak/>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44" w:name="_Toc112316949"/>
      <w:r>
        <w:rPr>
          <w:rStyle w:val="CharSectno"/>
        </w:rPr>
        <w:t>28</w:t>
      </w:r>
      <w:r>
        <w:t>.</w:t>
      </w:r>
      <w:r>
        <w:tab/>
      </w:r>
      <w:r>
        <w:rPr>
          <w:snapToGrid w:val="0"/>
        </w:rPr>
        <w:t>Form of licence</w:t>
      </w:r>
      <w:bookmarkEnd w:id="44"/>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45" w:name="_Toc112316950"/>
      <w:r>
        <w:rPr>
          <w:rStyle w:val="CharSectno"/>
        </w:rPr>
        <w:t>29</w:t>
      </w:r>
      <w:r>
        <w:t>.</w:t>
      </w:r>
      <w:r>
        <w:tab/>
        <w:t>Grant of vehicle licence</w:t>
      </w:r>
      <w:bookmarkEnd w:id="45"/>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46" w:name="_Toc112316951"/>
      <w:r>
        <w:rPr>
          <w:rStyle w:val="CharSectno"/>
        </w:rPr>
        <w:lastRenderedPageBreak/>
        <w:t>30</w:t>
      </w:r>
      <w:r>
        <w:t>.</w:t>
      </w:r>
      <w:r>
        <w:tab/>
        <w:t>Renewal of vehicle licence</w:t>
      </w:r>
      <w:bookmarkEnd w:id="46"/>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lastRenderedPageBreak/>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47" w:name="_Toc112316952"/>
      <w:r>
        <w:rPr>
          <w:rStyle w:val="CharSectno"/>
        </w:rPr>
        <w:t>31</w:t>
      </w:r>
      <w:r>
        <w:t>.</w:t>
      </w:r>
      <w:r>
        <w:tab/>
        <w:t>Period of grant or renewal of vehicle licence</w:t>
      </w:r>
      <w:bookmarkEnd w:id="47"/>
    </w:p>
    <w:p>
      <w:pPr>
        <w:pStyle w:val="Subsection"/>
      </w:pPr>
      <w:r>
        <w:tab/>
        <w:t>(1)</w:t>
      </w:r>
      <w:r>
        <w:tab/>
        <w:t xml:space="preserve">The period for which a vehicle licence, except a seasonal heavy vehicle licence, must be granted is a period elected by the applicant for the grant, being — </w:t>
      </w:r>
    </w:p>
    <w:p>
      <w:pPr>
        <w:pStyle w:val="Indenta"/>
      </w:pPr>
      <w:r>
        <w:tab/>
        <w:t>(a)</w:t>
      </w:r>
      <w:r>
        <w:tab/>
        <w:t>a period of 1 year, 6 months or 3 months; or</w:t>
      </w:r>
    </w:p>
    <w:p>
      <w:pPr>
        <w:pStyle w:val="Indenta"/>
      </w:pPr>
      <w:r>
        <w:tab/>
        <w:t>(b)</w:t>
      </w:r>
      <w:r>
        <w:tab/>
        <w:t>if the CEO so approves in a particular case — any period up to 1 year.</w:t>
      </w:r>
    </w:p>
    <w:p>
      <w:pPr>
        <w:pStyle w:val="Subsection"/>
      </w:pPr>
      <w:r>
        <w:tab/>
        <w:t>(1A)</w:t>
      </w:r>
      <w:r>
        <w:tab/>
        <w:t xml:space="preserve">The period for which a vehicle licence, except a seasonal heavy vehicle licence, must be renewed is a period elected by the applicant for the renewal, being — </w:t>
      </w:r>
    </w:p>
    <w:p>
      <w:pPr>
        <w:pStyle w:val="Indenta"/>
      </w:pPr>
      <w:r>
        <w:tab/>
        <w:t>(a)</w:t>
      </w:r>
      <w:r>
        <w:tab/>
        <w:t>a period of 1 year, 6 months or 3 months; or</w:t>
      </w:r>
    </w:p>
    <w:p>
      <w:pPr>
        <w:pStyle w:val="Indenta"/>
      </w:pPr>
      <w:r>
        <w:tab/>
        <w:t>(b)</w:t>
      </w:r>
      <w:r>
        <w:tab/>
        <w:t>if regulation 31A applies to the licence holder in relation to renewal of the vehicle licence — a period of 1 month; or</w:t>
      </w:r>
    </w:p>
    <w:p>
      <w:pPr>
        <w:pStyle w:val="Indenta"/>
      </w:pPr>
      <w:r>
        <w:tab/>
        <w:t>(c)</w:t>
      </w:r>
      <w:r>
        <w:tab/>
        <w:t>if the CEO so approves in a particular case — any period up to 1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lastRenderedPageBreak/>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Footnotesection"/>
      </w:pPr>
      <w:r>
        <w:tab/>
        <w:t>[Regulation 31 amended: SL 2022/149 r. 6.]</w:t>
      </w:r>
    </w:p>
    <w:p>
      <w:pPr>
        <w:pStyle w:val="Heading5"/>
      </w:pPr>
      <w:bookmarkStart w:id="48" w:name="_Toc110601613"/>
      <w:bookmarkStart w:id="49" w:name="_Toc112157303"/>
      <w:bookmarkStart w:id="50" w:name="_Toc112316953"/>
      <w:r>
        <w:rPr>
          <w:rStyle w:val="CharSectno"/>
        </w:rPr>
        <w:t>31A</w:t>
      </w:r>
      <w:r>
        <w:t>.</w:t>
      </w:r>
      <w:r>
        <w:tab/>
        <w:t>Monthly renewal of vehicle licence</w:t>
      </w:r>
      <w:bookmarkEnd w:id="48"/>
      <w:bookmarkEnd w:id="49"/>
      <w:bookmarkEnd w:id="50"/>
    </w:p>
    <w:p>
      <w:pPr>
        <w:pStyle w:val="Subsection"/>
      </w:pPr>
      <w:r>
        <w:tab/>
        <w:t>(1)</w:t>
      </w:r>
      <w:r>
        <w:tab/>
        <w:t xml:space="preserve">In this regulation — </w:t>
      </w:r>
    </w:p>
    <w:p>
      <w:pPr>
        <w:pStyle w:val="Defstart"/>
      </w:pPr>
      <w:r>
        <w:tab/>
      </w:r>
      <w:r>
        <w:rPr>
          <w:rStyle w:val="CharDefText"/>
        </w:rPr>
        <w:t>direct debit agreement</w:t>
      </w:r>
      <w:r>
        <w:t xml:space="preserve"> means an agreement, in a form approved by the CEO, for the payment of a renewal charge by direct debit;</w:t>
      </w:r>
    </w:p>
    <w:p>
      <w:pPr>
        <w:pStyle w:val="Defstart"/>
      </w:pPr>
      <w:r>
        <w:tab/>
      </w:r>
      <w:r>
        <w:rPr>
          <w:rStyle w:val="CharDefText"/>
        </w:rPr>
        <w:t>renewal charge</w:t>
      </w:r>
      <w:r>
        <w:t>, for the renewal of a vehicle licence, means the amount required to be paid under section 5(1)(b)(i) for the renewal of the vehicle licence.</w:t>
      </w:r>
    </w:p>
    <w:p>
      <w:pPr>
        <w:pStyle w:val="Subsection"/>
      </w:pPr>
      <w:r>
        <w:tab/>
        <w:t>(2)</w:t>
      </w:r>
      <w:r>
        <w:tab/>
        <w:t>For the purposes of regulation 31(1A)(b), this regulation applies to a licence holder in relation to renewal of a vehicle licence if —</w:t>
      </w:r>
    </w:p>
    <w:p>
      <w:pPr>
        <w:pStyle w:val="Indenta"/>
      </w:pPr>
      <w:r>
        <w:tab/>
        <w:t>(a)</w:t>
      </w:r>
      <w:r>
        <w:tab/>
        <w:t>the licence holder is not prohibited under subregulation (3) from monthly renewal of the vehicle licence; and</w:t>
      </w:r>
    </w:p>
    <w:p>
      <w:pPr>
        <w:pStyle w:val="Indenta"/>
      </w:pPr>
      <w:r>
        <w:tab/>
        <w:t>(b)</w:t>
      </w:r>
      <w:r>
        <w:tab/>
        <w:t>the licence holder has elected to pay the renewal charge by direct debit from a bank account by submitting a direct debit request in a form approved by the CEO that contains the details of the bank account; and</w:t>
      </w:r>
    </w:p>
    <w:p>
      <w:pPr>
        <w:pStyle w:val="Indenta"/>
      </w:pPr>
      <w:r>
        <w:tab/>
        <w:t>(c)</w:t>
      </w:r>
      <w:r>
        <w:tab/>
        <w:t>the licence holder has accepted the terms of the direct debit agreement; and</w:t>
      </w:r>
    </w:p>
    <w:p>
      <w:pPr>
        <w:pStyle w:val="Indenta"/>
      </w:pPr>
      <w:r>
        <w:tab/>
        <w:t>(d)</w:t>
      </w:r>
      <w:r>
        <w:tab/>
        <w:t>neither the direct debit request nor the direct debit agreement have been cancelled or suspended in accordance with their terms; and</w:t>
      </w:r>
    </w:p>
    <w:p>
      <w:pPr>
        <w:pStyle w:val="Indenta"/>
      </w:pPr>
      <w:r>
        <w:lastRenderedPageBreak/>
        <w:tab/>
        <w:t>(e)</w:t>
      </w:r>
      <w:r>
        <w:tab/>
        <w:t>the licence holder pays the renewal charge by direct debit in accordance with the direct debit request and the direct debit agreement; and</w:t>
      </w:r>
    </w:p>
    <w:p>
      <w:pPr>
        <w:pStyle w:val="Indenta"/>
      </w:pPr>
      <w:r>
        <w:tab/>
        <w:t>(f)</w:t>
      </w:r>
      <w:r>
        <w:tab/>
        <w:t>if the vehicle licence is not currently for a period of 1 month pursuant to an election under regulation 31(1A)(b) — there are at least 27 clear days between the day on which the direct debit request is submitted and the day on which the licence is to expire; and</w:t>
      </w:r>
    </w:p>
    <w:p>
      <w:pPr>
        <w:pStyle w:val="Indenta"/>
      </w:pPr>
      <w:r>
        <w:tab/>
        <w:t>(g)</w:t>
      </w:r>
      <w:r>
        <w:tab/>
        <w:t>the vehicle for which the renewal of a vehicle licence is sought is of a type approved by the CEO under subregulation (4).</w:t>
      </w:r>
    </w:p>
    <w:p>
      <w:pPr>
        <w:pStyle w:val="Subsection"/>
      </w:pPr>
      <w:r>
        <w:tab/>
        <w:t>(3)</w:t>
      </w:r>
      <w:r>
        <w:tab/>
        <w:t>The CEO may, by written notice to the licence holder of a vehicle licence, prohibit the licence holder from monthly renewal of that vehicle licence.</w:t>
      </w:r>
    </w:p>
    <w:p>
      <w:pPr>
        <w:pStyle w:val="Subsection"/>
      </w:pPr>
      <w:r>
        <w:tab/>
        <w:t>(4)</w:t>
      </w:r>
      <w:r>
        <w:tab/>
        <w:t>The CEO may approve, in writing, a type of vehicle for the purposes of subregulation (2)(g).</w:t>
      </w:r>
    </w:p>
    <w:p>
      <w:pPr>
        <w:pStyle w:val="Subsection"/>
      </w:pPr>
      <w:r>
        <w:tab/>
        <w:t>(5)</w:t>
      </w:r>
      <w:r>
        <w:tab/>
        <w:t>The CEO must publish, on a website maintained by or on behalf of the department of the Public Service principally assisting in the administration of the Act, a list of the types of vehicles approved under subregulation (4).</w:t>
      </w:r>
    </w:p>
    <w:p>
      <w:pPr>
        <w:pStyle w:val="Footnotesection"/>
      </w:pPr>
      <w:r>
        <w:tab/>
        <w:t>[Regulation 31A inserted: SL 2022/149 r. 7.]</w:t>
      </w:r>
    </w:p>
    <w:p>
      <w:pPr>
        <w:pStyle w:val="Heading5"/>
        <w:spacing w:before="120"/>
      </w:pPr>
      <w:bookmarkStart w:id="51" w:name="_Toc112316954"/>
      <w:r>
        <w:rPr>
          <w:rStyle w:val="CharSectno"/>
        </w:rPr>
        <w:t>32</w:t>
      </w:r>
      <w:r>
        <w:t>.</w:t>
      </w:r>
      <w:r>
        <w:tab/>
        <w:t>CEO may vary, grant or renew licences so that they expire on the same day</w:t>
      </w:r>
      <w:bookmarkEnd w:id="51"/>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52" w:name="_Toc112235355"/>
      <w:bookmarkStart w:id="53" w:name="_Toc112237137"/>
      <w:bookmarkStart w:id="54" w:name="_Toc112316955"/>
      <w:r>
        <w:rPr>
          <w:rStyle w:val="CharDivNo"/>
        </w:rPr>
        <w:lastRenderedPageBreak/>
        <w:t>Division 4</w:t>
      </w:r>
      <w:r>
        <w:t> — </w:t>
      </w:r>
      <w:r>
        <w:rPr>
          <w:rStyle w:val="CharDivText"/>
        </w:rPr>
        <w:t>Classification of vehicle licences</w:t>
      </w:r>
      <w:bookmarkEnd w:id="52"/>
      <w:bookmarkEnd w:id="53"/>
      <w:bookmarkEnd w:id="54"/>
    </w:p>
    <w:p>
      <w:pPr>
        <w:pStyle w:val="Heading5"/>
        <w:spacing w:before="120"/>
        <w:rPr>
          <w:snapToGrid w:val="0"/>
        </w:rPr>
      </w:pPr>
      <w:bookmarkStart w:id="55" w:name="_Toc112316956"/>
      <w:r>
        <w:rPr>
          <w:rStyle w:val="CharSectno"/>
        </w:rPr>
        <w:t>33</w:t>
      </w:r>
      <w:r>
        <w:t>.</w:t>
      </w:r>
      <w:r>
        <w:tab/>
      </w:r>
      <w:r>
        <w:rPr>
          <w:snapToGrid w:val="0"/>
        </w:rPr>
        <w:t>Classes of vehicle licences</w:t>
      </w:r>
      <w:bookmarkEnd w:id="55"/>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56" w:name="_Toc112316957"/>
      <w:r>
        <w:rPr>
          <w:rStyle w:val="CharSectno"/>
        </w:rPr>
        <w:t>34</w:t>
      </w:r>
      <w:r>
        <w:t>.</w:t>
      </w:r>
      <w:r>
        <w:tab/>
        <w:t>Class A vehicle licences</w:t>
      </w:r>
      <w:bookmarkEnd w:id="56"/>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57" w:name="_Toc112316958"/>
      <w:r>
        <w:rPr>
          <w:rStyle w:val="CharSectno"/>
        </w:rPr>
        <w:t>35</w:t>
      </w:r>
      <w:r>
        <w:t>.</w:t>
      </w:r>
      <w:r>
        <w:tab/>
        <w:t>Class B vehicle licences</w:t>
      </w:r>
      <w:bookmarkEnd w:id="57"/>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58" w:name="_Toc112316959"/>
      <w:r>
        <w:rPr>
          <w:rStyle w:val="CharSectno"/>
        </w:rPr>
        <w:lastRenderedPageBreak/>
        <w:t>36</w:t>
      </w:r>
      <w:r>
        <w:t>.</w:t>
      </w:r>
      <w:r>
        <w:tab/>
        <w:t>Class C vehicle licences</w:t>
      </w:r>
      <w:bookmarkEnd w:id="58"/>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59" w:name="_Toc112316960"/>
      <w:r>
        <w:rPr>
          <w:rStyle w:val="CharSectno"/>
        </w:rPr>
        <w:t>37</w:t>
      </w:r>
      <w:r>
        <w:t>.</w:t>
      </w:r>
      <w:r>
        <w:tab/>
        <w:t>Vehicle use to be in accordance with licence conditions</w:t>
      </w:r>
      <w:bookmarkEnd w:id="59"/>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60" w:name="_Toc112316961"/>
      <w:r>
        <w:rPr>
          <w:rStyle w:val="CharSectno"/>
        </w:rPr>
        <w:t>38</w:t>
      </w:r>
      <w:r>
        <w:t>.</w:t>
      </w:r>
      <w:r>
        <w:tab/>
      </w:r>
      <w:r>
        <w:rPr>
          <w:snapToGrid w:val="0"/>
        </w:rPr>
        <w:t>Classes of licences for heavy vehicles</w:t>
      </w:r>
      <w:bookmarkEnd w:id="60"/>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lastRenderedPageBreak/>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keepNext/>
              <w:rPr>
                <w:b/>
              </w:rPr>
            </w:pPr>
            <w:r>
              <w:rPr>
                <w:b/>
              </w:rPr>
              <w:lastRenderedPageBreak/>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lastRenderedPageBreak/>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61" w:name="_Toc112316962"/>
      <w:r>
        <w:rPr>
          <w:rStyle w:val="CharSectno"/>
        </w:rPr>
        <w:t>39</w:t>
      </w:r>
      <w:r>
        <w:t>.</w:t>
      </w:r>
      <w:r>
        <w:tab/>
        <w:t>Conditions imposed as to heavy trailers hauled</w:t>
      </w:r>
      <w:bookmarkEnd w:id="61"/>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62" w:name="_Toc112316963"/>
      <w:r>
        <w:rPr>
          <w:rStyle w:val="CharSectno"/>
        </w:rPr>
        <w:t>40</w:t>
      </w:r>
      <w:r>
        <w:t>.</w:t>
      </w:r>
      <w:r>
        <w:tab/>
        <w:t>Certain heavy vehicle licences to be endorsed “seasonal”</w:t>
      </w:r>
      <w:bookmarkEnd w:id="62"/>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lastRenderedPageBreak/>
        <w:tab/>
        <w:t>(b)</w:t>
      </w:r>
      <w:r>
        <w:rPr>
          <w:snapToGrid w:val="0"/>
        </w:rPr>
        <w:tab/>
        <w:t>for seasonal work during the year beginning on the day the licence is granted.</w:t>
      </w:r>
    </w:p>
    <w:p>
      <w:pPr>
        <w:pStyle w:val="Heading5"/>
      </w:pPr>
      <w:bookmarkStart w:id="63" w:name="_Toc112316964"/>
      <w:r>
        <w:rPr>
          <w:rStyle w:val="CharSectno"/>
        </w:rPr>
        <w:t>41</w:t>
      </w:r>
      <w:r>
        <w:t>.</w:t>
      </w:r>
      <w:r>
        <w:tab/>
        <w:t>Vehicle use to be in accordance with licence</w:t>
      </w:r>
      <w:bookmarkEnd w:id="63"/>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64" w:name="_Toc112316965"/>
      <w:r>
        <w:rPr>
          <w:rStyle w:val="CharSectno"/>
        </w:rPr>
        <w:t>42</w:t>
      </w:r>
      <w:r>
        <w:t>.</w:t>
      </w:r>
      <w:r>
        <w:tab/>
        <w:t>Vehicle l</w:t>
      </w:r>
      <w:r>
        <w:rPr>
          <w:snapToGrid w:val="0"/>
        </w:rPr>
        <w:t>icence to be carried, produced in certain cases</w:t>
      </w:r>
      <w:bookmarkEnd w:id="64"/>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65" w:name="_Toc112235366"/>
      <w:bookmarkStart w:id="66" w:name="_Toc112237148"/>
      <w:bookmarkStart w:id="67" w:name="_Toc112316966"/>
      <w:r>
        <w:rPr>
          <w:rStyle w:val="CharDivNo"/>
        </w:rPr>
        <w:t>Division 5</w:t>
      </w:r>
      <w:r>
        <w:t> — </w:t>
      </w:r>
      <w:r>
        <w:rPr>
          <w:rStyle w:val="CharDivText"/>
        </w:rPr>
        <w:t>Permits for unlicensed vehicles</w:t>
      </w:r>
      <w:bookmarkEnd w:id="65"/>
      <w:bookmarkEnd w:id="66"/>
      <w:bookmarkEnd w:id="67"/>
    </w:p>
    <w:p>
      <w:pPr>
        <w:pStyle w:val="Heading5"/>
      </w:pPr>
      <w:bookmarkStart w:id="68" w:name="_Toc112316967"/>
      <w:r>
        <w:rPr>
          <w:rStyle w:val="CharSectno"/>
        </w:rPr>
        <w:t>43</w:t>
      </w:r>
      <w:r>
        <w:t>.</w:t>
      </w:r>
      <w:r>
        <w:tab/>
        <w:t>Term used:</w:t>
      </w:r>
      <w:r>
        <w:rPr>
          <w:snapToGrid w:val="0"/>
        </w:rPr>
        <w:t xml:space="preserve"> permit</w:t>
      </w:r>
      <w:bookmarkEnd w:id="68"/>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69" w:name="_Toc112316968"/>
      <w:r>
        <w:rPr>
          <w:rStyle w:val="CharSectno"/>
        </w:rPr>
        <w:t>44</w:t>
      </w:r>
      <w:r>
        <w:t>.</w:t>
      </w:r>
      <w:r>
        <w:tab/>
        <w:t>Application for permit</w:t>
      </w:r>
      <w:bookmarkEnd w:id="69"/>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lastRenderedPageBreak/>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$6.70;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$25.70.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w:t>
      </w:r>
    </w:p>
    <w:p>
      <w:pPr>
        <w:pStyle w:val="Heading5"/>
      </w:pPr>
      <w:bookmarkStart w:id="70" w:name="_Toc112316969"/>
      <w:r>
        <w:rPr>
          <w:rStyle w:val="CharSectno"/>
        </w:rPr>
        <w:lastRenderedPageBreak/>
        <w:t>45</w:t>
      </w:r>
      <w:r>
        <w:t>.</w:t>
      </w:r>
      <w:r>
        <w:tab/>
        <w:t>Grant of permit</w:t>
      </w:r>
      <w:bookmarkEnd w:id="70"/>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71" w:name="_Toc112316970"/>
      <w:r>
        <w:rPr>
          <w:rStyle w:val="CharSectno"/>
        </w:rPr>
        <w:t>46</w:t>
      </w:r>
      <w:r>
        <w:t>.</w:t>
      </w:r>
      <w:r>
        <w:tab/>
        <w:t>Vehicle use to be in accordance with permit</w:t>
      </w:r>
      <w:bookmarkEnd w:id="71"/>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72" w:name="_Toc112316971"/>
      <w:r>
        <w:rPr>
          <w:rStyle w:val="CharSectno"/>
        </w:rPr>
        <w:t>47</w:t>
      </w:r>
      <w:r>
        <w:t>.</w:t>
      </w:r>
      <w:r>
        <w:tab/>
        <w:t>Display of s</w:t>
      </w:r>
      <w:r>
        <w:rPr>
          <w:snapToGrid w:val="0"/>
        </w:rPr>
        <w:t>igns</w:t>
      </w:r>
      <w:bookmarkEnd w:id="72"/>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73" w:name="_Toc112235372"/>
      <w:bookmarkStart w:id="74" w:name="_Toc112237154"/>
      <w:bookmarkStart w:id="75" w:name="_Toc112316972"/>
      <w:r>
        <w:rPr>
          <w:rStyle w:val="CharDivNo"/>
        </w:rPr>
        <w:lastRenderedPageBreak/>
        <w:t>Division 6</w:t>
      </w:r>
      <w:r>
        <w:t> — </w:t>
      </w:r>
      <w:r>
        <w:rPr>
          <w:rStyle w:val="CharDivText"/>
        </w:rPr>
        <w:t>Miscellaneous</w:t>
      </w:r>
      <w:bookmarkEnd w:id="73"/>
      <w:bookmarkEnd w:id="74"/>
      <w:bookmarkEnd w:id="75"/>
    </w:p>
    <w:p>
      <w:pPr>
        <w:pStyle w:val="Heading5"/>
      </w:pPr>
      <w:bookmarkStart w:id="76" w:name="_Toc112316973"/>
      <w:r>
        <w:rPr>
          <w:rStyle w:val="CharSectno"/>
        </w:rPr>
        <w:t>48</w:t>
      </w:r>
      <w:r>
        <w:t>.</w:t>
      </w:r>
      <w:r>
        <w:tab/>
        <w:t>Duplicate or certified copy of vehicle licence document</w:t>
      </w:r>
      <w:bookmarkEnd w:id="76"/>
    </w:p>
    <w:p>
      <w:pPr>
        <w:pStyle w:val="Subsection"/>
      </w:pPr>
      <w:r>
        <w:tab/>
        <w:t>(1)</w:t>
      </w:r>
      <w:r>
        <w:tab/>
        <w:t>The CEO must, on request, issue to the licence holder of a vehicle or, in the event of that person’s death, to the person’s executor, a duplicate or certified copy of the vehicle licence document for the vehicle.</w:t>
      </w:r>
    </w:p>
    <w:p>
      <w:pPr>
        <w:pStyle w:val="Subsection"/>
        <w:keepNext/>
      </w:pPr>
      <w:r>
        <w:tab/>
        <w:t>(2)</w:t>
      </w:r>
      <w:r>
        <w:tab/>
        <w:t>A fee of $5.30 is payable for the issue of the duplicate or certified copy if the request is made in person or by telephone.</w:t>
      </w:r>
    </w:p>
    <w:p>
      <w:pPr>
        <w:pStyle w:val="Footnotesection"/>
      </w:pPr>
      <w:r>
        <w:tab/>
        <w:t>[Regulation 48 inserted: SL 2022/67 r. 10.]</w:t>
      </w:r>
    </w:p>
    <w:p>
      <w:pPr>
        <w:pStyle w:val="Heading5"/>
        <w:rPr>
          <w:snapToGrid w:val="0"/>
        </w:rPr>
      </w:pPr>
      <w:bookmarkStart w:id="77" w:name="_Toc112316974"/>
      <w:r>
        <w:rPr>
          <w:rStyle w:val="CharSectno"/>
        </w:rPr>
        <w:t>49</w:t>
      </w:r>
      <w:r>
        <w:t>.</w:t>
      </w:r>
      <w:r>
        <w:tab/>
      </w:r>
      <w:r>
        <w:rPr>
          <w:snapToGrid w:val="0"/>
        </w:rPr>
        <w:t>Licences not current</w:t>
      </w:r>
      <w:bookmarkEnd w:id="77"/>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78" w:name="_Toc112316975"/>
      <w:r>
        <w:rPr>
          <w:rStyle w:val="CharSectno"/>
        </w:rPr>
        <w:t>50</w:t>
      </w:r>
      <w:r>
        <w:t>.</w:t>
      </w:r>
      <w:r>
        <w:tab/>
      </w:r>
      <w:r>
        <w:rPr>
          <w:snapToGrid w:val="0"/>
        </w:rPr>
        <w:t>Change of personal details</w:t>
      </w:r>
      <w:bookmarkEnd w:id="78"/>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keepNext/>
      </w:pPr>
      <w:r>
        <w:tab/>
        <w:t>(2)</w:t>
      </w:r>
      <w:r>
        <w:tab/>
        <w:t xml:space="preserve">A person who is a licence holder of a vehicle must, within 21 days after each change to the person’s personal details that are specified in the licence, give the CEO notice of the change </w:t>
      </w:r>
      <w:r>
        <w:lastRenderedPageBreak/>
        <w:t>and of the new personal details either in writing or in any other manner approved by the CEO.</w:t>
      </w:r>
    </w:p>
    <w:p>
      <w:pPr>
        <w:pStyle w:val="Penstart"/>
        <w:keepNex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79" w:name="_Toc112316976"/>
      <w:r>
        <w:rPr>
          <w:rStyle w:val="CharSectno"/>
        </w:rPr>
        <w:t>51</w:t>
      </w:r>
      <w:r>
        <w:t>.</w:t>
      </w:r>
      <w:r>
        <w:tab/>
        <w:t>Licence documents to be handed over on disposal</w:t>
      </w:r>
      <w:bookmarkEnd w:id="79"/>
    </w:p>
    <w:p>
      <w:pPr>
        <w:pStyle w:val="Subsection"/>
        <w:keepNext/>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80" w:name="_Toc112235377"/>
      <w:bookmarkStart w:id="81" w:name="_Toc112237159"/>
      <w:bookmarkStart w:id="82" w:name="_Toc112316977"/>
      <w:r>
        <w:rPr>
          <w:rStyle w:val="CharDivNo"/>
        </w:rPr>
        <w:lastRenderedPageBreak/>
        <w:t>Division 7</w:t>
      </w:r>
      <w:r>
        <w:t> — </w:t>
      </w:r>
      <w:r>
        <w:rPr>
          <w:rStyle w:val="CharDivText"/>
        </w:rPr>
        <w:t>Vehicle licence charges</w:t>
      </w:r>
      <w:bookmarkEnd w:id="80"/>
      <w:bookmarkEnd w:id="81"/>
      <w:bookmarkEnd w:id="82"/>
    </w:p>
    <w:p>
      <w:pPr>
        <w:pStyle w:val="Heading4"/>
      </w:pPr>
      <w:bookmarkStart w:id="83" w:name="_Toc112235378"/>
      <w:bookmarkStart w:id="84" w:name="_Toc112237160"/>
      <w:bookmarkStart w:id="85" w:name="_Toc112316978"/>
      <w:r>
        <w:t>Subdivision 1 — General</w:t>
      </w:r>
      <w:bookmarkEnd w:id="83"/>
      <w:bookmarkEnd w:id="84"/>
      <w:bookmarkEnd w:id="85"/>
    </w:p>
    <w:p>
      <w:pPr>
        <w:pStyle w:val="Heading5"/>
      </w:pPr>
      <w:bookmarkStart w:id="86" w:name="_Toc112316979"/>
      <w:r>
        <w:rPr>
          <w:rStyle w:val="CharSectno"/>
        </w:rPr>
        <w:t>52</w:t>
      </w:r>
      <w:r>
        <w:t>.</w:t>
      </w:r>
      <w:r>
        <w:tab/>
        <w:t>Terms used</w:t>
      </w:r>
      <w:bookmarkEnd w:id="86"/>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87" w:name="_Toc112316980"/>
      <w:r>
        <w:rPr>
          <w:rStyle w:val="CharSectno"/>
        </w:rPr>
        <w:t>53</w:t>
      </w:r>
      <w:r>
        <w:t>.</w:t>
      </w:r>
      <w:r>
        <w:tab/>
        <w:t>Vehicle licence charges</w:t>
      </w:r>
      <w:bookmarkEnd w:id="87"/>
    </w:p>
    <w:p>
      <w:pPr>
        <w:pStyle w:val="Subsection"/>
        <w:keepNext/>
      </w:pPr>
      <w:r>
        <w:tab/>
      </w:r>
      <w:r>
        <w:tab/>
        <w:t>The charge for granting or renewing a vehicle licence for a vehicle is the charge specified for the vehicle in this Division.</w:t>
      </w:r>
    </w:p>
    <w:p>
      <w:pPr>
        <w:pStyle w:val="Footnotesection"/>
      </w:pPr>
      <w:r>
        <w:tab/>
        <w:t>[Regulation 53 amended: SL 2022/57 r. 5.]</w:t>
      </w:r>
    </w:p>
    <w:p>
      <w:pPr>
        <w:pStyle w:val="Heading5"/>
      </w:pPr>
      <w:bookmarkStart w:id="88" w:name="_Toc112316981"/>
      <w:r>
        <w:rPr>
          <w:rStyle w:val="CharSectno"/>
        </w:rPr>
        <w:t>54</w:t>
      </w:r>
      <w:r>
        <w:t>.</w:t>
      </w:r>
      <w:r>
        <w:tab/>
        <w:t>Calculation of vehicle licence charges</w:t>
      </w:r>
      <w:bookmarkEnd w:id="88"/>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lastRenderedPageBreak/>
        <w:tab/>
        <w:t>(2)</w:t>
      </w:r>
      <w:r>
        <w:tab/>
        <w:t>The vehicle licence charge payable for a vehicle for a period of 6 months is one</w:t>
      </w:r>
      <w:r>
        <w:noBreakHyphen/>
        <w:t>half of the charge payable for that vehicle for a period of one year.</w:t>
      </w:r>
    </w:p>
    <w:p>
      <w:pPr>
        <w:pStyle w:val="Subsection"/>
      </w:pPr>
      <w:r>
        <w:tab/>
        <w:t>(3)</w:t>
      </w:r>
      <w:r>
        <w:tab/>
        <w:t>The vehicle licence charge payable for a vehicle for a period of 3 months is one</w:t>
      </w:r>
      <w:r>
        <w:noBreakHyphen/>
        <w:t>quarter of the charge payable for that vehicle for a period of one year.</w:t>
      </w:r>
    </w:p>
    <w:p>
      <w:pPr>
        <w:pStyle w:val="Subsection"/>
        <w:keepNext/>
      </w:pPr>
      <w:r>
        <w:tab/>
        <w:t>(4)</w:t>
      </w:r>
      <w:r>
        <w:tab/>
        <w:t>Except as provided in subregulation (4A), 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(4A)</w:t>
      </w:r>
      <w:r>
        <w:tab/>
        <w:t>The vehicle licence charge payable for renewing a vehicle licence for a vehicle for a period of 1 month pursuant to an election under regulation 31(1A)(b) is one</w:t>
      </w:r>
      <w:r>
        <w:noBreakHyphen/>
        <w:t>twelfth of the charge payable for that vehicle for a period of one year.</w:t>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keepNext/>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Footnotesection"/>
      </w:pPr>
      <w:r>
        <w:tab/>
        <w:t>[Regulation 54 amended: SL 2022/149 r. 8.]</w:t>
      </w:r>
    </w:p>
    <w:p>
      <w:pPr>
        <w:pStyle w:val="Heading5"/>
      </w:pPr>
      <w:bookmarkStart w:id="89" w:name="_Toc112316982"/>
      <w:r>
        <w:rPr>
          <w:rStyle w:val="CharSectno"/>
        </w:rPr>
        <w:lastRenderedPageBreak/>
        <w:t>54A</w:t>
      </w:r>
      <w:r>
        <w:t>.</w:t>
      </w:r>
      <w:r>
        <w:tab/>
        <w:t>Reduction if election made for 1 year grant or renewal</w:t>
      </w:r>
      <w:bookmarkEnd w:id="89"/>
    </w:p>
    <w:p>
      <w:pPr>
        <w:pStyle w:val="Subsection"/>
      </w:pPr>
      <w:r>
        <w:tab/>
        <w:t>(1)</w:t>
      </w:r>
      <w:r>
        <w:tab/>
        <w:t xml:space="preserve">If an application is made for the grant or renewal of a vehicle licence for a vehicle other than a heavy vehicle and an election is made under regulation 31(1) or (1A) for a 1 year grant or renewal of that licence, the charge for the grant or renewal is reduced by $6.60. </w:t>
      </w:r>
    </w:p>
    <w:p>
      <w:pPr>
        <w:pStyle w:val="Subsection"/>
        <w:keepNext/>
      </w:pPr>
      <w:r>
        <w:tab/>
        <w:t>(2)</w:t>
      </w:r>
      <w:r>
        <w:tab/>
        <w:t>A reduction under subregulation (1) is to be applied before any concession under these regulations.</w:t>
      </w:r>
    </w:p>
    <w:p>
      <w:pPr>
        <w:pStyle w:val="Footnotesection"/>
      </w:pPr>
      <w:r>
        <w:tab/>
        <w:t>[Regulation 54A inserted: SL 2022/57 r. 6; amended: SL 2022/149 r. 9.]</w:t>
      </w:r>
    </w:p>
    <w:p>
      <w:pPr>
        <w:pStyle w:val="Heading4"/>
      </w:pPr>
      <w:bookmarkStart w:id="90" w:name="_Toc112235383"/>
      <w:bookmarkStart w:id="91" w:name="_Toc112237165"/>
      <w:bookmarkStart w:id="92" w:name="_Toc112316983"/>
      <w:r>
        <w:t>Subdivision 2 — Vehicle licence charges for vehicles other than heavy vehicles</w:t>
      </w:r>
      <w:bookmarkEnd w:id="90"/>
      <w:bookmarkEnd w:id="91"/>
      <w:bookmarkEnd w:id="92"/>
    </w:p>
    <w:p>
      <w:pPr>
        <w:pStyle w:val="Heading5"/>
      </w:pPr>
      <w:bookmarkStart w:id="93" w:name="_Toc112316984"/>
      <w:r>
        <w:rPr>
          <w:rStyle w:val="CharSectno"/>
        </w:rPr>
        <w:t>55</w:t>
      </w:r>
      <w:r>
        <w:t>.</w:t>
      </w:r>
      <w:r>
        <w:tab/>
        <w:t>Application</w:t>
      </w:r>
      <w:bookmarkEnd w:id="93"/>
    </w:p>
    <w:p>
      <w:pPr>
        <w:pStyle w:val="Subsection"/>
        <w:keepNext/>
      </w:pPr>
      <w:r>
        <w:tab/>
      </w:r>
      <w:r>
        <w:tab/>
        <w:t>This Subdivision applies to vehicles other than heavy vehicles.</w:t>
      </w:r>
    </w:p>
    <w:p>
      <w:pPr>
        <w:pStyle w:val="Footnotesection"/>
      </w:pPr>
      <w:r>
        <w:tab/>
        <w:t>[Regulation 55 amended: SL 2022/57 r. 7.]</w:t>
      </w:r>
    </w:p>
    <w:p>
      <w:pPr>
        <w:pStyle w:val="Ednotesection"/>
      </w:pPr>
      <w:r>
        <w:t>[</w:t>
      </w:r>
      <w:r>
        <w:rPr>
          <w:b/>
        </w:rPr>
        <w:t>56.</w:t>
      </w:r>
      <w:r>
        <w:tab/>
        <w:t>Deleted: SL 2022/57 r. 8.]</w:t>
      </w:r>
    </w:p>
    <w:p>
      <w:pPr>
        <w:pStyle w:val="Heading5"/>
      </w:pPr>
      <w:bookmarkStart w:id="94" w:name="_Toc112316985"/>
      <w:r>
        <w:rPr>
          <w:rStyle w:val="CharSectno"/>
        </w:rPr>
        <w:t>57</w:t>
      </w:r>
      <w:r>
        <w:t>.</w:t>
      </w:r>
      <w:r>
        <w:tab/>
        <w:t>Car, bus, goods vehicle and motor home</w:t>
      </w:r>
      <w:bookmarkEnd w:id="94"/>
    </w:p>
    <w:p>
      <w:pPr>
        <w:pStyle w:val="Subsection"/>
        <w:keepNext/>
      </w:pPr>
      <w:r>
        <w:tab/>
      </w:r>
      <w:r>
        <w:tab/>
        <w:t>For a car or bus, a goods vehicle or a motor home the charge is $13.20 plus $25.52 per 100 kg, or part of 100 kg, of tare, subject to a maximum charge of $533.00.</w:t>
      </w:r>
    </w:p>
    <w:p>
      <w:pPr>
        <w:pStyle w:val="Footnotesection"/>
      </w:pPr>
      <w:r>
        <w:tab/>
        <w:t>[Regulation 57 amended: Gazette 27 May 2015 p. 1865 and 1871; 27 May 2016 p. 1552; 26 May 2017 p. 2643; 25 May 2018 p. 1644; 17 May 2019 p. 1439; SL 2021/64 r. 5; SL 2022/57 r. 9.]</w:t>
      </w:r>
    </w:p>
    <w:p>
      <w:pPr>
        <w:pStyle w:val="Heading5"/>
      </w:pPr>
      <w:bookmarkStart w:id="95" w:name="_Toc112316986"/>
      <w:r>
        <w:rPr>
          <w:rStyle w:val="CharSectno"/>
        </w:rPr>
        <w:lastRenderedPageBreak/>
        <w:t>58</w:t>
      </w:r>
      <w:r>
        <w:t>.</w:t>
      </w:r>
      <w:r>
        <w:tab/>
        <w:t>Prime mover</w:t>
      </w:r>
      <w:bookmarkEnd w:id="95"/>
    </w:p>
    <w:p>
      <w:pPr>
        <w:pStyle w:val="Subsection"/>
        <w:keepNext/>
      </w:pPr>
      <w:r>
        <w:tab/>
      </w:r>
      <w:r>
        <w:tab/>
        <w:t>For a prime mover the charge is $13.20 plus $25.52 per 100 kg, or part of 100 kg, of tare, subject to a maximum charge of $1 407.00.</w:t>
      </w:r>
    </w:p>
    <w:p>
      <w:pPr>
        <w:pStyle w:val="Footnotesection"/>
      </w:pPr>
      <w:r>
        <w:tab/>
        <w:t>[Regulation 58 amended: Gazette 27 May 2015 p. 1865 and 1871; 27 May 2016 p. 1552; 26 May 2017 p. 2643; 25 May 2018 p. 1644; 17 May 2019 p. 1439; SL 2021/64 r. 5; SL 2022/57 r. 10.]</w:t>
      </w:r>
    </w:p>
    <w:p>
      <w:pPr>
        <w:pStyle w:val="Heading5"/>
      </w:pPr>
      <w:bookmarkStart w:id="96" w:name="_Toc112316987"/>
      <w:r>
        <w:rPr>
          <w:rStyle w:val="CharSectno"/>
        </w:rPr>
        <w:t>59</w:t>
      </w:r>
      <w:r>
        <w:t>.</w:t>
      </w:r>
      <w:r>
        <w:tab/>
        <w:t>Trailer other than towed special purpose vehicle</w:t>
      </w:r>
      <w:bookmarkEnd w:id="96"/>
    </w:p>
    <w:p>
      <w:pPr>
        <w:pStyle w:val="Subsection"/>
        <w:keepNext/>
      </w:pPr>
      <w:r>
        <w:tab/>
      </w:r>
      <w:r>
        <w:tab/>
        <w:t>For a trailer other than a towed special purpose vehicle the charge is $13.20 plus $12.76 per 100 kg, or part of 100 kg, of tare.</w:t>
      </w:r>
    </w:p>
    <w:p>
      <w:pPr>
        <w:pStyle w:val="Footnotesection"/>
      </w:pPr>
      <w:r>
        <w:tab/>
        <w:t>[Regulation 59 amended: Gazette 27 May 2015 p. 1866; 27 May 2016 p. 1552; 26 May 2017 p. 2643; 25 May 2018 p. 1644; 17 May 2019 p. 1439; SL 2021/64 r. 5; SL 2022/57 r. 11.]</w:t>
      </w:r>
    </w:p>
    <w:p>
      <w:pPr>
        <w:pStyle w:val="Heading5"/>
      </w:pPr>
      <w:bookmarkStart w:id="97" w:name="_Toc112316988"/>
      <w:r>
        <w:rPr>
          <w:rStyle w:val="CharSectno"/>
        </w:rPr>
        <w:t>60</w:t>
      </w:r>
      <w:r>
        <w:t>.</w:t>
      </w:r>
      <w:r>
        <w:tab/>
        <w:t>Motor cycle</w:t>
      </w:r>
      <w:bookmarkEnd w:id="97"/>
    </w:p>
    <w:p>
      <w:pPr>
        <w:pStyle w:val="Subsection"/>
        <w:keepNext/>
      </w:pPr>
      <w:r>
        <w:tab/>
        <w:t>(1)</w:t>
      </w:r>
      <w:r>
        <w:tab/>
        <w:t xml:space="preserve">The charge is $64.24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keepNext/>
      </w:pPr>
      <w:r>
        <w:tab/>
        <w:t>(2)</w:t>
      </w:r>
      <w:r>
        <w:tab/>
        <w:t xml:space="preserve">The charge is $89.76 for a motor cycle that — </w:t>
      </w:r>
    </w:p>
    <w:p>
      <w:pPr>
        <w:pStyle w:val="Indenta"/>
      </w:pPr>
      <w:r>
        <w:tab/>
        <w:t>(a)</w:t>
      </w:r>
      <w:r>
        <w:tab/>
        <w:t>has a piston engine and an engine capacity that exceeds 250 cm</w:t>
      </w:r>
      <w:r>
        <w:rPr>
          <w:vertAlign w:val="superscript"/>
        </w:rPr>
        <w:t>3</w:t>
      </w:r>
      <w:r>
        <w:t>; or</w:t>
      </w:r>
    </w:p>
    <w:p>
      <w:pPr>
        <w:pStyle w:val="Indenta"/>
        <w:keepNext/>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 SL 2021/64 r. 5; SL 2022/57 r. 12.]</w:t>
      </w:r>
    </w:p>
    <w:p>
      <w:pPr>
        <w:pStyle w:val="Heading5"/>
      </w:pPr>
      <w:bookmarkStart w:id="98" w:name="_Toc112316989"/>
      <w:r>
        <w:rPr>
          <w:rStyle w:val="CharSectno"/>
        </w:rPr>
        <w:lastRenderedPageBreak/>
        <w:t>61</w:t>
      </w:r>
      <w:r>
        <w:t>.</w:t>
      </w:r>
      <w:r>
        <w:tab/>
        <w:t>Special purpose vehicle</w:t>
      </w:r>
      <w:bookmarkEnd w:id="98"/>
    </w:p>
    <w:p>
      <w:pPr>
        <w:pStyle w:val="Subsection"/>
        <w:keepNext/>
      </w:pPr>
      <w:r>
        <w:tab/>
      </w:r>
      <w:r>
        <w:tab/>
        <w:t>For a special purpose vehicle the charge is $13.20 plus $6.38 per 100 kg, or part of 100 kg, of the tare, subject to a maximum charge of $123.00.</w:t>
      </w:r>
    </w:p>
    <w:p>
      <w:pPr>
        <w:pStyle w:val="Footnotesection"/>
      </w:pPr>
      <w:r>
        <w:tab/>
        <w:t>[Regulation 61 amended: Gazette 27 May 2015 p. 1866; 27 May 2016 p. 1553; 26 May 2017 p. 2643; 25 May 2018 p. 1644; 17 May 2019 p. 1439; SL 2021/64 r. 5; SL 2022/57 r. 13.]</w:t>
      </w:r>
    </w:p>
    <w:p>
      <w:pPr>
        <w:pStyle w:val="Heading4"/>
      </w:pPr>
      <w:bookmarkStart w:id="99" w:name="_Toc112235390"/>
      <w:bookmarkStart w:id="100" w:name="_Toc112237172"/>
      <w:bookmarkStart w:id="101" w:name="_Toc112316990"/>
      <w:r>
        <w:t>Subdivision 3 — Vehicle licence charges for heavy vehicles</w:t>
      </w:r>
      <w:bookmarkEnd w:id="99"/>
      <w:bookmarkEnd w:id="100"/>
      <w:bookmarkEnd w:id="101"/>
    </w:p>
    <w:p>
      <w:pPr>
        <w:pStyle w:val="Heading5"/>
      </w:pPr>
      <w:bookmarkStart w:id="102" w:name="_Toc112316991"/>
      <w:r>
        <w:rPr>
          <w:rStyle w:val="CharSectno"/>
        </w:rPr>
        <w:t>62</w:t>
      </w:r>
      <w:r>
        <w:t>.</w:t>
      </w:r>
      <w:r>
        <w:tab/>
        <w:t>Application</w:t>
      </w:r>
      <w:bookmarkEnd w:id="102"/>
    </w:p>
    <w:p>
      <w:pPr>
        <w:pStyle w:val="Subsection"/>
        <w:keepNext/>
      </w:pPr>
      <w:r>
        <w:tab/>
      </w:r>
      <w:r>
        <w:tab/>
        <w:t>This Subdivision applies to heavy vehicles.</w:t>
      </w:r>
    </w:p>
    <w:p>
      <w:pPr>
        <w:pStyle w:val="Footnotesection"/>
      </w:pPr>
      <w:r>
        <w:tab/>
        <w:t>[Regulation 62 amended: SL 2022/57 r. 14.]</w:t>
      </w:r>
    </w:p>
    <w:p>
      <w:pPr>
        <w:pStyle w:val="Heading5"/>
      </w:pPr>
      <w:bookmarkStart w:id="103" w:name="_Toc112316992"/>
      <w:r>
        <w:rPr>
          <w:rStyle w:val="CharSectno"/>
        </w:rPr>
        <w:t>63</w:t>
      </w:r>
      <w:r>
        <w:t>.</w:t>
      </w:r>
      <w:r>
        <w:tab/>
        <w:t>Car or bus</w:t>
      </w:r>
      <w:bookmarkEnd w:id="103"/>
    </w:p>
    <w:p>
      <w:pPr>
        <w:pStyle w:val="Subsection"/>
        <w:keepNext/>
      </w:pPr>
      <w:r>
        <w:tab/>
      </w:r>
      <w:r>
        <w:tab/>
        <w:t>For a car or bus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1B2</w:t>
            </w:r>
          </w:p>
        </w:tc>
        <w:tc>
          <w:tcPr>
            <w:tcW w:w="3034" w:type="dxa"/>
          </w:tcPr>
          <w:p>
            <w:pPr>
              <w:pStyle w:val="TableNAm"/>
              <w:jc w:val="center"/>
            </w:pPr>
            <w:r>
              <w:t>533</w:t>
            </w:r>
          </w:p>
        </w:tc>
      </w:tr>
      <w:tr>
        <w:tc>
          <w:tcPr>
            <w:tcW w:w="3033" w:type="dxa"/>
          </w:tcPr>
          <w:p>
            <w:pPr>
              <w:pStyle w:val="TableNAm"/>
              <w:jc w:val="center"/>
            </w:pPr>
            <w:r>
              <w:t>2B2</w:t>
            </w:r>
          </w:p>
        </w:tc>
        <w:tc>
          <w:tcPr>
            <w:tcW w:w="3034" w:type="dxa"/>
          </w:tcPr>
          <w:p>
            <w:pPr>
              <w:pStyle w:val="TableNAm"/>
              <w:jc w:val="center"/>
            </w:pPr>
            <w:r>
              <w:t>533</w:t>
            </w:r>
          </w:p>
        </w:tc>
      </w:tr>
      <w:tr>
        <w:tc>
          <w:tcPr>
            <w:tcW w:w="3033" w:type="dxa"/>
          </w:tcPr>
          <w:p>
            <w:pPr>
              <w:pStyle w:val="TableNAm"/>
              <w:keepLines/>
              <w:jc w:val="center"/>
            </w:pPr>
            <w:r>
              <w:t>2B3</w:t>
            </w:r>
          </w:p>
        </w:tc>
        <w:tc>
          <w:tcPr>
            <w:tcW w:w="3034" w:type="dxa"/>
          </w:tcPr>
          <w:p>
            <w:pPr>
              <w:pStyle w:val="TableNAm"/>
              <w:keepLines/>
              <w:jc w:val="center"/>
            </w:pPr>
            <w:r>
              <w:t>2 940</w:t>
            </w:r>
          </w:p>
        </w:tc>
      </w:tr>
      <w:tr>
        <w:tc>
          <w:tcPr>
            <w:tcW w:w="3033" w:type="dxa"/>
          </w:tcPr>
          <w:p>
            <w:pPr>
              <w:pStyle w:val="TableNAm"/>
              <w:keepNext/>
              <w:keepLines/>
              <w:jc w:val="center"/>
            </w:pPr>
            <w:r>
              <w:t>AB3</w:t>
            </w:r>
          </w:p>
        </w:tc>
        <w:tc>
          <w:tcPr>
            <w:tcW w:w="3034" w:type="dxa"/>
          </w:tcPr>
          <w:p>
            <w:pPr>
              <w:pStyle w:val="TableNAm"/>
              <w:keepNext/>
              <w:keepLines/>
              <w:jc w:val="center"/>
            </w:pPr>
            <w:r>
              <w:t>533</w:t>
            </w:r>
          </w:p>
        </w:tc>
      </w:tr>
    </w:tbl>
    <w:p>
      <w:pPr>
        <w:pStyle w:val="Footnotesection"/>
      </w:pPr>
      <w:r>
        <w:tab/>
        <w:t>[Regulation 63 amended: Gazette 27 May 2015 p. 1867</w:t>
      </w:r>
      <w:r>
        <w:noBreakHyphen/>
        <w:t>8; 26 May 2017 p. 2643; 25 May 2018 p. 1644; 17 May 2019 p. 1439; SL 2020/73 r. 5; SL 2021/64 r. 5; SL 2022/57 r. 15.]</w:t>
      </w:r>
    </w:p>
    <w:p>
      <w:pPr>
        <w:pStyle w:val="Heading5"/>
      </w:pPr>
      <w:bookmarkStart w:id="104" w:name="_Toc112316993"/>
      <w:r>
        <w:rPr>
          <w:rStyle w:val="CharSectno"/>
        </w:rPr>
        <w:lastRenderedPageBreak/>
        <w:t>64</w:t>
      </w:r>
      <w:r>
        <w:t>.</w:t>
      </w:r>
      <w:r>
        <w:tab/>
        <w:t>Goods vehicle and motor home</w:t>
      </w:r>
      <w:bookmarkEnd w:id="104"/>
    </w:p>
    <w:p>
      <w:pPr>
        <w:pStyle w:val="Subsection"/>
        <w:keepNext/>
      </w:pPr>
      <w:r>
        <w:tab/>
      </w:r>
      <w:r>
        <w:tab/>
        <w:t>For a goods vehicle or motor home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1R2</w:t>
            </w:r>
          </w:p>
        </w:tc>
        <w:tc>
          <w:tcPr>
            <w:tcW w:w="3034" w:type="dxa"/>
          </w:tcPr>
          <w:p>
            <w:pPr>
              <w:pStyle w:val="TableNAm"/>
              <w:jc w:val="center"/>
            </w:pPr>
            <w:r>
              <w:t>533</w:t>
            </w:r>
          </w:p>
        </w:tc>
      </w:tr>
      <w:tr>
        <w:tc>
          <w:tcPr>
            <w:tcW w:w="3033" w:type="dxa"/>
          </w:tcPr>
          <w:p>
            <w:pPr>
              <w:pStyle w:val="TableNAm"/>
              <w:jc w:val="center"/>
            </w:pPr>
            <w:r>
              <w:t>2R2</w:t>
            </w:r>
          </w:p>
        </w:tc>
        <w:tc>
          <w:tcPr>
            <w:tcW w:w="3034" w:type="dxa"/>
          </w:tcPr>
          <w:p>
            <w:pPr>
              <w:pStyle w:val="TableNAm"/>
              <w:jc w:val="center"/>
            </w:pPr>
            <w:r>
              <w:t>916</w:t>
            </w:r>
          </w:p>
        </w:tc>
      </w:tr>
      <w:tr>
        <w:tc>
          <w:tcPr>
            <w:tcW w:w="3033" w:type="dxa"/>
          </w:tcPr>
          <w:p>
            <w:pPr>
              <w:pStyle w:val="TableNAm"/>
              <w:jc w:val="center"/>
            </w:pPr>
            <w:r>
              <w:t>1R3</w:t>
            </w:r>
          </w:p>
        </w:tc>
        <w:tc>
          <w:tcPr>
            <w:tcW w:w="3034" w:type="dxa"/>
          </w:tcPr>
          <w:p>
            <w:pPr>
              <w:pStyle w:val="TableNAm"/>
              <w:jc w:val="center"/>
            </w:pPr>
            <w:r>
              <w:t>916</w:t>
            </w:r>
          </w:p>
        </w:tc>
      </w:tr>
      <w:tr>
        <w:tc>
          <w:tcPr>
            <w:tcW w:w="3033" w:type="dxa"/>
          </w:tcPr>
          <w:p>
            <w:pPr>
              <w:pStyle w:val="TableNAm"/>
              <w:jc w:val="center"/>
            </w:pPr>
            <w:r>
              <w:t>2R3</w:t>
            </w:r>
          </w:p>
        </w:tc>
        <w:tc>
          <w:tcPr>
            <w:tcW w:w="3034" w:type="dxa"/>
          </w:tcPr>
          <w:p>
            <w:pPr>
              <w:pStyle w:val="TableNAm"/>
              <w:jc w:val="center"/>
            </w:pPr>
            <w:r>
              <w:t>1 207</w:t>
            </w:r>
          </w:p>
        </w:tc>
      </w:tr>
      <w:tr>
        <w:tc>
          <w:tcPr>
            <w:tcW w:w="3033" w:type="dxa"/>
          </w:tcPr>
          <w:p>
            <w:pPr>
              <w:pStyle w:val="TableNAm"/>
              <w:jc w:val="center"/>
            </w:pPr>
            <w:r>
              <w:t>1R4</w:t>
            </w:r>
          </w:p>
        </w:tc>
        <w:tc>
          <w:tcPr>
            <w:tcW w:w="3034" w:type="dxa"/>
          </w:tcPr>
          <w:p>
            <w:pPr>
              <w:pStyle w:val="TableNAm"/>
              <w:jc w:val="center"/>
            </w:pPr>
            <w:r>
              <w:t>916</w:t>
            </w:r>
          </w:p>
        </w:tc>
      </w:tr>
      <w:tr>
        <w:tc>
          <w:tcPr>
            <w:tcW w:w="3033" w:type="dxa"/>
          </w:tcPr>
          <w:p>
            <w:pPr>
              <w:pStyle w:val="TableNAm"/>
              <w:jc w:val="center"/>
            </w:pPr>
            <w:r>
              <w:t>2R4</w:t>
            </w:r>
          </w:p>
        </w:tc>
        <w:tc>
          <w:tcPr>
            <w:tcW w:w="3034" w:type="dxa"/>
          </w:tcPr>
          <w:p>
            <w:pPr>
              <w:pStyle w:val="TableNAm"/>
              <w:jc w:val="center"/>
            </w:pPr>
            <w:r>
              <w:t>1 207</w:t>
            </w:r>
          </w:p>
        </w:tc>
      </w:tr>
      <w:tr>
        <w:tc>
          <w:tcPr>
            <w:tcW w:w="3033" w:type="dxa"/>
          </w:tcPr>
          <w:p>
            <w:pPr>
              <w:pStyle w:val="TableNAm"/>
              <w:jc w:val="center"/>
            </w:pPr>
            <w:r>
              <w:t>1R5</w:t>
            </w:r>
          </w:p>
        </w:tc>
        <w:tc>
          <w:tcPr>
            <w:tcW w:w="3034" w:type="dxa"/>
          </w:tcPr>
          <w:p>
            <w:pPr>
              <w:pStyle w:val="TableNAm"/>
              <w:jc w:val="center"/>
            </w:pPr>
            <w:r>
              <w:t>916</w:t>
            </w:r>
          </w:p>
        </w:tc>
      </w:tr>
      <w:tr>
        <w:tc>
          <w:tcPr>
            <w:tcW w:w="3033" w:type="dxa"/>
          </w:tcPr>
          <w:p>
            <w:pPr>
              <w:pStyle w:val="TableNAm"/>
              <w:jc w:val="center"/>
            </w:pPr>
            <w:r>
              <w:t>2R5</w:t>
            </w:r>
          </w:p>
        </w:tc>
        <w:tc>
          <w:tcPr>
            <w:tcW w:w="3034" w:type="dxa"/>
          </w:tcPr>
          <w:p>
            <w:pPr>
              <w:pStyle w:val="TableNAm"/>
              <w:jc w:val="center"/>
            </w:pPr>
            <w:r>
              <w:t>1 207</w:t>
            </w:r>
          </w:p>
        </w:tc>
      </w:tr>
      <w:tr>
        <w:tc>
          <w:tcPr>
            <w:tcW w:w="3033" w:type="dxa"/>
          </w:tcPr>
          <w:p>
            <w:pPr>
              <w:pStyle w:val="TableNAm"/>
              <w:jc w:val="center"/>
            </w:pPr>
            <w:r>
              <w:t>SR2</w:t>
            </w:r>
          </w:p>
        </w:tc>
        <w:tc>
          <w:tcPr>
            <w:tcW w:w="3034" w:type="dxa"/>
          </w:tcPr>
          <w:p>
            <w:pPr>
              <w:pStyle w:val="TableNAm"/>
              <w:jc w:val="center"/>
            </w:pPr>
            <w:r>
              <w:t>916</w:t>
            </w:r>
          </w:p>
        </w:tc>
      </w:tr>
      <w:tr>
        <w:tc>
          <w:tcPr>
            <w:tcW w:w="3033" w:type="dxa"/>
          </w:tcPr>
          <w:p>
            <w:pPr>
              <w:pStyle w:val="TableNAm"/>
              <w:jc w:val="center"/>
            </w:pPr>
            <w:r>
              <w:t>SR3</w:t>
            </w:r>
          </w:p>
        </w:tc>
        <w:tc>
          <w:tcPr>
            <w:tcW w:w="3034" w:type="dxa"/>
          </w:tcPr>
          <w:p>
            <w:pPr>
              <w:pStyle w:val="TableNAm"/>
              <w:jc w:val="center"/>
            </w:pPr>
            <w:r>
              <w:t>1 207</w:t>
            </w:r>
          </w:p>
        </w:tc>
      </w:tr>
      <w:tr>
        <w:tc>
          <w:tcPr>
            <w:tcW w:w="3033" w:type="dxa"/>
          </w:tcPr>
          <w:p>
            <w:pPr>
              <w:pStyle w:val="TableNAm"/>
              <w:jc w:val="center"/>
            </w:pPr>
            <w:r>
              <w:t>SR4</w:t>
            </w:r>
          </w:p>
        </w:tc>
        <w:tc>
          <w:tcPr>
            <w:tcW w:w="3034" w:type="dxa"/>
          </w:tcPr>
          <w:p>
            <w:pPr>
              <w:pStyle w:val="TableNAm"/>
              <w:jc w:val="center"/>
            </w:pPr>
            <w:r>
              <w:t>2 243</w:t>
            </w:r>
          </w:p>
        </w:tc>
      </w:tr>
      <w:tr>
        <w:tc>
          <w:tcPr>
            <w:tcW w:w="3033" w:type="dxa"/>
          </w:tcPr>
          <w:p>
            <w:pPr>
              <w:pStyle w:val="TableNAm"/>
              <w:jc w:val="center"/>
            </w:pPr>
            <w:r>
              <w:t>SR5</w:t>
            </w:r>
          </w:p>
        </w:tc>
        <w:tc>
          <w:tcPr>
            <w:tcW w:w="3034" w:type="dxa"/>
          </w:tcPr>
          <w:p>
            <w:pPr>
              <w:pStyle w:val="TableNAm"/>
              <w:jc w:val="center"/>
            </w:pPr>
            <w:r>
              <w:t>2 243</w:t>
            </w:r>
          </w:p>
        </w:tc>
      </w:tr>
      <w:tr>
        <w:tc>
          <w:tcPr>
            <w:tcW w:w="3033" w:type="dxa"/>
          </w:tcPr>
          <w:p>
            <w:pPr>
              <w:pStyle w:val="TableNAm"/>
              <w:jc w:val="center"/>
            </w:pPr>
            <w:r>
              <w:t>MR2</w:t>
            </w:r>
          </w:p>
        </w:tc>
        <w:tc>
          <w:tcPr>
            <w:tcW w:w="3034" w:type="dxa"/>
          </w:tcPr>
          <w:p>
            <w:pPr>
              <w:pStyle w:val="TableNAm"/>
              <w:jc w:val="center"/>
            </w:pPr>
            <w:r>
              <w:t>8 215</w:t>
            </w:r>
          </w:p>
        </w:tc>
      </w:tr>
      <w:tr>
        <w:tc>
          <w:tcPr>
            <w:tcW w:w="3033" w:type="dxa"/>
          </w:tcPr>
          <w:p>
            <w:pPr>
              <w:pStyle w:val="TableNAm"/>
              <w:jc w:val="center"/>
            </w:pPr>
            <w:r>
              <w:t>MR3</w:t>
            </w:r>
          </w:p>
        </w:tc>
        <w:tc>
          <w:tcPr>
            <w:tcW w:w="3034" w:type="dxa"/>
          </w:tcPr>
          <w:p>
            <w:pPr>
              <w:pStyle w:val="TableNAm"/>
              <w:jc w:val="center"/>
            </w:pPr>
            <w:r>
              <w:t>8 215</w:t>
            </w:r>
          </w:p>
        </w:tc>
      </w:tr>
      <w:tr>
        <w:tc>
          <w:tcPr>
            <w:tcW w:w="3033" w:type="dxa"/>
          </w:tcPr>
          <w:p>
            <w:pPr>
              <w:pStyle w:val="TableNAm"/>
              <w:jc w:val="center"/>
            </w:pPr>
            <w:r>
              <w:t>MR4</w:t>
            </w:r>
          </w:p>
        </w:tc>
        <w:tc>
          <w:tcPr>
            <w:tcW w:w="3034" w:type="dxa"/>
          </w:tcPr>
          <w:p>
            <w:pPr>
              <w:pStyle w:val="TableNAm"/>
              <w:jc w:val="center"/>
            </w:pPr>
            <w:r>
              <w:t>8 871</w:t>
            </w:r>
          </w:p>
        </w:tc>
      </w:tr>
      <w:tr>
        <w:tc>
          <w:tcPr>
            <w:tcW w:w="3033" w:type="dxa"/>
          </w:tcPr>
          <w:p>
            <w:pPr>
              <w:pStyle w:val="TableNAm"/>
              <w:jc w:val="center"/>
            </w:pPr>
            <w:r>
              <w:lastRenderedPageBreak/>
              <w:t>MR5</w:t>
            </w:r>
          </w:p>
        </w:tc>
        <w:tc>
          <w:tcPr>
            <w:tcW w:w="3034" w:type="dxa"/>
          </w:tcPr>
          <w:p>
            <w:pPr>
              <w:pStyle w:val="TableNAm"/>
              <w:jc w:val="center"/>
            </w:pPr>
            <w:r>
              <w:t>8 871</w:t>
            </w:r>
          </w:p>
        </w:tc>
      </w:tr>
      <w:tr>
        <w:tc>
          <w:tcPr>
            <w:tcW w:w="3033" w:type="dxa"/>
          </w:tcPr>
          <w:p>
            <w:pPr>
              <w:pStyle w:val="TableNAm"/>
              <w:jc w:val="center"/>
            </w:pPr>
            <w:r>
              <w:t>LR2</w:t>
            </w:r>
          </w:p>
        </w:tc>
        <w:tc>
          <w:tcPr>
            <w:tcW w:w="3034" w:type="dxa"/>
          </w:tcPr>
          <w:p>
            <w:pPr>
              <w:pStyle w:val="TableNAm"/>
              <w:jc w:val="center"/>
            </w:pPr>
            <w:r>
              <w:t>11 328</w:t>
            </w:r>
          </w:p>
        </w:tc>
      </w:tr>
      <w:tr>
        <w:tc>
          <w:tcPr>
            <w:tcW w:w="3033" w:type="dxa"/>
          </w:tcPr>
          <w:p>
            <w:pPr>
              <w:pStyle w:val="TableNAm"/>
              <w:jc w:val="center"/>
            </w:pPr>
            <w:r>
              <w:t>LR3</w:t>
            </w:r>
          </w:p>
        </w:tc>
        <w:tc>
          <w:tcPr>
            <w:tcW w:w="3034" w:type="dxa"/>
          </w:tcPr>
          <w:p>
            <w:pPr>
              <w:pStyle w:val="TableNAm"/>
              <w:jc w:val="center"/>
            </w:pPr>
            <w:r>
              <w:t>11 328</w:t>
            </w:r>
          </w:p>
        </w:tc>
      </w:tr>
      <w:tr>
        <w:tc>
          <w:tcPr>
            <w:tcW w:w="3033" w:type="dxa"/>
          </w:tcPr>
          <w:p>
            <w:pPr>
              <w:pStyle w:val="TableNAm"/>
              <w:jc w:val="center"/>
            </w:pPr>
            <w:r>
              <w:t>LR4</w:t>
            </w:r>
          </w:p>
        </w:tc>
        <w:tc>
          <w:tcPr>
            <w:tcW w:w="3034" w:type="dxa"/>
          </w:tcPr>
          <w:p>
            <w:pPr>
              <w:pStyle w:val="TableNAm"/>
              <w:jc w:val="center"/>
            </w:pPr>
            <w:r>
              <w:t>11 328</w:t>
            </w:r>
          </w:p>
        </w:tc>
      </w:tr>
      <w:tr>
        <w:tc>
          <w:tcPr>
            <w:tcW w:w="3033" w:type="dxa"/>
          </w:tcPr>
          <w:p>
            <w:pPr>
              <w:pStyle w:val="TableNAm"/>
              <w:keepNext/>
              <w:jc w:val="center"/>
            </w:pPr>
            <w:r>
              <w:t>LR5</w:t>
            </w:r>
          </w:p>
        </w:tc>
        <w:tc>
          <w:tcPr>
            <w:tcW w:w="3034" w:type="dxa"/>
          </w:tcPr>
          <w:p>
            <w:pPr>
              <w:pStyle w:val="TableNAm"/>
              <w:keepNext/>
              <w:jc w:val="center"/>
            </w:pPr>
            <w:r>
              <w:t>11 328</w:t>
            </w:r>
          </w:p>
        </w:tc>
      </w:tr>
    </w:tbl>
    <w:p>
      <w:pPr>
        <w:pStyle w:val="Footnotesection"/>
      </w:pPr>
      <w:r>
        <w:tab/>
        <w:t>[Regulation 64 amended: Gazette 27 May 2015 p. 1868</w:t>
      </w:r>
      <w:r>
        <w:noBreakHyphen/>
        <w:t>9; 26 May 2017 p. 2643-4; 25 May 2018 p. 1644; 17 May 2019 p. 1439; SL 2020/73 r. 5; SL 2021/64 r. 5; SL 2022/57 r. 16.]</w:t>
      </w:r>
    </w:p>
    <w:p>
      <w:pPr>
        <w:pStyle w:val="Heading5"/>
        <w:keepNext w:val="0"/>
        <w:keepLines w:val="0"/>
        <w:widowControl w:val="0"/>
      </w:pPr>
      <w:bookmarkStart w:id="105" w:name="_Toc112316994"/>
      <w:r>
        <w:rPr>
          <w:rStyle w:val="CharSectno"/>
        </w:rPr>
        <w:t>65</w:t>
      </w:r>
      <w:r>
        <w:t>.</w:t>
      </w:r>
      <w:r>
        <w:tab/>
        <w:t>Prime mover</w:t>
      </w:r>
      <w:bookmarkEnd w:id="105"/>
    </w:p>
    <w:p>
      <w:pPr>
        <w:pStyle w:val="Subsection"/>
        <w:keepNext/>
      </w:pPr>
      <w:r>
        <w:tab/>
      </w:r>
      <w:r>
        <w:tab/>
        <w:t>For a prime mover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SP2</w:t>
            </w:r>
          </w:p>
        </w:tc>
        <w:tc>
          <w:tcPr>
            <w:tcW w:w="3034" w:type="dxa"/>
          </w:tcPr>
          <w:p>
            <w:pPr>
              <w:pStyle w:val="TableNAm"/>
              <w:jc w:val="center"/>
            </w:pPr>
            <w:r>
              <w:t>1 407</w:t>
            </w:r>
          </w:p>
        </w:tc>
      </w:tr>
      <w:tr>
        <w:tc>
          <w:tcPr>
            <w:tcW w:w="3033" w:type="dxa"/>
          </w:tcPr>
          <w:p>
            <w:pPr>
              <w:pStyle w:val="TableNAm"/>
              <w:jc w:val="center"/>
            </w:pPr>
            <w:r>
              <w:t>SP3</w:t>
            </w:r>
          </w:p>
        </w:tc>
        <w:tc>
          <w:tcPr>
            <w:tcW w:w="3034" w:type="dxa"/>
          </w:tcPr>
          <w:p>
            <w:pPr>
              <w:pStyle w:val="TableNAm"/>
              <w:jc w:val="center"/>
            </w:pPr>
            <w:r>
              <w:t>5 537</w:t>
            </w:r>
          </w:p>
        </w:tc>
      </w:tr>
      <w:tr>
        <w:tc>
          <w:tcPr>
            <w:tcW w:w="3033" w:type="dxa"/>
          </w:tcPr>
          <w:p>
            <w:pPr>
              <w:pStyle w:val="TableNAm"/>
              <w:jc w:val="center"/>
            </w:pPr>
            <w:r>
              <w:t>SP4</w:t>
            </w:r>
          </w:p>
        </w:tc>
        <w:tc>
          <w:tcPr>
            <w:tcW w:w="3034" w:type="dxa"/>
          </w:tcPr>
          <w:p>
            <w:pPr>
              <w:pStyle w:val="TableNAm"/>
              <w:jc w:val="center"/>
            </w:pPr>
            <w:r>
              <w:t>6 092</w:t>
            </w:r>
          </w:p>
        </w:tc>
      </w:tr>
      <w:tr>
        <w:tc>
          <w:tcPr>
            <w:tcW w:w="3033" w:type="dxa"/>
          </w:tcPr>
          <w:p>
            <w:pPr>
              <w:pStyle w:val="TableNAm"/>
              <w:jc w:val="center"/>
            </w:pPr>
            <w:r>
              <w:t>SP5</w:t>
            </w:r>
          </w:p>
        </w:tc>
        <w:tc>
          <w:tcPr>
            <w:tcW w:w="3034" w:type="dxa"/>
          </w:tcPr>
          <w:p>
            <w:pPr>
              <w:pStyle w:val="TableNAm"/>
              <w:jc w:val="center"/>
            </w:pPr>
            <w:r>
              <w:t>6 092</w:t>
            </w:r>
          </w:p>
        </w:tc>
      </w:tr>
      <w:tr>
        <w:tc>
          <w:tcPr>
            <w:tcW w:w="3033" w:type="dxa"/>
          </w:tcPr>
          <w:p>
            <w:pPr>
              <w:pStyle w:val="TableNAm"/>
              <w:jc w:val="center"/>
            </w:pPr>
            <w:r>
              <w:t>MC2</w:t>
            </w:r>
          </w:p>
        </w:tc>
        <w:tc>
          <w:tcPr>
            <w:tcW w:w="3034" w:type="dxa"/>
          </w:tcPr>
          <w:p>
            <w:pPr>
              <w:pStyle w:val="TableNAm"/>
              <w:jc w:val="center"/>
            </w:pPr>
            <w:r>
              <w:t>9 939</w:t>
            </w:r>
          </w:p>
        </w:tc>
      </w:tr>
      <w:tr>
        <w:tc>
          <w:tcPr>
            <w:tcW w:w="3033" w:type="dxa"/>
          </w:tcPr>
          <w:p>
            <w:pPr>
              <w:pStyle w:val="TableNAm"/>
              <w:jc w:val="center"/>
            </w:pPr>
            <w:r>
              <w:t>MC3</w:t>
            </w:r>
          </w:p>
        </w:tc>
        <w:tc>
          <w:tcPr>
            <w:tcW w:w="3034" w:type="dxa"/>
          </w:tcPr>
          <w:p>
            <w:pPr>
              <w:pStyle w:val="TableNAm"/>
              <w:jc w:val="center"/>
            </w:pPr>
            <w:r>
              <w:t>9 939</w:t>
            </w:r>
          </w:p>
        </w:tc>
      </w:tr>
      <w:tr>
        <w:tc>
          <w:tcPr>
            <w:tcW w:w="3033" w:type="dxa"/>
          </w:tcPr>
          <w:p>
            <w:pPr>
              <w:pStyle w:val="TableNAm"/>
              <w:jc w:val="center"/>
            </w:pPr>
            <w:r>
              <w:lastRenderedPageBreak/>
              <w:t>MC4</w:t>
            </w:r>
          </w:p>
        </w:tc>
        <w:tc>
          <w:tcPr>
            <w:tcW w:w="3034" w:type="dxa"/>
          </w:tcPr>
          <w:p>
            <w:pPr>
              <w:pStyle w:val="TableNAm"/>
              <w:jc w:val="center"/>
            </w:pPr>
            <w:r>
              <w:t>10 933</w:t>
            </w:r>
          </w:p>
        </w:tc>
      </w:tr>
      <w:tr>
        <w:tc>
          <w:tcPr>
            <w:tcW w:w="3033" w:type="dxa"/>
          </w:tcPr>
          <w:p>
            <w:pPr>
              <w:pStyle w:val="TableNAm"/>
              <w:keepNext/>
              <w:jc w:val="center"/>
            </w:pPr>
            <w:r>
              <w:t>MC5</w:t>
            </w:r>
          </w:p>
        </w:tc>
        <w:tc>
          <w:tcPr>
            <w:tcW w:w="3034" w:type="dxa"/>
          </w:tcPr>
          <w:p>
            <w:pPr>
              <w:pStyle w:val="TableNAm"/>
              <w:keepNext/>
              <w:jc w:val="center"/>
            </w:pPr>
            <w:r>
              <w:t>10 933</w:t>
            </w:r>
          </w:p>
        </w:tc>
      </w:tr>
    </w:tbl>
    <w:p>
      <w:pPr>
        <w:pStyle w:val="Footnotesection"/>
      </w:pPr>
      <w:r>
        <w:tab/>
        <w:t>[Regulation 65 amended: Gazette 27 May 2015 p. 1869-70; 26 May 2017 p. 2643-4; 25 May 2018 p. 1644; 17 May 2019 p. 1439; SL 2020/73 r. 5; SL 2021/64 r. 5; SL 2022/57 r. 17.]</w:t>
      </w:r>
    </w:p>
    <w:p>
      <w:pPr>
        <w:pStyle w:val="Heading5"/>
      </w:pPr>
      <w:bookmarkStart w:id="106" w:name="_Toc112316995"/>
      <w:r>
        <w:rPr>
          <w:rStyle w:val="CharSectno"/>
        </w:rPr>
        <w:t>66</w:t>
      </w:r>
      <w:r>
        <w:t>.</w:t>
      </w:r>
      <w:r>
        <w:tab/>
        <w:t>Trailer, not being a towed special purpose vehicle</w:t>
      </w:r>
      <w:bookmarkEnd w:id="106"/>
    </w:p>
    <w:p>
      <w:pPr>
        <w:pStyle w:val="Subsection"/>
        <w:keepNext/>
      </w:pPr>
      <w:r>
        <w:tab/>
      </w:r>
      <w:r>
        <w:tab/>
        <w:t>For a trailer other than a towed special purpose vehicle (licence class HT) the charge is $533.00 for every axle fitted.</w:t>
      </w:r>
    </w:p>
    <w:p>
      <w:pPr>
        <w:pStyle w:val="Footnotesection"/>
      </w:pPr>
      <w:r>
        <w:tab/>
        <w:t>[Regulation 66 amended: Gazette 27 May 2015 p. 1871; 26 May 2017 p. 2643-4; 25 May 2018 p. 1644; 17 May 2019 p. 1439; SL 2020/73 r. 5; SL 2021/64 r. 5; SL 2022/57 r. 18.]</w:t>
      </w:r>
    </w:p>
    <w:p>
      <w:pPr>
        <w:pStyle w:val="Heading5"/>
      </w:pPr>
      <w:bookmarkStart w:id="107" w:name="_Toc112316996"/>
      <w:r>
        <w:rPr>
          <w:rStyle w:val="CharSectno"/>
        </w:rPr>
        <w:t>67</w:t>
      </w:r>
      <w:r>
        <w:t>.</w:t>
      </w:r>
      <w:r>
        <w:tab/>
        <w:t>Special purpose vehicle</w:t>
      </w:r>
      <w:bookmarkEnd w:id="107"/>
    </w:p>
    <w:p>
      <w:pPr>
        <w:pStyle w:val="Subsection"/>
        <w:keepNext/>
      </w:pPr>
      <w:r>
        <w:tab/>
      </w:r>
      <w:r>
        <w:tab/>
        <w:t>For a special purpose vehicle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PSV</w:t>
            </w:r>
          </w:p>
        </w:tc>
        <w:tc>
          <w:tcPr>
            <w:tcW w:w="3034" w:type="dxa"/>
          </w:tcPr>
          <w:p>
            <w:pPr>
              <w:pStyle w:val="TableNAm"/>
              <w:jc w:val="center"/>
            </w:pPr>
            <w:r>
              <w:t>123</w:t>
            </w:r>
          </w:p>
        </w:tc>
      </w:tr>
      <w:tr>
        <w:tc>
          <w:tcPr>
            <w:tcW w:w="3033" w:type="dxa"/>
          </w:tcPr>
          <w:p>
            <w:pPr>
              <w:pStyle w:val="TableNAm"/>
              <w:jc w:val="center"/>
            </w:pPr>
            <w:r>
              <w:t>TSV</w:t>
            </w:r>
          </w:p>
        </w:tc>
        <w:tc>
          <w:tcPr>
            <w:tcW w:w="3034" w:type="dxa"/>
          </w:tcPr>
          <w:p>
            <w:pPr>
              <w:pStyle w:val="TableNAm"/>
              <w:jc w:val="center"/>
            </w:pPr>
            <w:r>
              <w:t>123</w:t>
            </w:r>
          </w:p>
        </w:tc>
      </w:tr>
      <w:tr>
        <w:tc>
          <w:tcPr>
            <w:tcW w:w="3033" w:type="dxa"/>
          </w:tcPr>
          <w:p>
            <w:pPr>
              <w:pStyle w:val="TableNAm"/>
              <w:jc w:val="center"/>
            </w:pPr>
            <w:r>
              <w:t>OSV2</w:t>
            </w:r>
          </w:p>
        </w:tc>
        <w:tc>
          <w:tcPr>
            <w:tcW w:w="3034" w:type="dxa"/>
          </w:tcPr>
          <w:p>
            <w:pPr>
              <w:pStyle w:val="TableNAm"/>
              <w:jc w:val="center"/>
            </w:pPr>
            <w:r>
              <w:t>433</w:t>
            </w:r>
          </w:p>
        </w:tc>
      </w:tr>
      <w:tr>
        <w:tc>
          <w:tcPr>
            <w:tcW w:w="3033" w:type="dxa"/>
          </w:tcPr>
          <w:p>
            <w:pPr>
              <w:pStyle w:val="TableNAm"/>
              <w:jc w:val="center"/>
            </w:pPr>
            <w:r>
              <w:t>OSV3</w:t>
            </w:r>
          </w:p>
        </w:tc>
        <w:tc>
          <w:tcPr>
            <w:tcW w:w="3034" w:type="dxa"/>
          </w:tcPr>
          <w:p>
            <w:pPr>
              <w:pStyle w:val="TableNAm"/>
              <w:jc w:val="center"/>
            </w:pPr>
            <w:r>
              <w:t>867</w:t>
            </w:r>
          </w:p>
        </w:tc>
      </w:tr>
      <w:tr>
        <w:tc>
          <w:tcPr>
            <w:tcW w:w="3033" w:type="dxa"/>
          </w:tcPr>
          <w:p>
            <w:pPr>
              <w:pStyle w:val="TableNAm"/>
              <w:jc w:val="center"/>
            </w:pPr>
            <w:r>
              <w:t>OSV4</w:t>
            </w:r>
          </w:p>
        </w:tc>
        <w:tc>
          <w:tcPr>
            <w:tcW w:w="3034" w:type="dxa"/>
          </w:tcPr>
          <w:p>
            <w:pPr>
              <w:pStyle w:val="TableNAm"/>
              <w:jc w:val="center"/>
            </w:pPr>
            <w:r>
              <w:t>1 300</w:t>
            </w:r>
          </w:p>
        </w:tc>
      </w:tr>
      <w:tr>
        <w:tc>
          <w:tcPr>
            <w:tcW w:w="3033" w:type="dxa"/>
          </w:tcPr>
          <w:p>
            <w:pPr>
              <w:pStyle w:val="TableNAm"/>
              <w:jc w:val="center"/>
            </w:pPr>
            <w:r>
              <w:lastRenderedPageBreak/>
              <w:t>OSV5</w:t>
            </w:r>
          </w:p>
        </w:tc>
        <w:tc>
          <w:tcPr>
            <w:tcW w:w="3034" w:type="dxa"/>
          </w:tcPr>
          <w:p>
            <w:pPr>
              <w:pStyle w:val="TableNAm"/>
              <w:jc w:val="center"/>
            </w:pPr>
            <w:r>
              <w:t>1 734</w:t>
            </w:r>
          </w:p>
        </w:tc>
      </w:tr>
      <w:tr>
        <w:tc>
          <w:tcPr>
            <w:tcW w:w="3033" w:type="dxa"/>
          </w:tcPr>
          <w:p>
            <w:pPr>
              <w:pStyle w:val="TableNAm"/>
              <w:jc w:val="center"/>
            </w:pPr>
            <w:r>
              <w:t>OSV6</w:t>
            </w:r>
          </w:p>
        </w:tc>
        <w:tc>
          <w:tcPr>
            <w:tcW w:w="3034" w:type="dxa"/>
          </w:tcPr>
          <w:p>
            <w:pPr>
              <w:pStyle w:val="TableNAm"/>
              <w:jc w:val="center"/>
            </w:pPr>
            <w:r>
              <w:t>2 167</w:t>
            </w:r>
          </w:p>
        </w:tc>
      </w:tr>
      <w:tr>
        <w:tc>
          <w:tcPr>
            <w:tcW w:w="3033" w:type="dxa"/>
          </w:tcPr>
          <w:p>
            <w:pPr>
              <w:pStyle w:val="TableNAm"/>
              <w:jc w:val="center"/>
            </w:pPr>
            <w:r>
              <w:t>OSV7</w:t>
            </w:r>
          </w:p>
        </w:tc>
        <w:tc>
          <w:tcPr>
            <w:tcW w:w="3034" w:type="dxa"/>
          </w:tcPr>
          <w:p>
            <w:pPr>
              <w:pStyle w:val="TableNAm"/>
              <w:jc w:val="center"/>
            </w:pPr>
            <w:r>
              <w:t>2 601</w:t>
            </w:r>
          </w:p>
        </w:tc>
      </w:tr>
      <w:tr>
        <w:tc>
          <w:tcPr>
            <w:tcW w:w="3033" w:type="dxa"/>
          </w:tcPr>
          <w:p>
            <w:pPr>
              <w:pStyle w:val="TableNAm"/>
              <w:jc w:val="center"/>
            </w:pPr>
            <w:r>
              <w:t>OSV8</w:t>
            </w:r>
          </w:p>
        </w:tc>
        <w:tc>
          <w:tcPr>
            <w:tcW w:w="3034" w:type="dxa"/>
          </w:tcPr>
          <w:p>
            <w:pPr>
              <w:pStyle w:val="TableNAm"/>
              <w:jc w:val="center"/>
            </w:pPr>
            <w:r>
              <w:t>3 034</w:t>
            </w:r>
          </w:p>
        </w:tc>
      </w:tr>
      <w:tr>
        <w:tc>
          <w:tcPr>
            <w:tcW w:w="3033" w:type="dxa"/>
          </w:tcPr>
          <w:p>
            <w:pPr>
              <w:pStyle w:val="TableNAm"/>
              <w:keepNext/>
              <w:jc w:val="center"/>
            </w:pPr>
            <w:r>
              <w:t>OSV9</w:t>
            </w:r>
          </w:p>
        </w:tc>
        <w:tc>
          <w:tcPr>
            <w:tcW w:w="3034" w:type="dxa"/>
          </w:tcPr>
          <w:p>
            <w:pPr>
              <w:pStyle w:val="TableNAm"/>
              <w:keepNext/>
              <w:jc w:val="center"/>
            </w:pPr>
            <w:r>
              <w:t>3 468</w:t>
            </w:r>
          </w:p>
        </w:tc>
      </w:tr>
    </w:tbl>
    <w:p>
      <w:pPr>
        <w:pStyle w:val="Footnotesection"/>
      </w:pPr>
      <w:r>
        <w:tab/>
        <w:t>[Regulation 67 amended: Gazette 27 May 2015 p. 1870-1; 26 May 2017 p. 2643-4; 25 May 2018 p. 1645; 17 May 2019 p. 1439-40; SL 2020/73 r. 5; SL 2021/64 r. 5; SL 2022/57 r. 19.]</w:t>
      </w:r>
    </w:p>
    <w:p>
      <w:pPr>
        <w:pStyle w:val="Heading4"/>
      </w:pPr>
      <w:bookmarkStart w:id="108" w:name="_Toc112235397"/>
      <w:bookmarkStart w:id="109" w:name="_Toc112237179"/>
      <w:bookmarkStart w:id="110" w:name="_Toc112316997"/>
      <w:r>
        <w:t>Subdivision 4 — Exemptions</w:t>
      </w:r>
      <w:bookmarkEnd w:id="108"/>
      <w:bookmarkEnd w:id="109"/>
      <w:bookmarkEnd w:id="110"/>
    </w:p>
    <w:p>
      <w:pPr>
        <w:pStyle w:val="Heading5"/>
      </w:pPr>
      <w:bookmarkStart w:id="111" w:name="_Toc112316998"/>
      <w:r>
        <w:rPr>
          <w:rStyle w:val="CharSectno"/>
        </w:rPr>
        <w:t>68</w:t>
      </w:r>
      <w:r>
        <w:t>.</w:t>
      </w:r>
      <w:r>
        <w:tab/>
        <w:t>Exemptions not available for seasonally licensed heavy vehicles</w:t>
      </w:r>
      <w:bookmarkEnd w:id="111"/>
    </w:p>
    <w:p>
      <w:pPr>
        <w:pStyle w:val="Subsection"/>
      </w:pPr>
      <w:r>
        <w:tab/>
      </w:r>
      <w:r>
        <w:tab/>
        <w:t>This Subdivision does not apply to a seasonally licensed heavy vehicle.</w:t>
      </w:r>
    </w:p>
    <w:p>
      <w:pPr>
        <w:pStyle w:val="Heading5"/>
      </w:pPr>
      <w:bookmarkStart w:id="112" w:name="_Toc112316999"/>
      <w:r>
        <w:rPr>
          <w:rStyle w:val="CharSectno"/>
        </w:rPr>
        <w:t>69</w:t>
      </w:r>
      <w:r>
        <w:t>.</w:t>
      </w:r>
      <w:r>
        <w:tab/>
        <w:t>Government, emergency vehicles</w:t>
      </w:r>
      <w:bookmarkEnd w:id="112"/>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w:t>
      </w:r>
      <w:r>
        <w:lastRenderedPageBreak/>
        <w:t xml:space="preserve">assisting in the administration of the </w:t>
      </w:r>
      <w:r>
        <w:rPr>
          <w:i/>
        </w:rPr>
        <w:t>Fire and Emergency Services Act 1998</w:t>
      </w:r>
      <w:r>
        <w:t>; and</w:t>
      </w:r>
    </w:p>
    <w:p>
      <w:pPr>
        <w:pStyle w:val="Indenti"/>
        <w:keepNext/>
      </w:pPr>
      <w:r>
        <w:tab/>
        <w:t>(iii)</w:t>
      </w:r>
      <w:r>
        <w:tab/>
        <w:t>to be used exclusively for preventing and extinguishing fires or dealing with other emergencies;</w:t>
      </w:r>
    </w:p>
    <w:p>
      <w:pPr>
        <w:pStyle w:val="Indenta"/>
      </w:pPr>
      <w:r>
        <w:tab/>
      </w:r>
      <w:r>
        <w:tab/>
        <w:t>or</w:t>
      </w:r>
    </w:p>
    <w:p>
      <w:pPr>
        <w:pStyle w:val="Indenta"/>
        <w:keepNext/>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113" w:name="_Toc112317000"/>
      <w:r>
        <w:rPr>
          <w:rStyle w:val="CharSectno"/>
        </w:rPr>
        <w:t>70</w:t>
      </w:r>
      <w:r>
        <w:t>.</w:t>
      </w:r>
      <w:r>
        <w:tab/>
        <w:t>Farm vehicles</w:t>
      </w:r>
      <w:bookmarkEnd w:id="113"/>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14" w:name="_Toc112317001"/>
      <w:r>
        <w:rPr>
          <w:rStyle w:val="CharSectno"/>
        </w:rPr>
        <w:t>71</w:t>
      </w:r>
      <w:r>
        <w:t>.</w:t>
      </w:r>
      <w:r>
        <w:tab/>
        <w:t>Vehicles owned by full</w:t>
      </w:r>
      <w:r>
        <w:noBreakHyphen/>
        <w:t>time carers</w:t>
      </w:r>
      <w:bookmarkEnd w:id="114"/>
    </w:p>
    <w:p>
      <w:pPr>
        <w:pStyle w:val="Subsection"/>
      </w:pPr>
      <w:r>
        <w:tab/>
      </w:r>
      <w:r>
        <w:tab/>
        <w:t xml:space="preserve">A vehicle licence charge is not payable for a vehicle if the CEO is satisfied that the vehicle is owned by a person who is </w:t>
      </w:r>
      <w:r>
        <w:lastRenderedPageBreak/>
        <w:t>receiving from the Commonwealth agency known as Centrelink the maximum amount of the carer’s payment.</w:t>
      </w:r>
    </w:p>
    <w:p>
      <w:pPr>
        <w:pStyle w:val="Heading5"/>
      </w:pPr>
      <w:bookmarkStart w:id="115" w:name="_Toc112317002"/>
      <w:r>
        <w:rPr>
          <w:rStyle w:val="CharSectno"/>
        </w:rPr>
        <w:t>72</w:t>
      </w:r>
      <w:r>
        <w:t>.</w:t>
      </w:r>
      <w:r>
        <w:tab/>
        <w:t>Exemption or refund in exceptional circumstances</w:t>
      </w:r>
      <w:bookmarkEnd w:id="115"/>
    </w:p>
    <w:p>
      <w:pPr>
        <w:pStyle w:val="Subsection"/>
        <w:keepNext/>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keepNext/>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16" w:name="_Toc112235403"/>
      <w:bookmarkStart w:id="117" w:name="_Toc112237185"/>
      <w:bookmarkStart w:id="118" w:name="_Toc112317003"/>
      <w:r>
        <w:t>Subdivision 5 — Concessions</w:t>
      </w:r>
      <w:bookmarkEnd w:id="116"/>
      <w:bookmarkEnd w:id="117"/>
      <w:bookmarkEnd w:id="118"/>
    </w:p>
    <w:p>
      <w:pPr>
        <w:pStyle w:val="Heading5"/>
      </w:pPr>
      <w:bookmarkStart w:id="119" w:name="_Toc112317004"/>
      <w:r>
        <w:rPr>
          <w:rStyle w:val="CharSectno"/>
        </w:rPr>
        <w:t>73</w:t>
      </w:r>
      <w:r>
        <w:t>.</w:t>
      </w:r>
      <w:r>
        <w:tab/>
        <w:t>Concessions not available for seasonally licensed heavy vehicles</w:t>
      </w:r>
      <w:bookmarkEnd w:id="119"/>
    </w:p>
    <w:p>
      <w:pPr>
        <w:pStyle w:val="Subsection"/>
      </w:pPr>
      <w:r>
        <w:tab/>
      </w:r>
      <w:r>
        <w:tab/>
        <w:t>This Subdivision does not apply to a seasonally licensed heavy vehicle.</w:t>
      </w:r>
    </w:p>
    <w:p>
      <w:pPr>
        <w:pStyle w:val="Heading5"/>
      </w:pPr>
      <w:bookmarkStart w:id="120" w:name="_Toc112317005"/>
      <w:r>
        <w:rPr>
          <w:rStyle w:val="CharSectno"/>
        </w:rPr>
        <w:t>74</w:t>
      </w:r>
      <w:r>
        <w:t>.</w:t>
      </w:r>
      <w:r>
        <w:tab/>
        <w:t>Certain heavy vehicles used outside South</w:t>
      </w:r>
      <w:r>
        <w:noBreakHyphen/>
        <w:t>west Division</w:t>
      </w:r>
      <w:bookmarkEnd w:id="120"/>
    </w:p>
    <w:p>
      <w:pPr>
        <w:pStyle w:val="Subsection"/>
        <w:keepNext/>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21" w:name="_Toc112317006"/>
      <w:r>
        <w:rPr>
          <w:rStyle w:val="CharSectno"/>
        </w:rPr>
        <w:lastRenderedPageBreak/>
        <w:t>75</w:t>
      </w:r>
      <w:r>
        <w:t>.</w:t>
      </w:r>
      <w:r>
        <w:tab/>
        <w:t>Vehicles used for prospecting</w:t>
      </w:r>
      <w:bookmarkEnd w:id="121"/>
    </w:p>
    <w:p>
      <w:pPr>
        <w:pStyle w:val="Subsection"/>
        <w:keepNext/>
        <w:spacing w:before="120"/>
      </w:pPr>
      <w:r>
        <w:tab/>
      </w:r>
      <w:r>
        <w:tab/>
      </w:r>
      <w:r>
        <w:rPr>
          <w:snapToGrid w:val="0"/>
        </w:rPr>
        <w:t>The vehicle licence charge payable for a vehicle is reduced by 50% if the CEO is satisfied that the vehicle —</w:t>
      </w:r>
    </w:p>
    <w:p>
      <w:pPr>
        <w:pStyle w:val="Indenta"/>
        <w:keepNext/>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keepNext/>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22" w:name="_Toc112317007"/>
      <w:r>
        <w:rPr>
          <w:rStyle w:val="CharSectno"/>
        </w:rPr>
        <w:t>76</w:t>
      </w:r>
      <w:r>
        <w:t>.</w:t>
      </w:r>
      <w:r>
        <w:tab/>
        <w:t>Vehicles used for pulling sandalwood</w:t>
      </w:r>
      <w:bookmarkEnd w:id="122"/>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23" w:name="_Toc112317008"/>
      <w:r>
        <w:rPr>
          <w:rStyle w:val="CharSectno"/>
        </w:rPr>
        <w:t>77</w:t>
      </w:r>
      <w:r>
        <w:t>.</w:t>
      </w:r>
      <w:r>
        <w:tab/>
        <w:t>Vehicles used for kangaroo hunting</w:t>
      </w:r>
      <w:bookmarkEnd w:id="123"/>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24" w:name="_Toc112317009"/>
      <w:r>
        <w:rPr>
          <w:rStyle w:val="CharSectno"/>
        </w:rPr>
        <w:t>78</w:t>
      </w:r>
      <w:r>
        <w:t>.</w:t>
      </w:r>
      <w:r>
        <w:tab/>
        <w:t>Vehicles used for beekeeping</w:t>
      </w:r>
      <w:bookmarkEnd w:id="124"/>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 xml:space="preserve">Biosecurity and Agriculture Management </w:t>
      </w:r>
      <w:r>
        <w:rPr>
          <w:i/>
        </w:rPr>
        <w:lastRenderedPageBreak/>
        <w:t>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25" w:name="_Toc112317010"/>
      <w:r>
        <w:rPr>
          <w:rStyle w:val="CharSectno"/>
        </w:rPr>
        <w:t>79</w:t>
      </w:r>
      <w:r>
        <w:t>.</w:t>
      </w:r>
      <w:r>
        <w:tab/>
        <w:t>Certain vehicles used to transport stock</w:t>
      </w:r>
      <w:bookmarkEnd w:id="125"/>
    </w:p>
    <w:p>
      <w:pPr>
        <w:pStyle w:val="Subsection"/>
        <w:keepNext/>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keepNext/>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26" w:name="_Toc112317011"/>
      <w:r>
        <w:rPr>
          <w:rStyle w:val="CharSectno"/>
        </w:rPr>
        <w:lastRenderedPageBreak/>
        <w:t>80</w:t>
      </w:r>
      <w:r>
        <w:t>.</w:t>
      </w:r>
      <w:r>
        <w:tab/>
        <w:t>Vehicles used for farm haulage</w:t>
      </w:r>
      <w:bookmarkEnd w:id="126"/>
    </w:p>
    <w:p>
      <w:pPr>
        <w:pStyle w:val="Subsection"/>
        <w:keepNext/>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keepNext/>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27" w:name="_Toc112317012"/>
      <w:r>
        <w:rPr>
          <w:rStyle w:val="CharSectno"/>
        </w:rPr>
        <w:t>81</w:t>
      </w:r>
      <w:r>
        <w:t>.</w:t>
      </w:r>
      <w:r>
        <w:tab/>
        <w:t>Agricultural machines and agricultural special purpose vehicles</w:t>
      </w:r>
      <w:bookmarkEnd w:id="127"/>
    </w:p>
    <w:p>
      <w:pPr>
        <w:pStyle w:val="Subsection"/>
        <w:keepNext/>
      </w:pPr>
      <w:r>
        <w:tab/>
      </w:r>
      <w:r>
        <w:tab/>
      </w:r>
      <w:r>
        <w:rPr>
          <w:snapToGrid w:val="0"/>
        </w:rPr>
        <w:t xml:space="preserve">The vehicle licence charge payable for a vehicle </w:t>
      </w:r>
      <w:r>
        <w:t>that is an agricultural machine or agricultural special purpose vehicle</w:t>
      </w:r>
      <w:r>
        <w:rPr>
          <w:snapToGrid w:val="0"/>
        </w:rPr>
        <w:t xml:space="preserve"> is </w:t>
      </w:r>
      <w:r>
        <w:rPr>
          <w:snapToGrid w:val="0"/>
        </w:rPr>
        <w:lastRenderedPageBreak/>
        <w:t xml:space="preserve">reduced to $4 if the CEO is satisfied that the vehicle </w:t>
      </w:r>
      <w:r>
        <w:t>is only to be used for one or more of these purposes —</w:t>
      </w:r>
    </w:p>
    <w:p>
      <w:pPr>
        <w:pStyle w:val="Indenta"/>
        <w:keepNext/>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28" w:name="_Toc112317013"/>
      <w:r>
        <w:rPr>
          <w:rStyle w:val="CharSectno"/>
        </w:rPr>
        <w:t>82</w:t>
      </w:r>
      <w:r>
        <w:t>.</w:t>
      </w:r>
      <w:r>
        <w:tab/>
        <w:t>Certain semi</w:t>
      </w:r>
      <w:r>
        <w:noBreakHyphen/>
        <w:t>trailers</w:t>
      </w:r>
      <w:bookmarkEnd w:id="128"/>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w:t>
      </w:r>
      <w:r>
        <w:t>charge</w:t>
      </w:r>
      <w:r>
        <w:rPr>
          <w:snapToGrid w:val="0"/>
        </w:rPr>
        <w:t xml:space="preserv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keepNext/>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Footnotesection"/>
      </w:pPr>
      <w:r>
        <w:tab/>
        <w:t>[Regulation 82 amended: SL 2022/57 r. 20.]</w:t>
      </w:r>
    </w:p>
    <w:p>
      <w:pPr>
        <w:pStyle w:val="Heading5"/>
      </w:pPr>
      <w:bookmarkStart w:id="129" w:name="_Toc112317014"/>
      <w:r>
        <w:rPr>
          <w:rStyle w:val="CharSectno"/>
        </w:rPr>
        <w:lastRenderedPageBreak/>
        <w:t>83</w:t>
      </w:r>
      <w:r>
        <w:t>.</w:t>
      </w:r>
      <w:r>
        <w:tab/>
      </w:r>
      <w:r>
        <w:rPr>
          <w:snapToGrid w:val="0"/>
        </w:rPr>
        <w:t>Vehicles owned by pensioners, seniors</w:t>
      </w:r>
      <w:bookmarkEnd w:id="129"/>
    </w:p>
    <w:p>
      <w:pPr>
        <w:pStyle w:val="Subsection"/>
        <w:keepNext/>
      </w:pPr>
      <w:r>
        <w:rPr>
          <w:snapToGrid w:val="0"/>
        </w:rPr>
        <w:tab/>
        <w:t>(1)</w:t>
      </w:r>
      <w:r>
        <w:rPr>
          <w:snapToGrid w:val="0"/>
        </w:rPr>
        <w:tab/>
        <w:t xml:space="preserve">The vehicle licence charge payable for a vehicle is reduced by 50% if the CEO is satisfied that the vehicle — </w:t>
      </w:r>
    </w:p>
    <w:p>
      <w:pPr>
        <w:pStyle w:val="Indenta"/>
        <w:keepNext/>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keepNext/>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30" w:name="_Toc112317015"/>
      <w:r>
        <w:rPr>
          <w:rStyle w:val="CharSectno"/>
        </w:rPr>
        <w:t>84</w:t>
      </w:r>
      <w:r>
        <w:t>.</w:t>
      </w:r>
      <w:r>
        <w:tab/>
        <w:t>Motor homes</w:t>
      </w:r>
      <w:bookmarkEnd w:id="130"/>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131" w:name="_Toc112317016"/>
      <w:r>
        <w:rPr>
          <w:rStyle w:val="CharSectno"/>
        </w:rPr>
        <w:lastRenderedPageBreak/>
        <w:t>84A</w:t>
      </w:r>
      <w:r>
        <w:t>.</w:t>
      </w:r>
      <w:r>
        <w:tab/>
        <w:t>Classic vehicles</w:t>
      </w:r>
      <w:bookmarkEnd w:id="131"/>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keepNext/>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lastRenderedPageBreak/>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keepLines/>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tab/>
        <w:t>(b)</w:t>
      </w:r>
      <w:r>
        <w:tab/>
        <w:t xml:space="preserve">unobscured. </w:t>
      </w:r>
    </w:p>
    <w:p>
      <w:pPr>
        <w:pStyle w:val="Penstar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132" w:name="_Toc112317017"/>
      <w:r>
        <w:rPr>
          <w:rStyle w:val="CharSectno"/>
        </w:rPr>
        <w:t>85</w:t>
      </w:r>
      <w:r>
        <w:t>.</w:t>
      </w:r>
      <w:r>
        <w:tab/>
        <w:t>Reductions not cumulative</w:t>
      </w:r>
      <w:bookmarkEnd w:id="132"/>
    </w:p>
    <w:p>
      <w:pPr>
        <w:pStyle w:val="Subsection"/>
      </w:pPr>
      <w:r>
        <w:tab/>
        <w:t>(1)</w:t>
      </w:r>
      <w:r>
        <w:tab/>
        <w:t xml:space="preserve">Subject to subregulation (3), only one reduction under this Subdivision is to be applied to the </w:t>
      </w:r>
      <w:r>
        <w:rPr>
          <w:snapToGrid w:val="0"/>
        </w:rPr>
        <w:t>vehicle licence charge</w:t>
      </w:r>
      <w:r>
        <w:t xml:space="preserve"> payable for a vehicle.</w:t>
      </w:r>
    </w:p>
    <w:p>
      <w:pPr>
        <w:pStyle w:val="Subsection"/>
      </w:pPr>
      <w:r>
        <w:lastRenderedPageBreak/>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 SL 2022/57 r. 21.]</w:t>
      </w:r>
    </w:p>
    <w:p>
      <w:pPr>
        <w:pStyle w:val="Heading3"/>
      </w:pPr>
      <w:bookmarkStart w:id="133" w:name="_Toc112235418"/>
      <w:bookmarkStart w:id="134" w:name="_Toc112237200"/>
      <w:bookmarkStart w:id="135" w:name="_Toc112317018"/>
      <w:r>
        <w:rPr>
          <w:rStyle w:val="CharDivNo"/>
        </w:rPr>
        <w:t>Division 8</w:t>
      </w:r>
      <w:r>
        <w:t> — </w:t>
      </w:r>
      <w:r>
        <w:rPr>
          <w:rStyle w:val="CharDivText"/>
        </w:rPr>
        <w:t>Fees relating to vehicle licensing</w:t>
      </w:r>
      <w:bookmarkEnd w:id="133"/>
      <w:bookmarkEnd w:id="134"/>
      <w:bookmarkEnd w:id="135"/>
    </w:p>
    <w:p>
      <w:pPr>
        <w:pStyle w:val="Heading4"/>
      </w:pPr>
      <w:bookmarkStart w:id="136" w:name="_Toc112235419"/>
      <w:bookmarkStart w:id="137" w:name="_Toc112237201"/>
      <w:bookmarkStart w:id="138" w:name="_Toc112317019"/>
      <w:r>
        <w:t>Subdivision 1 — Vehicle examination fees</w:t>
      </w:r>
      <w:bookmarkEnd w:id="136"/>
      <w:bookmarkEnd w:id="137"/>
      <w:bookmarkEnd w:id="138"/>
    </w:p>
    <w:p>
      <w:pPr>
        <w:pStyle w:val="Heading5"/>
      </w:pPr>
      <w:bookmarkStart w:id="139" w:name="_Toc112317020"/>
      <w:r>
        <w:rPr>
          <w:rStyle w:val="CharSectno"/>
        </w:rPr>
        <w:t>86</w:t>
      </w:r>
      <w:r>
        <w:t>.</w:t>
      </w:r>
      <w:r>
        <w:tab/>
        <w:t>Terms used</w:t>
      </w:r>
      <w:bookmarkEnd w:id="139"/>
    </w:p>
    <w:p>
      <w:pPr>
        <w:pStyle w:val="Subsection"/>
        <w:keepNext/>
      </w:pPr>
      <w:r>
        <w:tab/>
      </w:r>
      <w:r>
        <w:tab/>
        <w:t xml:space="preserve">In this Subdivision — </w:t>
      </w:r>
    </w:p>
    <w:p>
      <w:pPr>
        <w:pStyle w:val="Defstart"/>
        <w:keepNext/>
      </w:pPr>
      <w:r>
        <w:rPr>
          <w:b/>
        </w:rPr>
        <w:tab/>
      </w:r>
      <w:r>
        <w:rPr>
          <w:rStyle w:val="CharDefText"/>
        </w:rPr>
        <w:t>motor carrier</w:t>
      </w:r>
      <w:r>
        <w:t xml:space="preserve"> </w:t>
      </w:r>
      <w:r>
        <w:rPr>
          <w:bCs/>
        </w:rPr>
        <w:t>means</w:t>
      </w:r>
      <w:r>
        <w:t xml:space="preserve"> a —</w:t>
      </w:r>
    </w:p>
    <w:p>
      <w:pPr>
        <w:pStyle w:val="Defpara"/>
        <w:keepNext/>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keepNext/>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140" w:name="_Toc112317021"/>
      <w:r>
        <w:rPr>
          <w:rStyle w:val="CharSectno"/>
        </w:rPr>
        <w:lastRenderedPageBreak/>
        <w:t>87</w:t>
      </w:r>
      <w:r>
        <w:t>.</w:t>
      </w:r>
      <w:r>
        <w:tab/>
        <w:t>Fees for vehicle examinations in non</w:t>
      </w:r>
      <w:r>
        <w:noBreakHyphen/>
        <w:t>regional areas</w:t>
      </w:r>
      <w:bookmarkEnd w:id="140"/>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keepNext/>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c>
          <w:tcPr>
            <w:tcW w:w="2409" w:type="dxa"/>
            <w:noWrap/>
          </w:tcPr>
          <w:p>
            <w:pPr>
              <w:pStyle w:val="TableNAm"/>
            </w:pPr>
            <w:r>
              <w:t>Heavy vehicle examined at an inspection station</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c>
          <w:tcPr>
            <w:tcW w:w="2409" w:type="dxa"/>
            <w:noWrap/>
          </w:tcPr>
          <w:p>
            <w:pPr>
              <w:pStyle w:val="TableNAm"/>
            </w:pPr>
            <w:r>
              <w:t>Heavy vehicle examined at a place other than an inspection station</w:t>
            </w:r>
          </w:p>
        </w:tc>
        <w:tc>
          <w:tcPr>
            <w:tcW w:w="1701" w:type="dxa"/>
            <w:noWrap/>
            <w:vAlign w:val="bottom"/>
          </w:tcPr>
          <w:p>
            <w:pPr>
              <w:pStyle w:val="TableNAm"/>
              <w:ind w:right="430"/>
              <w:jc w:val="right"/>
            </w:pPr>
            <w:r>
              <w:t>248.30</w:t>
            </w:r>
          </w:p>
        </w:tc>
        <w:tc>
          <w:tcPr>
            <w:tcW w:w="1701" w:type="dxa"/>
            <w:noWrap/>
            <w:vAlign w:val="bottom"/>
          </w:tcPr>
          <w:p>
            <w:pPr>
              <w:pStyle w:val="TableNAm"/>
              <w:ind w:right="430"/>
              <w:jc w:val="right"/>
            </w:pPr>
            <w:r>
              <w:t>188.10</w:t>
            </w:r>
          </w:p>
        </w:tc>
      </w:tr>
      <w:t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87 amended: Gazette 12 Jun 2015 p. 2037; 14 Jun 2016 p. 1996; 23 Jun 2017 p. 3261; 22 Jun 2018 p. 2186; 31 May 2019 p. 1724; SL 2020/74 r. 9; SL 2021/92 r. 10; SL 2022/67 r. 11.]</w:t>
      </w:r>
    </w:p>
    <w:p>
      <w:pPr>
        <w:pStyle w:val="Heading5"/>
      </w:pPr>
      <w:bookmarkStart w:id="141" w:name="_Toc112317022"/>
      <w:r>
        <w:rPr>
          <w:rStyle w:val="CharSectno"/>
        </w:rPr>
        <w:t>88</w:t>
      </w:r>
      <w:r>
        <w:t>.</w:t>
      </w:r>
      <w:r>
        <w:tab/>
        <w:t>Fees for vehicle examination in the Gascoyne region</w:t>
      </w:r>
      <w:bookmarkEnd w:id="141"/>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148.10</w:t>
            </w:r>
          </w:p>
        </w:tc>
        <w:tc>
          <w:tcPr>
            <w:tcW w:w="1701" w:type="dxa"/>
            <w:noWrap/>
            <w:vAlign w:val="bottom"/>
          </w:tcPr>
          <w:p>
            <w:pPr>
              <w:pStyle w:val="TableNAm"/>
              <w:ind w:right="430"/>
              <w:jc w:val="right"/>
            </w:pPr>
            <w:r>
              <w:t>117.85</w:t>
            </w:r>
          </w:p>
        </w:tc>
      </w:tr>
      <w:tr>
        <w:tc>
          <w:tcPr>
            <w:tcW w:w="2409" w:type="dxa"/>
            <w:noWrap/>
          </w:tcPr>
          <w:p>
            <w:pPr>
              <w:pStyle w:val="TableNAm"/>
            </w:pPr>
            <w:r>
              <w:t>Heavy vehicle</w:t>
            </w:r>
          </w:p>
        </w:tc>
        <w:tc>
          <w:tcPr>
            <w:tcW w:w="1701" w:type="dxa"/>
            <w:noWrap/>
            <w:vAlign w:val="bottom"/>
          </w:tcPr>
          <w:p>
            <w:pPr>
              <w:pStyle w:val="TableNAm"/>
              <w:ind w:right="430"/>
              <w:jc w:val="right"/>
            </w:pPr>
            <w:r>
              <w:t>236.65</w:t>
            </w:r>
          </w:p>
        </w:tc>
        <w:tc>
          <w:tcPr>
            <w:tcW w:w="1701" w:type="dxa"/>
            <w:noWrap/>
            <w:vAlign w:val="bottom"/>
          </w:tcPr>
          <w:p>
            <w:pPr>
              <w:pStyle w:val="TableNAm"/>
              <w:ind w:right="430"/>
              <w:jc w:val="right"/>
            </w:pPr>
            <w:r>
              <w:t>138.80</w:t>
            </w:r>
          </w:p>
        </w:tc>
      </w:tr>
      <w:tr>
        <w:tc>
          <w:tcPr>
            <w:tcW w:w="2409" w:type="dxa"/>
            <w:noWrap/>
          </w:tcPr>
          <w:p>
            <w:pPr>
              <w:pStyle w:val="TableNAm"/>
              <w:keepNext/>
            </w:pPr>
            <w:r>
              <w:t>All other vehicles</w:t>
            </w:r>
          </w:p>
        </w:tc>
        <w:tc>
          <w:tcPr>
            <w:tcW w:w="1701" w:type="dxa"/>
            <w:noWrap/>
            <w:vAlign w:val="bottom"/>
          </w:tcPr>
          <w:p>
            <w:pPr>
              <w:pStyle w:val="TableNAm"/>
              <w:keepNext/>
              <w:ind w:right="430"/>
              <w:jc w:val="right"/>
            </w:pPr>
            <w:r>
              <w:t>185.40</w:t>
            </w:r>
          </w:p>
        </w:tc>
        <w:tc>
          <w:tcPr>
            <w:tcW w:w="1701" w:type="dxa"/>
            <w:noWrap/>
            <w:vAlign w:val="bottom"/>
          </w:tcPr>
          <w:p>
            <w:pPr>
              <w:pStyle w:val="TableNAm"/>
              <w:keepNext/>
              <w:ind w:right="430"/>
              <w:jc w:val="right"/>
            </w:pPr>
            <w:r>
              <w:t>122.50</w:t>
            </w:r>
          </w:p>
        </w:tc>
      </w:tr>
    </w:tbl>
    <w:p>
      <w:pPr>
        <w:pStyle w:val="Footnotesection"/>
      </w:pPr>
      <w:r>
        <w:tab/>
        <w:t>[Regulation 88 amended: Gazette 12 Jun 2015 p. 2037; 14 Jun 2016 p. 1996-7; 23 Jun 2017 p. 3262; 22 Jun 2018 p. 2187; 31 May 2019 p. 1724; SL 2020/74 r. 9; SL 2021/92 r. 11; SL 2022/67 r. 12.]</w:t>
      </w:r>
    </w:p>
    <w:p>
      <w:pPr>
        <w:pStyle w:val="Heading5"/>
        <w:keepLines w:val="0"/>
      </w:pPr>
      <w:bookmarkStart w:id="142" w:name="_Toc112317023"/>
      <w:r>
        <w:rPr>
          <w:rStyle w:val="CharSectno"/>
        </w:rPr>
        <w:t>89</w:t>
      </w:r>
      <w:r>
        <w:t>.</w:t>
      </w:r>
      <w:r>
        <w:tab/>
        <w:t>Fees for vehicle examination in the Goldfields</w:t>
      </w:r>
      <w:r>
        <w:noBreakHyphen/>
        <w:t>Esperance region</w:t>
      </w:r>
      <w:bookmarkEnd w:id="142"/>
    </w:p>
    <w:p>
      <w:pPr>
        <w:pStyle w:val="Subsection"/>
        <w:keepNext/>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149.75</w:t>
            </w:r>
          </w:p>
        </w:tc>
        <w:tc>
          <w:tcPr>
            <w:tcW w:w="1701" w:type="dxa"/>
            <w:noWrap/>
            <w:vAlign w:val="bottom"/>
          </w:tcPr>
          <w:p>
            <w:pPr>
              <w:pStyle w:val="TableNAm"/>
              <w:ind w:right="430"/>
              <w:jc w:val="right"/>
            </w:pPr>
            <w:r>
              <w:t>119.05</w:t>
            </w:r>
          </w:p>
        </w:tc>
      </w:tr>
      <w:tr>
        <w:tc>
          <w:tcPr>
            <w:tcW w:w="2409" w:type="dxa"/>
            <w:noWrap/>
          </w:tcPr>
          <w:p>
            <w:pPr>
              <w:pStyle w:val="TableNAm"/>
            </w:pPr>
            <w:r>
              <w:t>Heavy vehicle</w:t>
            </w:r>
          </w:p>
        </w:tc>
        <w:tc>
          <w:tcPr>
            <w:tcW w:w="1701" w:type="dxa"/>
            <w:noWrap/>
            <w:vAlign w:val="bottom"/>
          </w:tcPr>
          <w:p>
            <w:pPr>
              <w:pStyle w:val="TableNAm"/>
              <w:ind w:right="430"/>
              <w:jc w:val="right"/>
            </w:pPr>
            <w:r>
              <w:t>239.50</w:t>
            </w:r>
          </w:p>
        </w:tc>
        <w:tc>
          <w:tcPr>
            <w:tcW w:w="1701" w:type="dxa"/>
            <w:noWrap/>
            <w:vAlign w:val="bottom"/>
          </w:tcPr>
          <w:p>
            <w:pPr>
              <w:pStyle w:val="TableNAm"/>
              <w:ind w:right="430"/>
              <w:jc w:val="right"/>
            </w:pPr>
            <w:r>
              <w:t>140.30</w:t>
            </w:r>
          </w:p>
        </w:tc>
      </w:tr>
      <w:tr>
        <w:tc>
          <w:tcPr>
            <w:tcW w:w="2409" w:type="dxa"/>
            <w:noWrap/>
          </w:tcPr>
          <w:p>
            <w:pPr>
              <w:pStyle w:val="TableNAm"/>
              <w:keepNext/>
            </w:pPr>
            <w:r>
              <w:lastRenderedPageBreak/>
              <w:t>All other vehicles</w:t>
            </w:r>
          </w:p>
        </w:tc>
        <w:tc>
          <w:tcPr>
            <w:tcW w:w="1701" w:type="dxa"/>
            <w:noWrap/>
            <w:vAlign w:val="bottom"/>
          </w:tcPr>
          <w:p>
            <w:pPr>
              <w:pStyle w:val="TableNAm"/>
              <w:keepNext/>
              <w:ind w:right="430"/>
              <w:jc w:val="right"/>
            </w:pPr>
            <w:r>
              <w:t>187.55</w:t>
            </w:r>
          </w:p>
        </w:tc>
        <w:tc>
          <w:tcPr>
            <w:tcW w:w="1701" w:type="dxa"/>
            <w:noWrap/>
            <w:vAlign w:val="bottom"/>
          </w:tcPr>
          <w:p>
            <w:pPr>
              <w:pStyle w:val="TableNAm"/>
              <w:keepNext/>
              <w:ind w:right="430"/>
              <w:jc w:val="right"/>
            </w:pPr>
            <w:r>
              <w:t>123.75</w:t>
            </w:r>
          </w:p>
        </w:tc>
      </w:tr>
    </w:tbl>
    <w:p>
      <w:pPr>
        <w:pStyle w:val="Footnotesection"/>
      </w:pPr>
      <w:r>
        <w:tab/>
        <w:t>[Regulation 89 amended: Gazette 12 Jun 2015 p. 2037</w:t>
      </w:r>
      <w:r>
        <w:noBreakHyphen/>
        <w:t>8; 14 Jun 2016 p. 1997; 23 Jun 2017 p. 3262</w:t>
      </w:r>
      <w:r>
        <w:noBreakHyphen/>
        <w:t>3; 22 Jun 2018 p. 2187; 31 May 2019 p. 1724; SL 2020/74 r. 9; SL 2021/92 r. 12; SL 2022/67 r. 13.]</w:t>
      </w:r>
    </w:p>
    <w:p>
      <w:pPr>
        <w:pStyle w:val="Heading5"/>
      </w:pPr>
      <w:bookmarkStart w:id="143" w:name="_Toc112317024"/>
      <w:r>
        <w:rPr>
          <w:rStyle w:val="CharSectno"/>
        </w:rPr>
        <w:t>90</w:t>
      </w:r>
      <w:r>
        <w:t>.</w:t>
      </w:r>
      <w:r>
        <w:tab/>
        <w:t>Fees for vehicle examination in the Great Southern region</w:t>
      </w:r>
      <w:bookmarkEnd w:id="143"/>
    </w:p>
    <w:p>
      <w:pPr>
        <w:pStyle w:val="Subsection"/>
        <w:keepNext/>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146.40</w:t>
            </w:r>
          </w:p>
        </w:tc>
        <w:tc>
          <w:tcPr>
            <w:tcW w:w="1701" w:type="dxa"/>
            <w:noWrap/>
            <w:vAlign w:val="bottom"/>
          </w:tcPr>
          <w:p>
            <w:pPr>
              <w:pStyle w:val="TableNAm"/>
              <w:ind w:right="430"/>
              <w:jc w:val="right"/>
            </w:pPr>
            <w:r>
              <w:t>116.55</w:t>
            </w:r>
          </w:p>
        </w:tc>
      </w:tr>
      <w:tr>
        <w:tc>
          <w:tcPr>
            <w:tcW w:w="2409" w:type="dxa"/>
            <w:noWrap/>
          </w:tcPr>
          <w:p>
            <w:pPr>
              <w:pStyle w:val="TableNAm"/>
            </w:pPr>
            <w:r>
              <w:t>Heavy vehicle</w:t>
            </w:r>
          </w:p>
        </w:tc>
        <w:tc>
          <w:tcPr>
            <w:tcW w:w="1701" w:type="dxa"/>
            <w:noWrap/>
            <w:vAlign w:val="bottom"/>
          </w:tcPr>
          <w:p>
            <w:pPr>
              <w:pStyle w:val="TableNAm"/>
              <w:ind w:right="430"/>
              <w:jc w:val="right"/>
            </w:pPr>
            <w:r>
              <w:t>233.60</w:t>
            </w:r>
          </w:p>
        </w:tc>
        <w:tc>
          <w:tcPr>
            <w:tcW w:w="1701" w:type="dxa"/>
            <w:noWrap/>
            <w:vAlign w:val="bottom"/>
          </w:tcPr>
          <w:p>
            <w:pPr>
              <w:pStyle w:val="TableNAm"/>
              <w:ind w:right="430"/>
              <w:jc w:val="right"/>
            </w:pPr>
            <w:r>
              <w:t>137.20</w:t>
            </w:r>
          </w:p>
        </w:tc>
      </w:tr>
      <w:tr>
        <w:tc>
          <w:tcPr>
            <w:tcW w:w="2409" w:type="dxa"/>
            <w:noWrap/>
          </w:tcPr>
          <w:p>
            <w:pPr>
              <w:pStyle w:val="TableNAm"/>
              <w:keepNext/>
            </w:pPr>
            <w:r>
              <w:t>All other vehicles</w:t>
            </w:r>
          </w:p>
        </w:tc>
        <w:tc>
          <w:tcPr>
            <w:tcW w:w="1701" w:type="dxa"/>
            <w:noWrap/>
            <w:vAlign w:val="bottom"/>
          </w:tcPr>
          <w:p>
            <w:pPr>
              <w:pStyle w:val="TableNAm"/>
              <w:keepNext/>
              <w:ind w:right="430"/>
              <w:jc w:val="right"/>
            </w:pPr>
            <w:r>
              <w:t>183.10</w:t>
            </w:r>
          </w:p>
        </w:tc>
        <w:tc>
          <w:tcPr>
            <w:tcW w:w="1701" w:type="dxa"/>
            <w:noWrap/>
            <w:vAlign w:val="bottom"/>
          </w:tcPr>
          <w:p>
            <w:pPr>
              <w:pStyle w:val="TableNAm"/>
              <w:keepNext/>
              <w:ind w:right="430"/>
              <w:jc w:val="right"/>
            </w:pPr>
            <w:r>
              <w:t>121.15</w:t>
            </w:r>
          </w:p>
        </w:tc>
      </w:tr>
    </w:tbl>
    <w:p>
      <w:pPr>
        <w:pStyle w:val="Footnotesection"/>
      </w:pPr>
      <w:r>
        <w:tab/>
        <w:t>[Regulation 90 inserted: Gazette 22 Jun 2018 p. 2187</w:t>
      </w:r>
      <w:r>
        <w:noBreakHyphen/>
        <w:t>8; amended: Gazette 31 May 2019 p. 1725; SL 2020/74 r. 9; SL 2021/92 r. 13; SL 2022/67 r. 14.]</w:t>
      </w:r>
    </w:p>
    <w:p>
      <w:pPr>
        <w:pStyle w:val="Heading5"/>
      </w:pPr>
      <w:bookmarkStart w:id="144" w:name="_Toc112317025"/>
      <w:r>
        <w:rPr>
          <w:rStyle w:val="CharSectno"/>
        </w:rPr>
        <w:lastRenderedPageBreak/>
        <w:t>91</w:t>
      </w:r>
      <w:r>
        <w:t>.</w:t>
      </w:r>
      <w:r>
        <w:tab/>
        <w:t>Fees for vehicle examination in the Kimberley region</w:t>
      </w:r>
      <w:bookmarkEnd w:id="144"/>
    </w:p>
    <w:p>
      <w:pPr>
        <w:pStyle w:val="Subsection"/>
        <w:keepNext/>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158.00</w:t>
            </w:r>
          </w:p>
        </w:tc>
        <w:tc>
          <w:tcPr>
            <w:tcW w:w="1701" w:type="dxa"/>
            <w:noWrap/>
            <w:vAlign w:val="bottom"/>
          </w:tcPr>
          <w:p>
            <w:pPr>
              <w:pStyle w:val="TableNAm"/>
              <w:ind w:right="430"/>
              <w:jc w:val="right"/>
            </w:pPr>
            <w:r>
              <w:t>125.20</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253.90</w:t>
            </w:r>
          </w:p>
        </w:tc>
        <w:tc>
          <w:tcPr>
            <w:tcW w:w="1701" w:type="dxa"/>
            <w:noWrap/>
            <w:vAlign w:val="bottom"/>
          </w:tcPr>
          <w:p>
            <w:pPr>
              <w:pStyle w:val="TableNAm"/>
              <w:ind w:right="430"/>
              <w:jc w:val="right"/>
            </w:pPr>
            <w:r>
              <w:t>147.90</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198.40</w:t>
            </w:r>
          </w:p>
        </w:tc>
        <w:tc>
          <w:tcPr>
            <w:tcW w:w="1701" w:type="dxa"/>
            <w:noWrap/>
            <w:vAlign w:val="bottom"/>
          </w:tcPr>
          <w:p>
            <w:pPr>
              <w:pStyle w:val="TableNAm"/>
              <w:ind w:right="430"/>
              <w:jc w:val="right"/>
            </w:pPr>
            <w:r>
              <w:t>130.25</w:t>
            </w:r>
          </w:p>
        </w:tc>
      </w:tr>
    </w:tbl>
    <w:p>
      <w:pPr>
        <w:pStyle w:val="Footnotesection"/>
      </w:pPr>
      <w:r>
        <w:tab/>
        <w:t>[Regulation 91 amended: Gazette 12 Jun 2015 p. 2038; 14 Jun 2016 p. 1997; 23 Jun 2017 p. 3264; 22 Jun 2018 p. 2188; 31 May 2019 p. 1725; SL 2020/74 r. 9; SL 2021/92 r. 14; SL 2022/67 r. 15.]</w:t>
      </w:r>
    </w:p>
    <w:p>
      <w:pPr>
        <w:pStyle w:val="Heading5"/>
      </w:pPr>
      <w:bookmarkStart w:id="145" w:name="_Toc112317026"/>
      <w:r>
        <w:rPr>
          <w:rStyle w:val="CharSectno"/>
        </w:rPr>
        <w:t>92</w:t>
      </w:r>
      <w:r>
        <w:t>.</w:t>
      </w:r>
      <w:r>
        <w:tab/>
        <w:t>Fees for vehicle examination in the Mid West region</w:t>
      </w:r>
      <w:bookmarkEnd w:id="145"/>
    </w:p>
    <w:p>
      <w:pPr>
        <w:pStyle w:val="Subsection"/>
        <w:keepNext/>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146.25</w:t>
            </w:r>
          </w:p>
        </w:tc>
        <w:tc>
          <w:tcPr>
            <w:tcW w:w="1701" w:type="dxa"/>
            <w:noWrap/>
            <w:vAlign w:val="bottom"/>
          </w:tcPr>
          <w:p>
            <w:pPr>
              <w:pStyle w:val="TableNAm"/>
              <w:ind w:right="430"/>
              <w:jc w:val="right"/>
            </w:pPr>
            <w:r>
              <w:t>116.45</w:t>
            </w:r>
          </w:p>
        </w:tc>
      </w:tr>
      <w:tr>
        <w:tc>
          <w:tcPr>
            <w:tcW w:w="2409" w:type="dxa"/>
            <w:noWrap/>
          </w:tcPr>
          <w:p>
            <w:pPr>
              <w:pStyle w:val="TableNAm"/>
            </w:pPr>
            <w:r>
              <w:lastRenderedPageBreak/>
              <w:t>Heavy vehicle</w:t>
            </w:r>
          </w:p>
        </w:tc>
        <w:tc>
          <w:tcPr>
            <w:tcW w:w="1701" w:type="dxa"/>
            <w:noWrap/>
            <w:vAlign w:val="bottom"/>
          </w:tcPr>
          <w:p>
            <w:pPr>
              <w:pStyle w:val="TableNAm"/>
              <w:ind w:right="430"/>
              <w:jc w:val="right"/>
            </w:pPr>
            <w:r>
              <w:t>233.40</w:t>
            </w:r>
          </w:p>
        </w:tc>
        <w:tc>
          <w:tcPr>
            <w:tcW w:w="1701" w:type="dxa"/>
            <w:noWrap/>
            <w:vAlign w:val="bottom"/>
          </w:tcPr>
          <w:p>
            <w:pPr>
              <w:pStyle w:val="TableNAm"/>
              <w:ind w:right="430"/>
              <w:jc w:val="right"/>
            </w:pPr>
            <w:r>
              <w:t>137.10</w:t>
            </w:r>
          </w:p>
        </w:tc>
      </w:tr>
      <w:tr>
        <w:tc>
          <w:tcPr>
            <w:tcW w:w="2409" w:type="dxa"/>
            <w:noWrap/>
          </w:tcPr>
          <w:p>
            <w:pPr>
              <w:pStyle w:val="TableNAm"/>
            </w:pPr>
            <w:r>
              <w:t>All other vehicles</w:t>
            </w:r>
          </w:p>
        </w:tc>
        <w:tc>
          <w:tcPr>
            <w:tcW w:w="1701" w:type="dxa"/>
            <w:noWrap/>
            <w:vAlign w:val="bottom"/>
          </w:tcPr>
          <w:p>
            <w:pPr>
              <w:pStyle w:val="TableNAm"/>
              <w:ind w:right="430"/>
              <w:jc w:val="right"/>
            </w:pPr>
            <w:r>
              <w:t>182.95</w:t>
            </w:r>
          </w:p>
        </w:tc>
        <w:tc>
          <w:tcPr>
            <w:tcW w:w="1701" w:type="dxa"/>
            <w:noWrap/>
            <w:vAlign w:val="bottom"/>
          </w:tcPr>
          <w:p>
            <w:pPr>
              <w:pStyle w:val="TableNAm"/>
              <w:ind w:right="430"/>
              <w:jc w:val="right"/>
            </w:pPr>
            <w:r>
              <w:t>121.05</w:t>
            </w:r>
          </w:p>
        </w:tc>
      </w:tr>
    </w:tbl>
    <w:p>
      <w:pPr>
        <w:pStyle w:val="Footnotesection"/>
      </w:pPr>
      <w:r>
        <w:tab/>
        <w:t>[Regulation 92 amended: Gazette 12 Jun 2015 p. 2038; 14 Jun 2016 p. 1998; 23 Jun 2017 p. 3264</w:t>
      </w:r>
      <w:r>
        <w:noBreakHyphen/>
        <w:t>5; 22 Jun 2018 p. 2188</w:t>
      </w:r>
      <w:r>
        <w:noBreakHyphen/>
        <w:t>9; 31 May 2019 p. 1725; SL 2020/74 r. 9; SL 2021/92 r. 15; SL 2022/67 r. 16.]</w:t>
      </w:r>
    </w:p>
    <w:p>
      <w:pPr>
        <w:pStyle w:val="Heading5"/>
      </w:pPr>
      <w:bookmarkStart w:id="146" w:name="_Toc112317027"/>
      <w:r>
        <w:rPr>
          <w:rStyle w:val="CharSectno"/>
        </w:rPr>
        <w:t>92A</w:t>
      </w:r>
      <w:r>
        <w:t>.</w:t>
      </w:r>
      <w:r>
        <w:tab/>
        <w:t>Fees for vehicle examination in the Peel region</w:t>
      </w:r>
      <w:bookmarkEnd w:id="146"/>
    </w:p>
    <w:p>
      <w:pPr>
        <w:pStyle w:val="Subsection"/>
        <w:keepNext/>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92A inserted: Gazette 22 Jun 2018 p. 2189; amended: Gazette 31 May 2019 p. 1725; SL 2020/74 r. 9; SL 2021/92 r. 16; SL 2022/67 r. 17.]</w:t>
      </w:r>
    </w:p>
    <w:p>
      <w:pPr>
        <w:pStyle w:val="Heading5"/>
      </w:pPr>
      <w:bookmarkStart w:id="147" w:name="_Toc112317028"/>
      <w:r>
        <w:rPr>
          <w:rStyle w:val="CharSectno"/>
        </w:rPr>
        <w:lastRenderedPageBreak/>
        <w:t>93</w:t>
      </w:r>
      <w:r>
        <w:t>.</w:t>
      </w:r>
      <w:r>
        <w:tab/>
        <w:t>Fees for vehicle examination in the Pilbara region</w:t>
      </w:r>
      <w:bookmarkEnd w:id="147"/>
    </w:p>
    <w:p>
      <w:pPr>
        <w:pStyle w:val="Subsection"/>
        <w:keepNext/>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162.75</w:t>
            </w:r>
          </w:p>
        </w:tc>
        <w:tc>
          <w:tcPr>
            <w:tcW w:w="1701" w:type="dxa"/>
            <w:noWrap/>
            <w:vAlign w:val="bottom"/>
          </w:tcPr>
          <w:p>
            <w:pPr>
              <w:pStyle w:val="TableNAm"/>
              <w:ind w:right="430"/>
              <w:jc w:val="right"/>
            </w:pPr>
            <w:r>
              <w:t>128.75</w:t>
            </w:r>
          </w:p>
        </w:tc>
      </w:tr>
      <w:tr>
        <w:tc>
          <w:tcPr>
            <w:tcW w:w="2409" w:type="dxa"/>
            <w:noWrap/>
          </w:tcPr>
          <w:p>
            <w:pPr>
              <w:pStyle w:val="TableNAm"/>
            </w:pPr>
            <w:r>
              <w:t>Heavy vehicle</w:t>
            </w:r>
          </w:p>
        </w:tc>
        <w:tc>
          <w:tcPr>
            <w:tcW w:w="1701" w:type="dxa"/>
            <w:noWrap/>
            <w:vAlign w:val="bottom"/>
          </w:tcPr>
          <w:p>
            <w:pPr>
              <w:pStyle w:val="TableNAm"/>
              <w:ind w:right="430"/>
              <w:jc w:val="right"/>
            </w:pPr>
            <w:r>
              <w:t>262.20</w:t>
            </w:r>
          </w:p>
        </w:tc>
        <w:tc>
          <w:tcPr>
            <w:tcW w:w="1701" w:type="dxa"/>
            <w:noWrap/>
            <w:vAlign w:val="bottom"/>
          </w:tcPr>
          <w:p>
            <w:pPr>
              <w:pStyle w:val="TableNAm"/>
              <w:ind w:right="430"/>
              <w:jc w:val="right"/>
            </w:pPr>
            <w:r>
              <w:t>152.30</w:t>
            </w:r>
          </w:p>
        </w:tc>
      </w:tr>
      <w:tr>
        <w:tc>
          <w:tcPr>
            <w:tcW w:w="2409" w:type="dxa"/>
            <w:noWrap/>
          </w:tcPr>
          <w:p>
            <w:pPr>
              <w:pStyle w:val="TableNAm"/>
            </w:pPr>
            <w:r>
              <w:t>All other vehicles</w:t>
            </w:r>
          </w:p>
        </w:tc>
        <w:tc>
          <w:tcPr>
            <w:tcW w:w="1701" w:type="dxa"/>
            <w:noWrap/>
            <w:vAlign w:val="bottom"/>
          </w:tcPr>
          <w:p>
            <w:pPr>
              <w:pStyle w:val="TableNAm"/>
              <w:ind w:right="430"/>
              <w:jc w:val="right"/>
            </w:pPr>
            <w:r>
              <w:t>204.65</w:t>
            </w:r>
          </w:p>
        </w:tc>
        <w:tc>
          <w:tcPr>
            <w:tcW w:w="1701" w:type="dxa"/>
            <w:noWrap/>
            <w:vAlign w:val="bottom"/>
          </w:tcPr>
          <w:p>
            <w:pPr>
              <w:pStyle w:val="TableNAm"/>
              <w:ind w:right="430"/>
              <w:jc w:val="right"/>
            </w:pPr>
            <w:r>
              <w:t>133.95</w:t>
            </w:r>
          </w:p>
        </w:tc>
      </w:tr>
    </w:tbl>
    <w:p>
      <w:pPr>
        <w:pStyle w:val="Footnotesection"/>
      </w:pPr>
      <w:r>
        <w:tab/>
        <w:t>[Regulation 93 amended: Gazette 12 Jun 2015 p. 2038; 14 Jun 2016 p. 1998; 23 Jun 2017 p. 3265; 22 Jun 2018 p. 2189</w:t>
      </w:r>
      <w:r>
        <w:noBreakHyphen/>
        <w:t>90; 31 May 2019 p. 1725; SL 2020/74 r. 9; SL 2021/92 r. 17; SL 2022/67 r. 18.]</w:t>
      </w:r>
    </w:p>
    <w:p>
      <w:pPr>
        <w:pStyle w:val="Heading5"/>
      </w:pPr>
      <w:bookmarkStart w:id="148" w:name="_Toc112317029"/>
      <w:r>
        <w:rPr>
          <w:rStyle w:val="CharSectno"/>
        </w:rPr>
        <w:t>93A</w:t>
      </w:r>
      <w:r>
        <w:t>.</w:t>
      </w:r>
      <w:r>
        <w:tab/>
        <w:t>Fees for vehicle examination in the South West region</w:t>
      </w:r>
      <w:bookmarkEnd w:id="148"/>
    </w:p>
    <w:p>
      <w:pPr>
        <w:pStyle w:val="Subsection"/>
        <w:keepNext/>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c>
          <w:tcPr>
            <w:tcW w:w="2409" w:type="dxa"/>
            <w:noWrap/>
          </w:tcPr>
          <w:p>
            <w:pPr>
              <w:pStyle w:val="TableNAm"/>
            </w:pPr>
            <w:r>
              <w:lastRenderedPageBreak/>
              <w:t>Heavy vehicle</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93A amended: Gazette 14 Jun 2016 p. 1994-5; 23 Jun 2017 p. 3266; 22 Jun 2018 p. 2190; 31 May 2019 p. 1725; SL 2020/74 r. 9; SL 2021/92 r. 18; SL 2022/67 r. 19.]</w:t>
      </w:r>
    </w:p>
    <w:p>
      <w:pPr>
        <w:pStyle w:val="Heading5"/>
      </w:pPr>
      <w:bookmarkStart w:id="149" w:name="_Toc112317030"/>
      <w:r>
        <w:rPr>
          <w:rStyle w:val="CharSectno"/>
        </w:rPr>
        <w:t>94</w:t>
      </w:r>
      <w:r>
        <w:t>.</w:t>
      </w:r>
      <w:r>
        <w:tab/>
        <w:t>Fees for vehicle examination in the Wheatbelt region</w:t>
      </w:r>
      <w:bookmarkEnd w:id="149"/>
    </w:p>
    <w:p>
      <w:pPr>
        <w:pStyle w:val="Subsection"/>
        <w:keepNext/>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146.05</w:t>
            </w:r>
          </w:p>
        </w:tc>
        <w:tc>
          <w:tcPr>
            <w:tcW w:w="1701" w:type="dxa"/>
            <w:noWrap/>
            <w:vAlign w:val="bottom"/>
          </w:tcPr>
          <w:p>
            <w:pPr>
              <w:pStyle w:val="TableNAm"/>
              <w:ind w:right="430"/>
              <w:jc w:val="right"/>
            </w:pPr>
            <w:r>
              <w:t>116.30</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233.00</w:t>
            </w:r>
          </w:p>
        </w:tc>
        <w:tc>
          <w:tcPr>
            <w:tcW w:w="1701" w:type="dxa"/>
            <w:noWrap/>
            <w:vAlign w:val="bottom"/>
          </w:tcPr>
          <w:p>
            <w:pPr>
              <w:pStyle w:val="TableNAm"/>
              <w:ind w:right="430"/>
              <w:jc w:val="right"/>
            </w:pPr>
            <w:r>
              <w:t>136.90</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182.65</w:t>
            </w:r>
          </w:p>
        </w:tc>
        <w:tc>
          <w:tcPr>
            <w:tcW w:w="1701" w:type="dxa"/>
            <w:noWrap/>
            <w:vAlign w:val="bottom"/>
          </w:tcPr>
          <w:p>
            <w:pPr>
              <w:pStyle w:val="TableNAm"/>
              <w:ind w:right="430"/>
              <w:jc w:val="right"/>
            </w:pPr>
            <w:r>
              <w:t>120.85</w:t>
            </w:r>
          </w:p>
        </w:tc>
      </w:tr>
    </w:tbl>
    <w:p>
      <w:pPr>
        <w:pStyle w:val="Footnotesection"/>
      </w:pPr>
      <w:r>
        <w:tab/>
        <w:t>[Regulation 94 amended: Gazette 12 Jun 2015 p. 2038</w:t>
      </w:r>
      <w:r>
        <w:noBreakHyphen/>
        <w:t>9; 14 Jun 2016 p. 1998; 23 Jun 2017 p. 3266</w:t>
      </w:r>
      <w:r>
        <w:noBreakHyphen/>
        <w:t>7; 22 Jun 2018 p. 2190; 31 May 2019 p. 1725; SL 2020/74 r. 9; SL 2021/92 r. 19; SL 2022/67 r. 20.]</w:t>
      </w:r>
    </w:p>
    <w:p>
      <w:pPr>
        <w:pStyle w:val="Heading5"/>
      </w:pPr>
      <w:bookmarkStart w:id="150" w:name="_Toc112317031"/>
      <w:r>
        <w:rPr>
          <w:rStyle w:val="CharSectno"/>
        </w:rPr>
        <w:lastRenderedPageBreak/>
        <w:t>95</w:t>
      </w:r>
      <w:r>
        <w:t>.</w:t>
      </w:r>
      <w:r>
        <w:tab/>
        <w:t>Fees for examination for verification of identity</w:t>
      </w:r>
      <w:bookmarkEnd w:id="150"/>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129.50</w:t>
            </w:r>
          </w:p>
        </w:tc>
      </w:tr>
      <w:tr>
        <w:tc>
          <w:tcPr>
            <w:tcW w:w="4394" w:type="dxa"/>
          </w:tcPr>
          <w:p>
            <w:pPr>
              <w:pStyle w:val="TableNAm"/>
            </w:pPr>
            <w:r>
              <w:t>Gascoyne region</w:t>
            </w:r>
          </w:p>
        </w:tc>
        <w:tc>
          <w:tcPr>
            <w:tcW w:w="1417" w:type="dxa"/>
          </w:tcPr>
          <w:p>
            <w:pPr>
              <w:pStyle w:val="TableNAm"/>
            </w:pPr>
            <w:r>
              <w:t>131.80</w:t>
            </w:r>
          </w:p>
        </w:tc>
      </w:tr>
      <w:tr>
        <w:tc>
          <w:tcPr>
            <w:tcW w:w="4394" w:type="dxa"/>
          </w:tcPr>
          <w:p>
            <w:pPr>
              <w:pStyle w:val="TableNAm"/>
            </w:pPr>
            <w:r>
              <w:t>Goldfields</w:t>
            </w:r>
            <w:r>
              <w:noBreakHyphen/>
              <w:t>Esperance region</w:t>
            </w:r>
          </w:p>
        </w:tc>
        <w:tc>
          <w:tcPr>
            <w:tcW w:w="1417" w:type="dxa"/>
          </w:tcPr>
          <w:p>
            <w:pPr>
              <w:pStyle w:val="TableNAm"/>
            </w:pPr>
            <w:r>
              <w:t>133.20</w:t>
            </w:r>
          </w:p>
        </w:tc>
      </w:tr>
      <w:tr>
        <w:tc>
          <w:tcPr>
            <w:tcW w:w="4394" w:type="dxa"/>
          </w:tcPr>
          <w:p>
            <w:pPr>
              <w:pStyle w:val="TableNAm"/>
            </w:pPr>
            <w:r>
              <w:t>Great Southern region</w:t>
            </w:r>
          </w:p>
        </w:tc>
        <w:tc>
          <w:tcPr>
            <w:tcW w:w="1417" w:type="dxa"/>
          </w:tcPr>
          <w:p>
            <w:pPr>
              <w:pStyle w:val="TableNAm"/>
            </w:pPr>
            <w:r>
              <w:t>130.30</w:t>
            </w:r>
          </w:p>
        </w:tc>
      </w:tr>
      <w:tr>
        <w:tc>
          <w:tcPr>
            <w:tcW w:w="4394" w:type="dxa"/>
          </w:tcPr>
          <w:p>
            <w:pPr>
              <w:pStyle w:val="TableNAm"/>
            </w:pPr>
            <w:r>
              <w:t>Kimberley region</w:t>
            </w:r>
          </w:p>
        </w:tc>
        <w:tc>
          <w:tcPr>
            <w:tcW w:w="1417" w:type="dxa"/>
          </w:tcPr>
          <w:p>
            <w:pPr>
              <w:pStyle w:val="TableNAm"/>
            </w:pPr>
            <w:r>
              <w:t>140.30</w:t>
            </w:r>
          </w:p>
        </w:tc>
      </w:tr>
      <w:tr>
        <w:tc>
          <w:tcPr>
            <w:tcW w:w="4394" w:type="dxa"/>
          </w:tcPr>
          <w:p>
            <w:pPr>
              <w:pStyle w:val="TableNAm"/>
            </w:pPr>
            <w:r>
              <w:t>Mid West region</w:t>
            </w:r>
          </w:p>
        </w:tc>
        <w:tc>
          <w:tcPr>
            <w:tcW w:w="1417" w:type="dxa"/>
          </w:tcPr>
          <w:p>
            <w:pPr>
              <w:pStyle w:val="TableNAm"/>
            </w:pPr>
            <w:r>
              <w:t>130.20</w:t>
            </w:r>
          </w:p>
        </w:tc>
      </w:tr>
      <w:tr>
        <w:tc>
          <w:tcPr>
            <w:tcW w:w="4394" w:type="dxa"/>
          </w:tcPr>
          <w:p>
            <w:pPr>
              <w:pStyle w:val="TableNAm"/>
            </w:pPr>
            <w:r>
              <w:t>Peel region</w:t>
            </w:r>
          </w:p>
        </w:tc>
        <w:tc>
          <w:tcPr>
            <w:tcW w:w="1417" w:type="dxa"/>
          </w:tcPr>
          <w:p>
            <w:pPr>
              <w:pStyle w:val="TableNAm"/>
            </w:pPr>
            <w:r>
              <w:t>129.50</w:t>
            </w:r>
          </w:p>
        </w:tc>
      </w:tr>
      <w:tr>
        <w:tc>
          <w:tcPr>
            <w:tcW w:w="4394" w:type="dxa"/>
          </w:tcPr>
          <w:p>
            <w:pPr>
              <w:pStyle w:val="TableNAm"/>
            </w:pPr>
            <w:r>
              <w:t>Pilbara region</w:t>
            </w:r>
          </w:p>
        </w:tc>
        <w:tc>
          <w:tcPr>
            <w:tcW w:w="1417" w:type="dxa"/>
          </w:tcPr>
          <w:p>
            <w:pPr>
              <w:pStyle w:val="TableNAm"/>
            </w:pPr>
            <w:r>
              <w:t>144.40</w:t>
            </w:r>
          </w:p>
        </w:tc>
      </w:tr>
      <w:tr>
        <w:tc>
          <w:tcPr>
            <w:tcW w:w="4394" w:type="dxa"/>
          </w:tcPr>
          <w:p>
            <w:pPr>
              <w:pStyle w:val="TableNAm"/>
            </w:pPr>
            <w:r>
              <w:t>South West region</w:t>
            </w:r>
          </w:p>
        </w:tc>
        <w:tc>
          <w:tcPr>
            <w:tcW w:w="1417" w:type="dxa"/>
          </w:tcPr>
          <w:p>
            <w:pPr>
              <w:pStyle w:val="TableNAm"/>
            </w:pPr>
            <w:r>
              <w:t>129.50</w:t>
            </w:r>
          </w:p>
        </w:tc>
      </w:tr>
      <w:tr>
        <w:tc>
          <w:tcPr>
            <w:tcW w:w="4394" w:type="dxa"/>
          </w:tcPr>
          <w:p>
            <w:pPr>
              <w:pStyle w:val="TableNAm"/>
            </w:pPr>
            <w:r>
              <w:t>Wheatbelt region</w:t>
            </w:r>
          </w:p>
        </w:tc>
        <w:tc>
          <w:tcPr>
            <w:tcW w:w="1417" w:type="dxa"/>
          </w:tcPr>
          <w:p>
            <w:pPr>
              <w:pStyle w:val="TableNAm"/>
            </w:pPr>
            <w:r>
              <w:t>130.00</w:t>
            </w:r>
          </w:p>
        </w:tc>
      </w:tr>
    </w:tbl>
    <w:p>
      <w:pPr>
        <w:pStyle w:val="Subsection"/>
        <w:keepNext/>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keepLines w:val="0"/>
        <w:ind w:left="890" w:hanging="890"/>
      </w:pPr>
      <w:r>
        <w:tab/>
        <w:t xml:space="preserve">[Regulation 95 amended: Gazette 12 Jun 2015 p. 2039; 14 Jun 2016 p. 1995-6; 23 Jun 2017 p. 3267; 22 Jun 2018 </w:t>
      </w:r>
      <w:r>
        <w:lastRenderedPageBreak/>
        <w:t>p. 2191; 31 May 2019 p. 1726; SL 2020/74 r. 9; SL 2021/92 r. 20; SL 2022/67 r. 21.]</w:t>
      </w:r>
    </w:p>
    <w:p>
      <w:pPr>
        <w:pStyle w:val="Heading5"/>
      </w:pPr>
      <w:bookmarkStart w:id="151" w:name="_Toc112317032"/>
      <w:r>
        <w:rPr>
          <w:rStyle w:val="CharSectno"/>
        </w:rPr>
        <w:t>96</w:t>
      </w:r>
      <w:r>
        <w:t>.</w:t>
      </w:r>
      <w:r>
        <w:tab/>
        <w:t>Exemption for person with disability</w:t>
      </w:r>
      <w:bookmarkEnd w:id="151"/>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52" w:name="_Toc112235433"/>
      <w:bookmarkStart w:id="153" w:name="_Toc112237215"/>
      <w:bookmarkStart w:id="154" w:name="_Toc112317033"/>
      <w:r>
        <w:t>Subdivision 2 — Other fees relating to vehicle licensing</w:t>
      </w:r>
      <w:bookmarkEnd w:id="152"/>
      <w:bookmarkEnd w:id="153"/>
      <w:bookmarkEnd w:id="154"/>
    </w:p>
    <w:p>
      <w:pPr>
        <w:pStyle w:val="Ednotesection"/>
      </w:pPr>
      <w:r>
        <w:t>[</w:t>
      </w:r>
      <w:r>
        <w:rPr>
          <w:b/>
        </w:rPr>
        <w:t>97</w:t>
      </w:r>
      <w:r>
        <w:t>.</w:t>
      </w:r>
      <w:r>
        <w:tab/>
        <w:t>Deleted: Gazette 22 Jun 2018 p. 2191.]</w:t>
      </w:r>
    </w:p>
    <w:p>
      <w:pPr>
        <w:pStyle w:val="Heading5"/>
      </w:pPr>
      <w:bookmarkStart w:id="155" w:name="_Toc112317034"/>
      <w:r>
        <w:rPr>
          <w:rStyle w:val="CharSectno"/>
        </w:rPr>
        <w:t>98</w:t>
      </w:r>
      <w:r>
        <w:t>.</w:t>
      </w:r>
      <w:r>
        <w:tab/>
        <w:t>Fee payable by motor vehicle dealer or vehicle manufacturer licensing vehicle</w:t>
      </w:r>
      <w:bookmarkEnd w:id="155"/>
    </w:p>
    <w:p>
      <w:pPr>
        <w:pStyle w:val="Subsection"/>
        <w:keepNext/>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keepNext/>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 SL 2021/92 r. 20.]</w:t>
      </w:r>
    </w:p>
    <w:p>
      <w:pPr>
        <w:pStyle w:val="Heading5"/>
      </w:pPr>
      <w:bookmarkStart w:id="156" w:name="_Toc112317035"/>
      <w:r>
        <w:rPr>
          <w:rStyle w:val="CharSectno"/>
        </w:rPr>
        <w:lastRenderedPageBreak/>
        <w:t>99</w:t>
      </w:r>
      <w:r>
        <w:t>.</w:t>
      </w:r>
      <w:r>
        <w:tab/>
        <w:t>Recording fees</w:t>
      </w:r>
      <w:bookmarkEnd w:id="156"/>
    </w:p>
    <w:p>
      <w:pPr>
        <w:pStyle w:val="Subsection"/>
      </w:pPr>
      <w:r>
        <w:tab/>
        <w:t>(1)</w:t>
      </w:r>
      <w:r>
        <w:tab/>
        <w:t>Except as provided in subregulation (1A), a recording fee of $10.30 is payable in respect of the grant or renewal of a vehicle licence for a vehicle.</w:t>
      </w:r>
    </w:p>
    <w:p>
      <w:pPr>
        <w:pStyle w:val="Subsection"/>
        <w:keepNext/>
      </w:pPr>
      <w:r>
        <w:tab/>
        <w:t>(1A)</w:t>
      </w:r>
      <w:r>
        <w:tab/>
        <w:t>A recording fee of $2.00 is payable in respect of the renewal of a vehicle licence where the amount referred to in section 5(1)(b)(i) is paid by direct debit from a bank account.</w:t>
      </w:r>
    </w:p>
    <w:p>
      <w:pPr>
        <w:pStyle w:val="Ednotesubsection"/>
        <w:rPr>
          <w:rStyle w:val="DraftersNotes"/>
          <w:b w:val="0"/>
          <w:i/>
          <w:sz w:val="24"/>
        </w:rPr>
      </w:pPr>
      <w:r>
        <w:tab/>
        <w:t>[(2)</w:t>
      </w:r>
      <w:r>
        <w:tab/>
        <w:t>deleted]</w:t>
      </w:r>
    </w:p>
    <w:p>
      <w:pPr>
        <w:pStyle w:val="Footnotesection"/>
      </w:pPr>
      <w:r>
        <w:tab/>
        <w:t>[Regulation 99 amended: Gazette 12 Jun 2015 p. 2039; 14 Jun 2016 p. 1999; 22 Jun 2018 p. 2191; 17 May 2019 p. 1440; SL 2022/149 r. 10.]</w:t>
      </w:r>
    </w:p>
    <w:p>
      <w:pPr>
        <w:pStyle w:val="Heading5"/>
      </w:pPr>
      <w:bookmarkStart w:id="157" w:name="_Toc112317036"/>
      <w:r>
        <w:rPr>
          <w:rStyle w:val="CharSectno"/>
        </w:rPr>
        <w:t>100</w:t>
      </w:r>
      <w:r>
        <w:t>.</w:t>
      </w:r>
      <w:r>
        <w:tab/>
        <w:t>Transfer fee</w:t>
      </w:r>
      <w:bookmarkEnd w:id="157"/>
    </w:p>
    <w:p>
      <w:pPr>
        <w:pStyle w:val="Subsection"/>
        <w:keepNext/>
      </w:pPr>
      <w:r>
        <w:tab/>
      </w:r>
      <w:r>
        <w:tab/>
        <w:t>A fee of $19.40 is payable in respect of the transfer of a vehicle licence.</w:t>
      </w:r>
    </w:p>
    <w:p>
      <w:pPr>
        <w:pStyle w:val="Footnotesection"/>
        <w:keepNext/>
      </w:pPr>
      <w:r>
        <w:tab/>
        <w:t>[Regulation 100 amended: Gazette 12 Jun 2015 p. 2039; 14 Jun 2016 p. 1999; 22 Jun 2018 p. 2191; 31 May 2019 p. 1726; SL 2020/74 r. 9; SL 2021/92 r. 20; SL 2022/67 r. 21.]</w:t>
      </w:r>
    </w:p>
    <w:p>
      <w:pPr>
        <w:pStyle w:val="Heading5"/>
      </w:pPr>
      <w:bookmarkStart w:id="158" w:name="_Toc112317037"/>
      <w:r>
        <w:rPr>
          <w:rStyle w:val="CharSectno"/>
        </w:rPr>
        <w:t>101</w:t>
      </w:r>
      <w:r>
        <w:t>.</w:t>
      </w:r>
      <w:r>
        <w:tab/>
        <w:t>Fee for issuing duplicate tax invoices for fees paid</w:t>
      </w:r>
      <w:bookmarkEnd w:id="158"/>
    </w:p>
    <w:p>
      <w:pPr>
        <w:pStyle w:val="Subsection"/>
        <w:keepNext/>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keepNext/>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159" w:name="_Toc112235438"/>
      <w:bookmarkStart w:id="160" w:name="_Toc112237220"/>
      <w:bookmarkStart w:id="161" w:name="_Toc112317038"/>
      <w:r>
        <w:lastRenderedPageBreak/>
        <w:t>Subdivision 3 — Exemptions, refunds</w:t>
      </w:r>
      <w:bookmarkEnd w:id="159"/>
      <w:bookmarkEnd w:id="160"/>
      <w:bookmarkEnd w:id="161"/>
    </w:p>
    <w:p>
      <w:pPr>
        <w:pStyle w:val="Heading5"/>
        <w:rPr>
          <w:snapToGrid w:val="0"/>
        </w:rPr>
      </w:pPr>
      <w:bookmarkStart w:id="162" w:name="_Toc112317039"/>
      <w:r>
        <w:rPr>
          <w:rStyle w:val="CharSectno"/>
        </w:rPr>
        <w:t>102</w:t>
      </w:r>
      <w:r>
        <w:t>.</w:t>
      </w:r>
      <w:r>
        <w:tab/>
        <w:t>P</w:t>
      </w:r>
      <w:r>
        <w:rPr>
          <w:snapToGrid w:val="0"/>
        </w:rPr>
        <w:t xml:space="preserve">ower to give </w:t>
      </w:r>
      <w:r>
        <w:t>e</w:t>
      </w:r>
      <w:r>
        <w:rPr>
          <w:snapToGrid w:val="0"/>
        </w:rPr>
        <w:t>xemption or refund in exceptional circumstances</w:t>
      </w:r>
      <w:bookmarkEnd w:id="162"/>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keepNext/>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63" w:name="_Toc112235440"/>
      <w:bookmarkStart w:id="164" w:name="_Toc112237222"/>
      <w:bookmarkStart w:id="165" w:name="_Toc112317040"/>
      <w:r>
        <w:rPr>
          <w:rStyle w:val="CharPartNo"/>
        </w:rPr>
        <w:lastRenderedPageBreak/>
        <w:t>Part 3</w:t>
      </w:r>
      <w:r>
        <w:rPr>
          <w:rStyle w:val="CharDivNo"/>
        </w:rPr>
        <w:t> </w:t>
      </w:r>
      <w:r>
        <w:t>—</w:t>
      </w:r>
      <w:r>
        <w:rPr>
          <w:rStyle w:val="CharDivText"/>
        </w:rPr>
        <w:t> </w:t>
      </w:r>
      <w:r>
        <w:rPr>
          <w:rStyle w:val="CharPartText"/>
        </w:rPr>
        <w:t>Overseas vehicles when temporarily in Australia</w:t>
      </w:r>
      <w:bookmarkEnd w:id="163"/>
      <w:bookmarkEnd w:id="164"/>
      <w:bookmarkEnd w:id="165"/>
    </w:p>
    <w:p>
      <w:pPr>
        <w:pStyle w:val="Heading5"/>
      </w:pPr>
      <w:bookmarkStart w:id="166" w:name="_Toc112317041"/>
      <w:r>
        <w:rPr>
          <w:rStyle w:val="CharSectno"/>
        </w:rPr>
        <w:t>103</w:t>
      </w:r>
      <w:r>
        <w:t>.</w:t>
      </w:r>
      <w:r>
        <w:tab/>
        <w:t>Terms used</w:t>
      </w:r>
      <w:bookmarkEnd w:id="166"/>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167" w:name="_Toc112317042"/>
      <w:r>
        <w:rPr>
          <w:rStyle w:val="CharSectno"/>
        </w:rPr>
        <w:t>104</w:t>
      </w:r>
      <w:r>
        <w:t>.</w:t>
      </w:r>
      <w:r>
        <w:tab/>
      </w:r>
      <w:r>
        <w:rPr>
          <w:snapToGrid w:val="0"/>
        </w:rPr>
        <w:t>Applications for vehicle licence, extension or renewal of vehicle licence for overseas vehicles</w:t>
      </w:r>
      <w:bookmarkEnd w:id="167"/>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168" w:name="_Toc112317043"/>
      <w:r>
        <w:rPr>
          <w:rStyle w:val="CharSectno"/>
        </w:rPr>
        <w:lastRenderedPageBreak/>
        <w:t>105</w:t>
      </w:r>
      <w:r>
        <w:t>.</w:t>
      </w:r>
      <w:r>
        <w:tab/>
        <w:t>Prescribed standards and requirements</w:t>
      </w:r>
      <w:bookmarkEnd w:id="168"/>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169" w:name="_Toc112317044"/>
      <w:r>
        <w:rPr>
          <w:rStyle w:val="CharSectno"/>
        </w:rPr>
        <w:t>106</w:t>
      </w:r>
      <w:r>
        <w:t>.</w:t>
      </w:r>
      <w:r>
        <w:tab/>
        <w:t>Further information</w:t>
      </w:r>
      <w:bookmarkEnd w:id="169"/>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170" w:name="_Toc112317045"/>
      <w:r>
        <w:rPr>
          <w:rStyle w:val="CharSectno"/>
        </w:rPr>
        <w:t>107</w:t>
      </w:r>
      <w:r>
        <w:t>.</w:t>
      </w:r>
      <w:r>
        <w:tab/>
        <w:t>Fees for temporary number plates</w:t>
      </w:r>
      <w:bookmarkEnd w:id="170"/>
    </w:p>
    <w:p>
      <w:pPr>
        <w:pStyle w:val="Subsection"/>
      </w:pPr>
      <w:r>
        <w:tab/>
      </w:r>
      <w:r>
        <w:tab/>
        <w:t>For section 26(2), the fee for the issue of a temporary number plate or set of temporary number plates is $30.50.</w:t>
      </w:r>
    </w:p>
    <w:p>
      <w:pPr>
        <w:pStyle w:val="Footnotesection"/>
      </w:pPr>
      <w:r>
        <w:tab/>
        <w:t>[Regulation 107 amended: Gazette 12 Jun 2015 p. 2039; 14 Jun 2016 p. 1999; 23 Jun 2017 p. 3268; 22 Jun 2018 p. 2191; 31 May 2019 p. 1726; SL 2020/74 r. 9; SL 2021/92 r. 20.]</w:t>
      </w:r>
    </w:p>
    <w:p>
      <w:pPr>
        <w:pStyle w:val="Heading5"/>
      </w:pPr>
      <w:bookmarkStart w:id="171" w:name="_Toc112317046"/>
      <w:r>
        <w:rPr>
          <w:rStyle w:val="CharSectno"/>
        </w:rPr>
        <w:t>108</w:t>
      </w:r>
      <w:r>
        <w:t>.</w:t>
      </w:r>
      <w:r>
        <w:tab/>
        <w:t>Return of temporary plates for overseas vehicles</w:t>
      </w:r>
      <w:bookmarkEnd w:id="171"/>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keepNext/>
      </w:pPr>
      <w:r>
        <w:lastRenderedPageBreak/>
        <w:tab/>
        <w:t xml:space="preserve">Penalty: </w:t>
      </w:r>
    </w:p>
    <w:p>
      <w:pPr>
        <w:pStyle w:val="Penpara"/>
        <w:keepNext/>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Heading2"/>
      </w:pPr>
      <w:bookmarkStart w:id="172" w:name="_Toc112235447"/>
      <w:bookmarkStart w:id="173" w:name="_Toc112237229"/>
      <w:bookmarkStart w:id="174" w:name="_Toc112317047"/>
      <w:r>
        <w:rPr>
          <w:rStyle w:val="CharPartNo"/>
        </w:rPr>
        <w:lastRenderedPageBreak/>
        <w:t>Part 4</w:t>
      </w:r>
      <w:r>
        <w:t> — </w:t>
      </w:r>
      <w:r>
        <w:rPr>
          <w:rStyle w:val="CharPartText"/>
        </w:rPr>
        <w:t>Number plates</w:t>
      </w:r>
      <w:bookmarkEnd w:id="172"/>
      <w:bookmarkEnd w:id="173"/>
      <w:bookmarkEnd w:id="174"/>
    </w:p>
    <w:p>
      <w:pPr>
        <w:pStyle w:val="Heading3"/>
      </w:pPr>
      <w:bookmarkStart w:id="175" w:name="_Toc112235448"/>
      <w:bookmarkStart w:id="176" w:name="_Toc112237230"/>
      <w:bookmarkStart w:id="177" w:name="_Toc112317048"/>
      <w:r>
        <w:rPr>
          <w:rStyle w:val="CharDivNo"/>
        </w:rPr>
        <w:t>Division 1</w:t>
      </w:r>
      <w:r>
        <w:t> — </w:t>
      </w:r>
      <w:r>
        <w:rPr>
          <w:rStyle w:val="CharDivText"/>
        </w:rPr>
        <w:t>Preliminary</w:t>
      </w:r>
      <w:bookmarkEnd w:id="175"/>
      <w:bookmarkEnd w:id="176"/>
      <w:bookmarkEnd w:id="177"/>
    </w:p>
    <w:p>
      <w:pPr>
        <w:pStyle w:val="Heading5"/>
      </w:pPr>
      <w:bookmarkStart w:id="178" w:name="_Toc112317049"/>
      <w:r>
        <w:rPr>
          <w:rStyle w:val="CharSectno"/>
        </w:rPr>
        <w:t>109</w:t>
      </w:r>
      <w:r>
        <w:t>.</w:t>
      </w:r>
      <w:r>
        <w:tab/>
        <w:t>Terms used</w:t>
      </w:r>
      <w:bookmarkEnd w:id="178"/>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lastRenderedPageBreak/>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179" w:name="_Toc112317050"/>
      <w:r>
        <w:rPr>
          <w:rStyle w:val="CharSectno"/>
        </w:rPr>
        <w:t>109A</w:t>
      </w:r>
      <w:r>
        <w:t>.</w:t>
      </w:r>
      <w:r>
        <w:tab/>
        <w:t>Passenger transport vehicle authorisations</w:t>
      </w:r>
      <w:bookmarkEnd w:id="179"/>
    </w:p>
    <w:p>
      <w:pPr>
        <w:pStyle w:val="Subsection"/>
        <w:keepNext/>
      </w:pPr>
      <w:r>
        <w:tab/>
      </w:r>
      <w:r>
        <w:tab/>
        <w:t xml:space="preserve">For the purposes of this Part, if the CEO is satisfied that a passenger transport vehicle authorisation will be granted for a vehicle within a reasonable period, the CEO may treat the </w:t>
      </w:r>
      <w:r>
        <w:lastRenderedPageBreak/>
        <w:t>vehicle as if that passenger transport vehicle authorisation were in force.</w:t>
      </w:r>
    </w:p>
    <w:p>
      <w:pPr>
        <w:pStyle w:val="Footnotesection"/>
      </w:pPr>
      <w:r>
        <w:tab/>
        <w:t>[Regulation 109A inserted: Gazette 26 Jun 2019 p. 2232.]</w:t>
      </w:r>
    </w:p>
    <w:p>
      <w:pPr>
        <w:pStyle w:val="Heading5"/>
        <w:rPr>
          <w:snapToGrid w:val="0"/>
        </w:rPr>
      </w:pPr>
      <w:bookmarkStart w:id="180" w:name="_Toc112317051"/>
      <w:r>
        <w:rPr>
          <w:rStyle w:val="CharSectno"/>
        </w:rPr>
        <w:t>110</w:t>
      </w:r>
      <w:r>
        <w:t>.</w:t>
      </w:r>
      <w:r>
        <w:tab/>
        <w:t>P</w:t>
      </w:r>
      <w:r>
        <w:rPr>
          <w:snapToGrid w:val="0"/>
        </w:rPr>
        <w:t xml:space="preserve">ower to give </w:t>
      </w:r>
      <w:r>
        <w:t>e</w:t>
      </w:r>
      <w:r>
        <w:rPr>
          <w:snapToGrid w:val="0"/>
        </w:rPr>
        <w:t>xemption or refund in exceptional circumstances</w:t>
      </w:r>
      <w:bookmarkEnd w:id="180"/>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181" w:name="_Toc112235452"/>
      <w:bookmarkStart w:id="182" w:name="_Toc112237234"/>
      <w:bookmarkStart w:id="183" w:name="_Toc112317052"/>
      <w:r>
        <w:rPr>
          <w:rStyle w:val="CharDivNo"/>
        </w:rPr>
        <w:t>Division 2</w:t>
      </w:r>
      <w:r>
        <w:t> — </w:t>
      </w:r>
      <w:r>
        <w:rPr>
          <w:rStyle w:val="CharDivText"/>
        </w:rPr>
        <w:t>Number plates generally</w:t>
      </w:r>
      <w:bookmarkEnd w:id="181"/>
      <w:bookmarkEnd w:id="182"/>
      <w:bookmarkEnd w:id="183"/>
    </w:p>
    <w:p>
      <w:pPr>
        <w:pStyle w:val="Heading5"/>
        <w:rPr>
          <w:snapToGrid w:val="0"/>
        </w:rPr>
      </w:pPr>
      <w:bookmarkStart w:id="184" w:name="_Toc112317053"/>
      <w:r>
        <w:rPr>
          <w:rStyle w:val="CharSectno"/>
        </w:rPr>
        <w:t>111</w:t>
      </w:r>
      <w:r>
        <w:t>.</w:t>
      </w:r>
      <w:r>
        <w:tab/>
      </w:r>
      <w:r>
        <w:rPr>
          <w:snapToGrid w:val="0"/>
        </w:rPr>
        <w:t>CEO to provide number plates</w:t>
      </w:r>
      <w:bookmarkEnd w:id="184"/>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 xml:space="preserve">Number plates issued for an authorised passenger transport vehicle (other than an authorised on-demand rank or hail </w:t>
      </w:r>
      <w:r>
        <w:lastRenderedPageBreak/>
        <w:t>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185" w:name="_Toc112317054"/>
      <w:r>
        <w:rPr>
          <w:rStyle w:val="CharSectno"/>
        </w:rPr>
        <w:t>112</w:t>
      </w:r>
      <w:r>
        <w:t>.</w:t>
      </w:r>
      <w:r>
        <w:tab/>
        <w:t>Fees for issue, reissue, replacement of certain number plates</w:t>
      </w:r>
      <w:bookmarkEnd w:id="185"/>
    </w:p>
    <w:p>
      <w:pPr>
        <w:pStyle w:val="Subsection"/>
      </w:pPr>
      <w:r>
        <w:tab/>
      </w:r>
      <w:r>
        <w:tab/>
        <w:t xml:space="preserve">These fees are payable — </w:t>
      </w:r>
    </w:p>
    <w:p>
      <w:pPr>
        <w:pStyle w:val="Indenta"/>
      </w:pPr>
      <w:r>
        <w:tab/>
        <w:t>(a)</w:t>
      </w:r>
      <w:r>
        <w:tab/>
        <w:t>for the issue of ordinary plates except if paragraph (b), (ba), (bb), (bc), (d), (da), (db) or (g) applies — $30.50;</w:t>
      </w:r>
    </w:p>
    <w:p>
      <w:pPr>
        <w:pStyle w:val="Indenta"/>
      </w:pPr>
      <w:r>
        <w:tab/>
        <w:t>(b)</w:t>
      </w:r>
      <w:r>
        <w:tab/>
        <w:t>for the issue of plates for an authorised on</w:t>
      </w:r>
      <w:r>
        <w:noBreakHyphen/>
        <w:t>demand rank or hail vehicle or plates identifying a vehicle as an on</w:t>
      </w:r>
      <w:r>
        <w:noBreakHyphen/>
        <w:t>demand charter vehicle — $30.00;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$18.50;</w:t>
      </w:r>
    </w:p>
    <w:p>
      <w:pPr>
        <w:pStyle w:val="Indenta"/>
      </w:pPr>
      <w:r>
        <w:tab/>
        <w:t>(bb)</w:t>
      </w:r>
      <w:r>
        <w:tab/>
        <w:t>for the re</w:t>
      </w:r>
      <w:r>
        <w:noBreakHyphen/>
        <w:t xml:space="preserve">issue of plates that are issued under regulation 111(2) or that are taken under the </w:t>
      </w:r>
      <w:r>
        <w:rPr>
          <w:i/>
        </w:rPr>
        <w:t xml:space="preserve">Transport </w:t>
      </w:r>
      <w:r>
        <w:rPr>
          <w:i/>
        </w:rPr>
        <w:lastRenderedPageBreak/>
        <w:t xml:space="preserve">(Road Passenger Services) Regulations 2020 </w:t>
      </w:r>
      <w:r>
        <w:t>Part 13 Division 2 to be issued by the CEO under regulation 111(2) and that have been returned under regulation 113(1), (2) or (3) or 113A — $19.60;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$44.50;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$35.20;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$35.20;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keepNext/>
      </w:pPr>
      <w:r>
        <w:lastRenderedPageBreak/>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$256.50;</w:t>
      </w:r>
    </w:p>
    <w:p>
      <w:pPr>
        <w:pStyle w:val="Indenti"/>
        <w:keepNext/>
        <w:rPr>
          <w:rStyle w:val="DraftersNotes"/>
          <w:bCs/>
          <w:iCs/>
        </w:rPr>
      </w:pPr>
      <w:r>
        <w:tab/>
        <w:t>(ii)</w:t>
      </w:r>
      <w:r>
        <w:tab/>
        <w:t>for standard metal plates — $126.70.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5; SL 2022/67 r. 21.]</w:t>
      </w:r>
    </w:p>
    <w:p>
      <w:pPr>
        <w:pStyle w:val="Heading5"/>
      </w:pPr>
      <w:bookmarkStart w:id="186" w:name="_Toc112317055"/>
      <w:r>
        <w:rPr>
          <w:rStyle w:val="CharSectno"/>
        </w:rPr>
        <w:t>113</w:t>
      </w:r>
      <w:r>
        <w:t>.</w:t>
      </w:r>
      <w:r>
        <w:tab/>
        <w:t>Return of number plates</w:t>
      </w:r>
      <w:bookmarkEnd w:id="186"/>
    </w:p>
    <w:p>
      <w:pPr>
        <w:pStyle w:val="Subsection"/>
        <w:keepNext/>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keepNext/>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keepNext/>
      </w:pPr>
      <w:r>
        <w:tab/>
        <w:t>(ii)</w:t>
      </w:r>
      <w:r>
        <w:tab/>
        <w:t>in any other case, within 3 months of the expiry of the licence.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w:t>
      </w:r>
      <w:r>
        <w:rPr>
          <w:snapToGrid w:val="0"/>
        </w:rPr>
        <w:lastRenderedPageBreak/>
        <w:t xml:space="preserve">specified in the notice and </w:t>
      </w:r>
      <w:r>
        <w:t>the person upon</w:t>
      </w:r>
      <w:r>
        <w:rPr>
          <w:snapToGrid w:val="0"/>
        </w:rPr>
        <w:t xml:space="preserve"> whom a notice is served must comply with the notice. </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keepNext/>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keepNext/>
      </w:pPr>
      <w:r>
        <w:tab/>
        <w:t>Modified penalty for an offence under this subregulation: 1 PU.</w:t>
      </w:r>
    </w:p>
    <w:p>
      <w:pPr>
        <w:pStyle w:val="Footnotesection"/>
      </w:pPr>
      <w:r>
        <w:tab/>
        <w:t>[Regulation 113 amended: SL 2021/206 r. 6.]</w:t>
      </w:r>
    </w:p>
    <w:p>
      <w:pPr>
        <w:pStyle w:val="Heading5"/>
      </w:pPr>
      <w:bookmarkStart w:id="187" w:name="_Toc112317056"/>
      <w:r>
        <w:rPr>
          <w:rStyle w:val="CharSectno"/>
        </w:rPr>
        <w:t>113A</w:t>
      </w:r>
      <w:r>
        <w:t>.</w:t>
      </w:r>
      <w:r>
        <w:tab/>
        <w:t>Return of number plates for passenger transport vehicles</w:t>
      </w:r>
      <w:bookmarkEnd w:id="187"/>
    </w:p>
    <w:p>
      <w:pPr>
        <w:pStyle w:val="Subsection"/>
        <w:keepNext/>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lastRenderedPageBreak/>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keepNext/>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keepNex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188" w:name="_Toc112317057"/>
      <w:r>
        <w:rPr>
          <w:rStyle w:val="CharSectno"/>
        </w:rPr>
        <w:t>114</w:t>
      </w:r>
      <w:r>
        <w:t>.</w:t>
      </w:r>
      <w:r>
        <w:tab/>
        <w:t>Transfer of certain plates</w:t>
      </w:r>
      <w:bookmarkEnd w:id="188"/>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payment of a </w:t>
      </w:r>
      <w:r>
        <w:t>fee of $19.20</w:t>
      </w:r>
      <w:r>
        <w:rPr>
          <w:snapToGrid w:val="0"/>
        </w:rPr>
        <w:t>, transfer those plates to another vehicle owned by the person.</w:t>
      </w:r>
    </w:p>
    <w:p>
      <w:pPr>
        <w:pStyle w:val="Subsection"/>
        <w:rPr>
          <w:snapToGrid w:val="0"/>
        </w:rPr>
      </w:pPr>
      <w:r>
        <w:rPr>
          <w:snapToGrid w:val="0"/>
        </w:rPr>
        <w:lastRenderedPageBreak/>
        <w:tab/>
        <w:t>(2)</w:t>
      </w:r>
      <w:r>
        <w:rPr>
          <w:snapToGrid w:val="0"/>
        </w:rPr>
        <w:tab/>
        <w:t xml:space="preserve">A person to whom a set of personalised plates has been issued may, with the approval of the CEO, and on payment of a fee of </w:t>
      </w:r>
      <w:r>
        <w:t>$19.20</w:t>
      </w:r>
      <w:r>
        <w:rPr>
          <w:snapToGrid w:val="0"/>
        </w:rPr>
        <w:t>, transfer those plates to another vehicle owned by the person or by a member of the person’s immediate family.</w:t>
      </w:r>
    </w:p>
    <w:p>
      <w:pPr>
        <w:pStyle w:val="Subsection"/>
        <w:keepNext/>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keepNext/>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7; SL 2022/67 r. 21.]</w:t>
      </w:r>
    </w:p>
    <w:p>
      <w:pPr>
        <w:pStyle w:val="Heading5"/>
        <w:spacing w:before="240"/>
        <w:rPr>
          <w:snapToGrid w:val="0"/>
        </w:rPr>
      </w:pPr>
      <w:bookmarkStart w:id="189" w:name="_Toc112317058"/>
      <w:r>
        <w:rPr>
          <w:rStyle w:val="CharSectno"/>
        </w:rPr>
        <w:t>115</w:t>
      </w:r>
      <w:r>
        <w:t>.</w:t>
      </w:r>
      <w:r>
        <w:tab/>
        <w:t>Replacement of</w:t>
      </w:r>
      <w:r>
        <w:rPr>
          <w:snapToGrid w:val="0"/>
        </w:rPr>
        <w:t xml:space="preserve"> stolen, lost number plates</w:t>
      </w:r>
      <w:bookmarkEnd w:id="189"/>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the CEO must, on the return of each other plate in the set that was not stolen or lost and on payment of the relevant fee under regulation 112, issue a replacement set of number plates for the vehicle.</w:t>
      </w:r>
    </w:p>
    <w:p>
      <w:pPr>
        <w:pStyle w:val="Subsection"/>
      </w:pPr>
      <w:r>
        <w:lastRenderedPageBreak/>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keepNext/>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190" w:name="_Toc112317059"/>
      <w:r>
        <w:rPr>
          <w:rStyle w:val="CharSectno"/>
        </w:rPr>
        <w:t>116</w:t>
      </w:r>
      <w:r>
        <w:t>.</w:t>
      </w:r>
      <w:r>
        <w:tab/>
        <w:t>Replacement of dilapidated, damaged number plates</w:t>
      </w:r>
      <w:bookmarkEnd w:id="190"/>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the CEO must, on payment of the relevant fee under regulation 112, issue a replacement set of number plates either bearing the same characters as those in the returned set or different characters, as the CEO thinks fit.</w:t>
      </w:r>
    </w:p>
    <w:p>
      <w:pPr>
        <w:pStyle w:val="Subsection"/>
        <w:keepNext/>
        <w:rPr>
          <w:snapToGrid w:val="0"/>
        </w:rPr>
      </w:pPr>
      <w:r>
        <w:lastRenderedPageBreak/>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191" w:name="_Toc112317060"/>
      <w:r>
        <w:rPr>
          <w:rStyle w:val="CharSectno"/>
        </w:rPr>
        <w:t>117</w:t>
      </w:r>
      <w:r>
        <w:t>.</w:t>
      </w:r>
      <w:r>
        <w:tab/>
        <w:t>Number plate content, colour</w:t>
      </w:r>
      <w:bookmarkEnd w:id="191"/>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192" w:name="_Toc112317061"/>
      <w:r>
        <w:rPr>
          <w:rStyle w:val="CharSectno"/>
        </w:rPr>
        <w:lastRenderedPageBreak/>
        <w:t>118</w:t>
      </w:r>
      <w:r>
        <w:t>.</w:t>
      </w:r>
      <w:r>
        <w:tab/>
        <w:t>Surrender of non</w:t>
      </w:r>
      <w:r>
        <w:noBreakHyphen/>
        <w:t>reflective plates</w:t>
      </w:r>
      <w:bookmarkEnd w:id="192"/>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193" w:name="_Toc112317062"/>
      <w:r>
        <w:rPr>
          <w:rStyle w:val="CharSectno"/>
        </w:rPr>
        <w:lastRenderedPageBreak/>
        <w:t>119</w:t>
      </w:r>
      <w:r>
        <w:t>.</w:t>
      </w:r>
      <w:r>
        <w:tab/>
      </w:r>
      <w:r>
        <w:rPr>
          <w:snapToGrid w:val="0"/>
        </w:rPr>
        <w:t>Number plate to be fixed on vehicle</w:t>
      </w:r>
      <w:bookmarkEnd w:id="193"/>
    </w:p>
    <w:p>
      <w:pPr>
        <w:pStyle w:val="Subsection"/>
        <w:keepNext/>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keepNext/>
      </w:pPr>
      <w:r>
        <w:tab/>
        <w:t>(5)</w:t>
      </w:r>
      <w:r>
        <w:tab/>
        <w:t xml:space="preserve">In subregulations (2) and (3) — </w:t>
      </w:r>
    </w:p>
    <w:p>
      <w:pPr>
        <w:pStyle w:val="Defstart"/>
        <w:keepNex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lastRenderedPageBreak/>
        <w:tab/>
        <w:t>(b)</w:t>
      </w:r>
      <w:r>
        <w:tab/>
        <w:t>that is connected to the vehicle in front of it by a pole or cable or the load itself, if any.</w:t>
      </w:r>
    </w:p>
    <w:p>
      <w:pPr>
        <w:pStyle w:val="Heading5"/>
        <w:rPr>
          <w:snapToGrid w:val="0"/>
        </w:rPr>
      </w:pPr>
      <w:bookmarkStart w:id="194" w:name="_Toc112317063"/>
      <w:r>
        <w:rPr>
          <w:rStyle w:val="CharSectno"/>
        </w:rPr>
        <w:t>120</w:t>
      </w:r>
      <w:r>
        <w:t>.</w:t>
      </w:r>
      <w:r>
        <w:tab/>
        <w:t>Preventing effective identification of number plate</w:t>
      </w:r>
      <w:bookmarkEnd w:id="194"/>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lastRenderedPageBreak/>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 xml:space="preserve">he whole or part </w:t>
      </w:r>
      <w:r>
        <w:rPr>
          <w:snapToGrid w:val="0"/>
        </w:rPr>
        <w:lastRenderedPageBreak/>
        <w:t>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keepNext/>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195" w:name="_Toc112317064"/>
      <w:r>
        <w:rPr>
          <w:rStyle w:val="CharSectno"/>
        </w:rPr>
        <w:t>121</w:t>
      </w:r>
      <w:r>
        <w:t>.</w:t>
      </w:r>
      <w:r>
        <w:tab/>
        <w:t xml:space="preserve">No </w:t>
      </w:r>
      <w:r>
        <w:rPr>
          <w:snapToGrid w:val="0"/>
        </w:rPr>
        <w:t>painting or interfering with number plates</w:t>
      </w:r>
      <w:bookmarkEnd w:id="195"/>
    </w:p>
    <w:p>
      <w:pPr>
        <w:pStyle w:val="Subsection"/>
        <w:keepNext/>
        <w:rPr>
          <w:snapToGrid w:val="0"/>
        </w:rPr>
      </w:pPr>
      <w:r>
        <w:rPr>
          <w:snapToGrid w:val="0"/>
        </w:rPr>
        <w:tab/>
      </w:r>
      <w:r>
        <w:rPr>
          <w:snapToGrid w:val="0"/>
        </w:rPr>
        <w:tab/>
        <w:t xml:space="preserve">A person must not paint or otherwise interfere with, or permit any other person to paint or interfere with, a number plate issued </w:t>
      </w:r>
      <w:r>
        <w:rPr>
          <w:snapToGrid w:val="0"/>
        </w:rPr>
        <w:lastRenderedPageBreak/>
        <w:t>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196" w:name="_Toc112317065"/>
      <w:r>
        <w:rPr>
          <w:rStyle w:val="CharSectno"/>
        </w:rPr>
        <w:t>122</w:t>
      </w:r>
      <w:r>
        <w:t>.</w:t>
      </w:r>
      <w:r>
        <w:tab/>
        <w:t>Seizure of number plates</w:t>
      </w:r>
      <w:bookmarkEnd w:id="196"/>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197" w:name="_Toc112317066"/>
      <w:r>
        <w:rPr>
          <w:rStyle w:val="CharSectno"/>
        </w:rPr>
        <w:t>123</w:t>
      </w:r>
      <w:r>
        <w:t>.</w:t>
      </w:r>
      <w:r>
        <w:tab/>
      </w:r>
      <w:r>
        <w:rPr>
          <w:snapToGrid w:val="0"/>
        </w:rPr>
        <w:t>Restriction on manufacture, sale or supply of imitation plates</w:t>
      </w:r>
      <w:bookmarkEnd w:id="197"/>
    </w:p>
    <w:p>
      <w:pPr>
        <w:pStyle w:val="Subsection"/>
        <w:keepNext/>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198" w:name="_Toc112317067"/>
      <w:r>
        <w:rPr>
          <w:rStyle w:val="CharSectno"/>
        </w:rPr>
        <w:lastRenderedPageBreak/>
        <w:t>124</w:t>
      </w:r>
      <w:r>
        <w:t>.</w:t>
      </w:r>
      <w:r>
        <w:tab/>
        <w:t>Seizure</w:t>
      </w:r>
      <w:r>
        <w:rPr>
          <w:snapToGrid w:val="0"/>
        </w:rPr>
        <w:t xml:space="preserve"> and disposal of imitation plates</w:t>
      </w:r>
      <w:bookmarkEnd w:id="198"/>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keepNext/>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keepNext/>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lastRenderedPageBreak/>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199" w:name="_Toc112235468"/>
      <w:bookmarkStart w:id="200" w:name="_Toc112237250"/>
      <w:bookmarkStart w:id="201" w:name="_Toc112317068"/>
      <w:r>
        <w:rPr>
          <w:rStyle w:val="CharDivNo"/>
        </w:rPr>
        <w:t>Division 3</w:t>
      </w:r>
      <w:r>
        <w:t> — </w:t>
      </w:r>
      <w:r>
        <w:rPr>
          <w:rStyle w:val="CharDivText"/>
        </w:rPr>
        <w:t>Name plates, special plates and reserved plates</w:t>
      </w:r>
      <w:bookmarkEnd w:id="199"/>
      <w:bookmarkEnd w:id="200"/>
      <w:bookmarkEnd w:id="201"/>
    </w:p>
    <w:p>
      <w:pPr>
        <w:pStyle w:val="Footnoteheading"/>
        <w:keepNext/>
      </w:pPr>
      <w:r>
        <w:tab/>
        <w:t>[Heading inserted: SL 2021/206 r. 10.]</w:t>
      </w:r>
    </w:p>
    <w:p>
      <w:pPr>
        <w:pStyle w:val="Heading5"/>
      </w:pPr>
      <w:bookmarkStart w:id="202" w:name="_Toc112317069"/>
      <w:r>
        <w:rPr>
          <w:rStyle w:val="CharSectno"/>
        </w:rPr>
        <w:t>125</w:t>
      </w:r>
      <w:r>
        <w:t>.</w:t>
      </w:r>
      <w:r>
        <w:tab/>
        <w:t>Name plates or special plates not for certain vehicles</w:t>
      </w:r>
      <w:bookmarkEnd w:id="202"/>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keepNext/>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203" w:name="_Toc112317070"/>
      <w:r>
        <w:rPr>
          <w:rStyle w:val="CharSectno"/>
        </w:rPr>
        <w:t>126</w:t>
      </w:r>
      <w:r>
        <w:t>.</w:t>
      </w:r>
      <w:r>
        <w:tab/>
        <w:t>Special plate content and colour</w:t>
      </w:r>
      <w:bookmarkEnd w:id="203"/>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204" w:name="_Toc112317071"/>
      <w:r>
        <w:rPr>
          <w:rStyle w:val="CharSectno"/>
        </w:rPr>
        <w:lastRenderedPageBreak/>
        <w:t>127</w:t>
      </w:r>
      <w:r>
        <w:t>.</w:t>
      </w:r>
      <w:r>
        <w:tab/>
        <w:t>Name plate content and colour</w:t>
      </w:r>
      <w:bookmarkEnd w:id="204"/>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205" w:name="_Toc112317072"/>
      <w:r>
        <w:rPr>
          <w:rStyle w:val="CharSectno"/>
        </w:rPr>
        <w:t>128</w:t>
      </w:r>
      <w:r>
        <w:t>.</w:t>
      </w:r>
      <w:r>
        <w:tab/>
        <w:t>Disposal of right to display special plates</w:t>
      </w:r>
      <w:bookmarkEnd w:id="205"/>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206" w:name="_Toc112317073"/>
      <w:r>
        <w:rPr>
          <w:rStyle w:val="CharSectno"/>
        </w:rPr>
        <w:t>128A</w:t>
      </w:r>
      <w:r>
        <w:t>.</w:t>
      </w:r>
      <w:r>
        <w:tab/>
        <w:t>Reserved plates</w:t>
      </w:r>
      <w:bookmarkEnd w:id="206"/>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If an ordinary plate is for the time being not used on a vehicle but has previously been used on an eligible vehicle, the CEO may allocate the exclusive right to display the ordinary plate to the person who, immediately before the plate last ceased to be 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207" w:name="_Toc112317074"/>
      <w:r>
        <w:rPr>
          <w:rStyle w:val="CharSectno"/>
        </w:rPr>
        <w:t>129</w:t>
      </w:r>
      <w:r>
        <w:t>.</w:t>
      </w:r>
      <w:r>
        <w:tab/>
        <w:t>Right to display special plates, name plates, reserved plates</w:t>
      </w:r>
      <w:bookmarkEnd w:id="207"/>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lastRenderedPageBreak/>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keepNext/>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keepNext/>
        <w:rPr>
          <w:snapToGrid w:val="0"/>
        </w:rPr>
      </w:pPr>
      <w:r>
        <w:rPr>
          <w:snapToGrid w:val="0"/>
        </w:rPr>
        <w:lastRenderedPageBreak/>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208" w:name="_Toc112317075"/>
      <w:r>
        <w:rPr>
          <w:rStyle w:val="CharSectno"/>
        </w:rPr>
        <w:t>130</w:t>
      </w:r>
      <w:r>
        <w:t>.</w:t>
      </w:r>
      <w:r>
        <w:tab/>
        <w:t>Fees for transfer of right to display special plates, name plates, reserved plates</w:t>
      </w:r>
      <w:bookmarkEnd w:id="208"/>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$11 326.00;</w:t>
      </w:r>
    </w:p>
    <w:p>
      <w:pPr>
        <w:pStyle w:val="Indenta"/>
        <w:rPr>
          <w:szCs w:val="22"/>
        </w:rPr>
      </w:pPr>
      <w:r>
        <w:tab/>
        <w:t>(b)</w:t>
      </w:r>
      <w:r>
        <w:tab/>
        <w:t>2 digit numeral special plates — $2 266.20</w:t>
      </w:r>
      <w:r>
        <w:rPr>
          <w:szCs w:val="22"/>
        </w:rPr>
        <w:t>;</w:t>
      </w:r>
    </w:p>
    <w:p>
      <w:pPr>
        <w:pStyle w:val="Indenta"/>
        <w:rPr>
          <w:szCs w:val="22"/>
        </w:rPr>
      </w:pPr>
      <w:r>
        <w:tab/>
        <w:t>(c)</w:t>
      </w:r>
      <w:r>
        <w:tab/>
        <w:t>3 digit numeral special plates — $1 127.70</w:t>
      </w:r>
      <w:r>
        <w:rPr>
          <w:szCs w:val="22"/>
        </w:rPr>
        <w:t>;</w:t>
      </w:r>
    </w:p>
    <w:p>
      <w:pPr>
        <w:pStyle w:val="Indenta"/>
        <w:rPr>
          <w:szCs w:val="22"/>
        </w:rPr>
      </w:pPr>
      <w:r>
        <w:tab/>
        <w:t>(d)</w:t>
      </w:r>
      <w:r>
        <w:tab/>
        <w:t>any other number of digit special plates — $225.10</w:t>
      </w:r>
      <w:r>
        <w:rPr>
          <w:szCs w:val="22"/>
        </w:rPr>
        <w:t>;</w:t>
      </w:r>
    </w:p>
    <w:p>
      <w:pPr>
        <w:pStyle w:val="Indenta"/>
        <w:rPr>
          <w:szCs w:val="22"/>
        </w:rPr>
      </w:pPr>
      <w:r>
        <w:tab/>
        <w:t>(e)</w:t>
      </w:r>
      <w:r>
        <w:tab/>
        <w:t>unique series special plates referred to in regulation 126(b) — $2 266.20</w:t>
      </w:r>
      <w:r>
        <w:rPr>
          <w:szCs w:val="22"/>
        </w:rPr>
        <w:t>;</w:t>
      </w:r>
    </w:p>
    <w:p>
      <w:pPr>
        <w:pStyle w:val="Indenta"/>
      </w:pPr>
      <w:r>
        <w:tab/>
        <w:t>(f)</w:t>
      </w:r>
      <w:r>
        <w:tab/>
        <w:t>unique series special plates referred to in regulation 126(c) — $98.20</w:t>
      </w:r>
      <w:r>
        <w:rPr>
          <w:szCs w:val="22"/>
        </w:rPr>
        <w:t>.</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$565.40.</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$22.90; or</w:t>
      </w:r>
    </w:p>
    <w:p>
      <w:pPr>
        <w:pStyle w:val="Indenta"/>
      </w:pPr>
      <w:r>
        <w:lastRenderedPageBreak/>
        <w:tab/>
        <w:t>(b)</w:t>
      </w:r>
      <w:r>
        <w:tab/>
        <w:t>to a beneficiary by a trustee or other person in a fiduciary capacity under a trust whether express or implied, is $22.90.</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keepNext/>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13; SL 2022/67 r. 21.]</w:t>
      </w:r>
    </w:p>
    <w:p>
      <w:pPr>
        <w:pStyle w:val="Heading5"/>
        <w:keepNext w:val="0"/>
        <w:keepLines w:val="0"/>
        <w:widowControl w:val="0"/>
        <w:rPr>
          <w:snapToGrid w:val="0"/>
        </w:rPr>
      </w:pPr>
      <w:bookmarkStart w:id="209" w:name="_Toc112317076"/>
      <w:r>
        <w:rPr>
          <w:rStyle w:val="CharSectno"/>
        </w:rPr>
        <w:t>131</w:t>
      </w:r>
      <w:r>
        <w:t>.</w:t>
      </w:r>
      <w:r>
        <w:tab/>
        <w:t>Retention of special plates, name plates, reserved plates by CEO</w:t>
      </w:r>
      <w:bookmarkEnd w:id="209"/>
    </w:p>
    <w:p>
      <w:pPr>
        <w:pStyle w:val="Subsection"/>
        <w:rPr>
          <w:snapToGrid w:val="0"/>
        </w:rPr>
      </w:pPr>
      <w:r>
        <w:rPr>
          <w:snapToGrid w:val="0"/>
        </w:rPr>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lastRenderedPageBreak/>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210" w:name="_Toc112235477"/>
      <w:bookmarkStart w:id="211" w:name="_Toc112237259"/>
      <w:bookmarkStart w:id="212" w:name="_Toc112317077"/>
      <w:r>
        <w:rPr>
          <w:rStyle w:val="CharDivNo"/>
        </w:rPr>
        <w:t>Division 4</w:t>
      </w:r>
      <w:r>
        <w:t> — </w:t>
      </w:r>
      <w:r>
        <w:rPr>
          <w:rStyle w:val="CharDivText"/>
        </w:rPr>
        <w:t>Trade plates for unlicensed vehicles</w:t>
      </w:r>
      <w:bookmarkEnd w:id="210"/>
      <w:bookmarkEnd w:id="211"/>
      <w:bookmarkEnd w:id="212"/>
    </w:p>
    <w:p>
      <w:pPr>
        <w:pStyle w:val="Heading5"/>
        <w:spacing w:before="180"/>
        <w:rPr>
          <w:snapToGrid w:val="0"/>
        </w:rPr>
      </w:pPr>
      <w:bookmarkStart w:id="213" w:name="_Toc112317078"/>
      <w:r>
        <w:rPr>
          <w:rStyle w:val="CharSectno"/>
        </w:rPr>
        <w:t>132</w:t>
      </w:r>
      <w:r>
        <w:t>.</w:t>
      </w:r>
      <w:r>
        <w:tab/>
        <w:t xml:space="preserve">Who may be issued </w:t>
      </w:r>
      <w:r>
        <w:rPr>
          <w:snapToGrid w:val="0"/>
        </w:rPr>
        <w:t>trade plates</w:t>
      </w:r>
      <w:bookmarkEnd w:id="213"/>
    </w:p>
    <w:p>
      <w:pPr>
        <w:pStyle w:val="Subsection"/>
        <w:keepNext/>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keepNext/>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keepNext/>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214" w:name="_Toc112317079"/>
      <w:r>
        <w:rPr>
          <w:rStyle w:val="CharSectno"/>
        </w:rPr>
        <w:t>133</w:t>
      </w:r>
      <w:r>
        <w:t>.</w:t>
      </w:r>
      <w:r>
        <w:tab/>
        <w:t>Trade plate content, colour</w:t>
      </w:r>
      <w:bookmarkEnd w:id="214"/>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w:t>
      </w:r>
      <w:r>
        <w:rPr>
          <w:snapToGrid w:val="0"/>
        </w:rPr>
        <w:lastRenderedPageBreak/>
        <w:t>below that combination and must be enamelled or painted on the plate in the colour and on the background approved by the CEO.</w:t>
      </w:r>
    </w:p>
    <w:p>
      <w:pPr>
        <w:pStyle w:val="Heading5"/>
      </w:pPr>
      <w:bookmarkStart w:id="215" w:name="_Toc112317080"/>
      <w:r>
        <w:rPr>
          <w:rStyle w:val="CharSectno"/>
        </w:rPr>
        <w:t>134</w:t>
      </w:r>
      <w:r>
        <w:t>.</w:t>
      </w:r>
      <w:r>
        <w:tab/>
        <w:t>Fees for trade plates</w:t>
      </w:r>
      <w:bookmarkEnd w:id="215"/>
    </w:p>
    <w:p>
      <w:pPr>
        <w:pStyle w:val="Subsection"/>
        <w:keepNext/>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$27.30 for a set of plates in any other case.</w:t>
      </w:r>
    </w:p>
    <w:p>
      <w:pPr>
        <w:pStyle w:val="Subsection"/>
      </w:pPr>
      <w:r>
        <w:tab/>
        <w:t>(2)</w:t>
      </w:r>
      <w:r>
        <w:tab/>
        <w:t>In addition, a deposit of $500.00 is payable in respect of each set of plates.</w:t>
      </w:r>
    </w:p>
    <w:p>
      <w:pPr>
        <w:pStyle w:val="Subsection"/>
      </w:pPr>
      <w:r>
        <w:tab/>
        <w:t>(3)</w:t>
      </w:r>
      <w:r>
        <w:tab/>
        <w:t>A fee of $44.80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keepNext/>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 SL 2022/67 r. 21.]</w:t>
      </w:r>
    </w:p>
    <w:p>
      <w:pPr>
        <w:pStyle w:val="Heading5"/>
        <w:rPr>
          <w:rStyle w:val="DraftersNotes"/>
          <w:b/>
          <w:bCs/>
          <w:iCs/>
        </w:rPr>
      </w:pPr>
      <w:bookmarkStart w:id="216" w:name="_Toc112317081"/>
      <w:r>
        <w:rPr>
          <w:rStyle w:val="CharSectno"/>
        </w:rPr>
        <w:t>135</w:t>
      </w:r>
      <w:r>
        <w:t>.</w:t>
      </w:r>
      <w:r>
        <w:tab/>
        <w:t>Replacement of lost, stolen, dilapidated, damaged trade plates</w:t>
      </w:r>
      <w:bookmarkEnd w:id="216"/>
    </w:p>
    <w:p>
      <w:pPr>
        <w:pStyle w:val="Subsection"/>
        <w:keepNext/>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w:t>
      </w:r>
      <w:r>
        <w:rPr>
          <w:snapToGrid w:val="0"/>
        </w:rPr>
        <w:lastRenderedPageBreak/>
        <w:t xml:space="preserve">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keepNext/>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keepNext/>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217" w:name="_Toc112317082"/>
      <w:r>
        <w:rPr>
          <w:rStyle w:val="CharSectno"/>
        </w:rPr>
        <w:t>136</w:t>
      </w:r>
      <w:r>
        <w:t>.</w:t>
      </w:r>
      <w:r>
        <w:tab/>
      </w:r>
      <w:r>
        <w:rPr>
          <w:snapToGrid w:val="0"/>
        </w:rPr>
        <w:t>Labels for trade plates</w:t>
      </w:r>
      <w:bookmarkEnd w:id="217"/>
    </w:p>
    <w:p>
      <w:pPr>
        <w:pStyle w:val="Subsection"/>
        <w:rPr>
          <w:snapToGrid w:val="0"/>
        </w:rPr>
      </w:pPr>
      <w:r>
        <w:rPr>
          <w:snapToGrid w:val="0"/>
        </w:rPr>
        <w:tab/>
        <w:t>(1)</w:t>
      </w:r>
      <w:r>
        <w:rPr>
          <w:snapToGrid w:val="0"/>
        </w:rPr>
        <w:tab/>
        <w:t xml:space="preserve">The CEO must, on payment of an annual fee under regulation 134(3), issue in respect of each trade plate an adhesive label to be attached to the plate indicating the month </w:t>
      </w:r>
      <w:r>
        <w:rPr>
          <w:snapToGrid w:val="0"/>
        </w:rPr>
        <w:lastRenderedPageBreak/>
        <w:t>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keepNext/>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218" w:name="_Toc112317083"/>
      <w:r>
        <w:rPr>
          <w:rStyle w:val="CharSectno"/>
        </w:rPr>
        <w:t>137</w:t>
      </w:r>
      <w:r>
        <w:t>.</w:t>
      </w:r>
      <w:r>
        <w:tab/>
        <w:t>Vehicle standards and r</w:t>
      </w:r>
      <w:r>
        <w:rPr>
          <w:snapToGrid w:val="0"/>
        </w:rPr>
        <w:t>equirements for use of trade plates</w:t>
      </w:r>
      <w:bookmarkEnd w:id="218"/>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keepNext/>
      </w:pPr>
      <w:r>
        <w:lastRenderedPageBreak/>
        <w:tab/>
        <w:t>(c)</w:t>
      </w:r>
      <w:r>
        <w:tab/>
        <w:t>the vehicle is an agricultural machine that complies with subregulation (3) even though it does not comply with paragraph (a).</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lastRenderedPageBreak/>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keepNext/>
      </w:pPr>
      <w:r>
        <w:tab/>
        <w:t>(III)</w:t>
      </w:r>
      <w:r>
        <w:tab/>
        <w:t>not used on a road within the metropolitan region during peak hours;</w:t>
      </w:r>
    </w:p>
    <w:p>
      <w:pPr>
        <w:pStyle w:val="Indenti"/>
      </w:pPr>
      <w:r>
        <w:tab/>
      </w:r>
      <w:r>
        <w:tab/>
        <w:t>or</w:t>
      </w:r>
    </w:p>
    <w:p>
      <w:pPr>
        <w:pStyle w:val="Indenti"/>
        <w:keepNext/>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keepNext/>
      </w:pPr>
      <w:r>
        <w:lastRenderedPageBreak/>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219" w:name="_Toc112317084"/>
      <w:r>
        <w:rPr>
          <w:rStyle w:val="CharSectno"/>
        </w:rPr>
        <w:t>138</w:t>
      </w:r>
      <w:r>
        <w:t>.</w:t>
      </w:r>
      <w:r>
        <w:tab/>
        <w:t>Purposes of use of vehicle with trade plates</w:t>
      </w:r>
      <w:bookmarkEnd w:id="219"/>
    </w:p>
    <w:p>
      <w:pPr>
        <w:pStyle w:val="Subsection"/>
        <w:keepNext/>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keepNext/>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keepNext/>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keepNext/>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lastRenderedPageBreak/>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220" w:name="_Toc112317085"/>
      <w:r>
        <w:rPr>
          <w:rStyle w:val="CharSectno"/>
        </w:rPr>
        <w:t>139</w:t>
      </w:r>
      <w:r>
        <w:t>.</w:t>
      </w:r>
      <w:r>
        <w:tab/>
        <w:t>Trade plate to be fixed on vehicle</w:t>
      </w:r>
      <w:bookmarkEnd w:id="220"/>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221" w:name="_Toc112317086"/>
      <w:r>
        <w:rPr>
          <w:rStyle w:val="CharSectno"/>
        </w:rPr>
        <w:t>140</w:t>
      </w:r>
      <w:r>
        <w:t>.</w:t>
      </w:r>
      <w:r>
        <w:tab/>
        <w:t>Seizure of trade plates</w:t>
      </w:r>
      <w:bookmarkEnd w:id="221"/>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lastRenderedPageBreak/>
        <w:tab/>
        <w:t>(b)</w:t>
      </w:r>
      <w:r>
        <w:rPr>
          <w:snapToGrid w:val="0"/>
        </w:rPr>
        <w:tab/>
        <w:t>that regulation 136(3) or (4), 137 or 138 has not been, or is not being, complied with in relation to the plate or the vehicle bearing the plate.</w:t>
      </w:r>
    </w:p>
    <w:p>
      <w:pPr>
        <w:pStyle w:val="Heading2"/>
      </w:pPr>
      <w:bookmarkStart w:id="222" w:name="_Toc112235487"/>
      <w:bookmarkStart w:id="223" w:name="_Toc112237269"/>
      <w:bookmarkStart w:id="224" w:name="_Toc112317087"/>
      <w:r>
        <w:rPr>
          <w:rStyle w:val="CharPartNo"/>
        </w:rPr>
        <w:lastRenderedPageBreak/>
        <w:t>Part 5</w:t>
      </w:r>
      <w:r>
        <w:rPr>
          <w:rStyle w:val="CharDivNo"/>
        </w:rPr>
        <w:t> </w:t>
      </w:r>
      <w:r>
        <w:t>—</w:t>
      </w:r>
      <w:r>
        <w:rPr>
          <w:rStyle w:val="CharDivText"/>
        </w:rPr>
        <w:t> </w:t>
      </w:r>
      <w:r>
        <w:rPr>
          <w:rStyle w:val="CharPartText"/>
        </w:rPr>
        <w:t>Vehicle and engine identification numbers</w:t>
      </w:r>
      <w:bookmarkEnd w:id="222"/>
      <w:bookmarkEnd w:id="223"/>
      <w:bookmarkEnd w:id="224"/>
    </w:p>
    <w:p>
      <w:pPr>
        <w:pStyle w:val="Heading5"/>
        <w:rPr>
          <w:b w:val="0"/>
        </w:rPr>
      </w:pPr>
      <w:bookmarkStart w:id="225" w:name="_Toc112317088"/>
      <w:r>
        <w:rPr>
          <w:rStyle w:val="CharSectno"/>
        </w:rPr>
        <w:t>141</w:t>
      </w:r>
      <w:r>
        <w:t>.</w:t>
      </w:r>
      <w:r>
        <w:tab/>
      </w:r>
      <w:r>
        <w:rPr>
          <w:snapToGrid w:val="0"/>
        </w:rPr>
        <w:t>Vehicle identification number</w:t>
      </w:r>
      <w:bookmarkEnd w:id="225"/>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226" w:name="_Toc112317089"/>
      <w:r>
        <w:rPr>
          <w:rStyle w:val="CharSectno"/>
        </w:rPr>
        <w:t>142</w:t>
      </w:r>
      <w:r>
        <w:t>.</w:t>
      </w:r>
      <w:r>
        <w:tab/>
      </w:r>
      <w:r>
        <w:rPr>
          <w:snapToGrid w:val="0"/>
        </w:rPr>
        <w:t>Engine identification number</w:t>
      </w:r>
      <w:bookmarkEnd w:id="226"/>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lastRenderedPageBreak/>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227" w:name="_Toc112235490"/>
      <w:bookmarkStart w:id="228" w:name="_Toc112237272"/>
      <w:bookmarkStart w:id="229" w:name="_Toc112317090"/>
      <w:r>
        <w:rPr>
          <w:rStyle w:val="CharPartNo"/>
        </w:rPr>
        <w:lastRenderedPageBreak/>
        <w:t>Part 7</w:t>
      </w:r>
      <w:r>
        <w:t> — </w:t>
      </w:r>
      <w:r>
        <w:rPr>
          <w:rStyle w:val="CharPartText"/>
        </w:rPr>
        <w:t>Written</w:t>
      </w:r>
      <w:r>
        <w:rPr>
          <w:rStyle w:val="CharPartText"/>
        </w:rPr>
        <w:noBreakHyphen/>
        <w:t>Off Vehicle Register</w:t>
      </w:r>
      <w:bookmarkEnd w:id="227"/>
      <w:bookmarkEnd w:id="228"/>
      <w:bookmarkEnd w:id="229"/>
    </w:p>
    <w:p>
      <w:pPr>
        <w:pStyle w:val="Heading3"/>
      </w:pPr>
      <w:bookmarkStart w:id="230" w:name="_Toc112235491"/>
      <w:bookmarkStart w:id="231" w:name="_Toc112237273"/>
      <w:bookmarkStart w:id="232" w:name="_Toc112317091"/>
      <w:r>
        <w:rPr>
          <w:rStyle w:val="CharDivNo"/>
        </w:rPr>
        <w:t>Division 1</w:t>
      </w:r>
      <w:r>
        <w:t> — </w:t>
      </w:r>
      <w:r>
        <w:rPr>
          <w:rStyle w:val="CharDivText"/>
        </w:rPr>
        <w:t>Preliminary</w:t>
      </w:r>
      <w:bookmarkEnd w:id="230"/>
      <w:bookmarkEnd w:id="231"/>
      <w:bookmarkEnd w:id="232"/>
    </w:p>
    <w:p>
      <w:pPr>
        <w:pStyle w:val="Heading5"/>
      </w:pPr>
      <w:bookmarkStart w:id="233" w:name="_Toc112317092"/>
      <w:r>
        <w:rPr>
          <w:rStyle w:val="CharSectno"/>
        </w:rPr>
        <w:t>146</w:t>
      </w:r>
      <w:r>
        <w:t>.</w:t>
      </w:r>
      <w:r>
        <w:tab/>
        <w:t>Terms used</w:t>
      </w:r>
      <w:bookmarkEnd w:id="233"/>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lastRenderedPageBreak/>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234" w:name="_Toc112317093"/>
      <w:r>
        <w:rPr>
          <w:rStyle w:val="CharSectno"/>
        </w:rPr>
        <w:t>147</w:t>
      </w:r>
      <w:r>
        <w:t>.</w:t>
      </w:r>
      <w:r>
        <w:tab/>
        <w:t>Total loss vehicles</w:t>
      </w:r>
      <w:bookmarkEnd w:id="234"/>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lastRenderedPageBreak/>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235" w:name="_Toc112317094"/>
      <w:r>
        <w:rPr>
          <w:rStyle w:val="CharSectno"/>
        </w:rPr>
        <w:t>148</w:t>
      </w:r>
      <w:r>
        <w:t>.</w:t>
      </w:r>
      <w:r>
        <w:tab/>
        <w:t>Written</w:t>
      </w:r>
      <w:r>
        <w:noBreakHyphen/>
        <w:t>off vehicles</w:t>
      </w:r>
      <w:bookmarkEnd w:id="235"/>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236" w:name="_Toc112317095"/>
      <w:r>
        <w:rPr>
          <w:rStyle w:val="CharSectno"/>
        </w:rPr>
        <w:t>149</w:t>
      </w:r>
      <w:r>
        <w:t>.</w:t>
      </w:r>
      <w:r>
        <w:tab/>
        <w:t>Notifiable vehicles</w:t>
      </w:r>
      <w:bookmarkEnd w:id="236"/>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237" w:name="_Toc112317096"/>
      <w:r>
        <w:rPr>
          <w:rStyle w:val="CharSectno"/>
        </w:rPr>
        <w:t>150</w:t>
      </w:r>
      <w:r>
        <w:t>.</w:t>
      </w:r>
      <w:r>
        <w:tab/>
        <w:t>Statutory write</w:t>
      </w:r>
      <w:r>
        <w:noBreakHyphen/>
        <w:t>offs</w:t>
      </w:r>
      <w:bookmarkEnd w:id="237"/>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lastRenderedPageBreak/>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238" w:name="_Toc112317097"/>
      <w:r>
        <w:rPr>
          <w:rStyle w:val="CharSectno"/>
        </w:rPr>
        <w:t>151</w:t>
      </w:r>
      <w:r>
        <w:t>.</w:t>
      </w:r>
      <w:r>
        <w:tab/>
        <w:t>Repairable write</w:t>
      </w:r>
      <w:r>
        <w:noBreakHyphen/>
        <w:t>offs</w:t>
      </w:r>
      <w:bookmarkEnd w:id="238"/>
    </w:p>
    <w:p>
      <w:pPr>
        <w:pStyle w:val="Subsection"/>
      </w:pPr>
      <w:r>
        <w:tab/>
      </w:r>
      <w:r>
        <w:tab/>
        <w:t>A notifiable vehicle is a repairable write</w:t>
      </w:r>
      <w:r>
        <w:noBreakHyphen/>
        <w:t>off if it is not a statutory write</w:t>
      </w:r>
      <w:r>
        <w:noBreakHyphen/>
        <w:t>off.</w:t>
      </w:r>
    </w:p>
    <w:p>
      <w:pPr>
        <w:pStyle w:val="Heading3"/>
        <w:spacing w:before="120"/>
      </w:pPr>
      <w:bookmarkStart w:id="239" w:name="_Toc112235498"/>
      <w:bookmarkStart w:id="240" w:name="_Toc112237280"/>
      <w:bookmarkStart w:id="241" w:name="_Toc112317098"/>
      <w:r>
        <w:rPr>
          <w:rStyle w:val="CharDivNo"/>
        </w:rPr>
        <w:t>Division 2</w:t>
      </w:r>
      <w:r>
        <w:t> — </w:t>
      </w:r>
      <w:r>
        <w:rPr>
          <w:rStyle w:val="CharDivText"/>
        </w:rPr>
        <w:t>Dealing with notifiable vehicles</w:t>
      </w:r>
      <w:bookmarkEnd w:id="239"/>
      <w:bookmarkEnd w:id="240"/>
      <w:bookmarkEnd w:id="241"/>
    </w:p>
    <w:p>
      <w:pPr>
        <w:pStyle w:val="Heading5"/>
        <w:spacing w:before="120"/>
        <w:rPr>
          <w:b w:val="0"/>
        </w:rPr>
      </w:pPr>
      <w:bookmarkStart w:id="242" w:name="_Toc112317099"/>
      <w:r>
        <w:rPr>
          <w:rStyle w:val="CharSectno"/>
        </w:rPr>
        <w:t>152</w:t>
      </w:r>
      <w:r>
        <w:t>.</w:t>
      </w:r>
      <w:r>
        <w:tab/>
        <w:t>Notification and marking of write</w:t>
      </w:r>
      <w:r>
        <w:noBreakHyphen/>
        <w:t>offs</w:t>
      </w:r>
      <w:bookmarkEnd w:id="242"/>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lastRenderedPageBreak/>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243" w:name="_Toc112317100"/>
      <w:r>
        <w:rPr>
          <w:rStyle w:val="CharSectno"/>
        </w:rPr>
        <w:t>153</w:t>
      </w:r>
      <w:r>
        <w:t>.</w:t>
      </w:r>
      <w:r>
        <w:tab/>
        <w:t>Written</w:t>
      </w:r>
      <w:r>
        <w:noBreakHyphen/>
        <w:t>off vehicle notices</w:t>
      </w:r>
      <w:bookmarkEnd w:id="243"/>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lastRenderedPageBreak/>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244" w:name="_Toc112317101"/>
      <w:r>
        <w:rPr>
          <w:rStyle w:val="CharSectno"/>
        </w:rPr>
        <w:t>154</w:t>
      </w:r>
      <w:r>
        <w:t>.</w:t>
      </w:r>
      <w:r>
        <w:tab/>
        <w:t>Written</w:t>
      </w:r>
      <w:r>
        <w:noBreakHyphen/>
        <w:t>off warning labels</w:t>
      </w:r>
      <w:bookmarkEnd w:id="244"/>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245" w:name="_Toc112317102"/>
      <w:r>
        <w:rPr>
          <w:rStyle w:val="CharSectno"/>
        </w:rPr>
        <w:lastRenderedPageBreak/>
        <w:t>155</w:t>
      </w:r>
      <w:r>
        <w:t>.</w:t>
      </w:r>
      <w:r>
        <w:tab/>
        <w:t>Marking over vehicle identifiers of statutory write</w:t>
      </w:r>
      <w:r>
        <w:noBreakHyphen/>
        <w:t>offs</w:t>
      </w:r>
      <w:bookmarkEnd w:id="245"/>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246" w:name="_Toc112235503"/>
      <w:bookmarkStart w:id="247" w:name="_Toc112237285"/>
      <w:bookmarkStart w:id="248" w:name="_Toc112317103"/>
      <w:r>
        <w:rPr>
          <w:rStyle w:val="CharDivNo"/>
        </w:rPr>
        <w:t>Division 3</w:t>
      </w:r>
      <w:r>
        <w:t> — </w:t>
      </w:r>
      <w:r>
        <w:rPr>
          <w:rStyle w:val="CharDivText"/>
        </w:rPr>
        <w:t>Registration of written</w:t>
      </w:r>
      <w:r>
        <w:rPr>
          <w:rStyle w:val="CharDivText"/>
        </w:rPr>
        <w:noBreakHyphen/>
        <w:t>off vehicles</w:t>
      </w:r>
      <w:bookmarkEnd w:id="246"/>
      <w:bookmarkEnd w:id="247"/>
      <w:bookmarkEnd w:id="248"/>
    </w:p>
    <w:p>
      <w:pPr>
        <w:pStyle w:val="Heading5"/>
        <w:rPr>
          <w:b w:val="0"/>
          <w:i/>
        </w:rPr>
      </w:pPr>
      <w:bookmarkStart w:id="249" w:name="_Toc112317104"/>
      <w:r>
        <w:rPr>
          <w:rStyle w:val="CharSectno"/>
        </w:rPr>
        <w:t>156</w:t>
      </w:r>
      <w:r>
        <w:t>.</w:t>
      </w:r>
      <w:r>
        <w:tab/>
        <w:t>Written</w:t>
      </w:r>
      <w:r>
        <w:noBreakHyphen/>
        <w:t>Off Vehicle Register</w:t>
      </w:r>
      <w:bookmarkEnd w:id="249"/>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250" w:name="_Toc112317105"/>
      <w:r>
        <w:rPr>
          <w:rStyle w:val="CharSectno"/>
        </w:rPr>
        <w:t>157</w:t>
      </w:r>
      <w:r>
        <w:t>.</w:t>
      </w:r>
      <w:r>
        <w:tab/>
        <w:t>WOVR to include particulars of notifiable vehicles</w:t>
      </w:r>
      <w:bookmarkEnd w:id="250"/>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251" w:name="_Toc112317106"/>
      <w:r>
        <w:rPr>
          <w:rStyle w:val="CharSectno"/>
        </w:rPr>
        <w:lastRenderedPageBreak/>
        <w:t>158</w:t>
      </w:r>
      <w:r>
        <w:t>.</w:t>
      </w:r>
      <w:r>
        <w:tab/>
        <w:t>Cancellation of entry in WOVR</w:t>
      </w:r>
      <w:bookmarkEnd w:id="251"/>
    </w:p>
    <w:p>
      <w:pPr>
        <w:pStyle w:val="Subsection"/>
      </w:pPr>
      <w:r>
        <w:tab/>
        <w:t>(1A)</w:t>
      </w:r>
      <w:r>
        <w:tab/>
        <w:t>This regulation does not apply to an entry in the WOVR made under regulation 158A(3).</w:t>
      </w:r>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Footnotesection"/>
      </w:pPr>
      <w:r>
        <w:tab/>
        <w:t>[Regulation 158 amended: SL 2022/16 r. 5.]</w:t>
      </w:r>
    </w:p>
    <w:p>
      <w:pPr>
        <w:pStyle w:val="Heading5"/>
      </w:pPr>
      <w:bookmarkStart w:id="252" w:name="_Toc112317107"/>
      <w:r>
        <w:rPr>
          <w:rStyle w:val="CharSectno"/>
        </w:rPr>
        <w:t>158A</w:t>
      </w:r>
      <w:r>
        <w:t>.</w:t>
      </w:r>
      <w:r>
        <w:tab/>
        <w:t>WOVR to include information relating to certain NSW written</w:t>
      </w:r>
      <w:r>
        <w:noBreakHyphen/>
        <w:t>off heavy vehicles</w:t>
      </w:r>
      <w:bookmarkEnd w:id="252"/>
    </w:p>
    <w:p>
      <w:pPr>
        <w:pStyle w:val="Subsection"/>
      </w:pPr>
      <w:r>
        <w:tab/>
        <w:t>(1)</w:t>
      </w:r>
      <w:r>
        <w:tab/>
        <w:t xml:space="preserve">In this regulation — </w:t>
      </w:r>
    </w:p>
    <w:p>
      <w:pPr>
        <w:pStyle w:val="Defstart"/>
      </w:pPr>
      <w:r>
        <w:tab/>
      </w:r>
      <w:r>
        <w:rPr>
          <w:rStyle w:val="CharDefText"/>
        </w:rPr>
        <w:t>relevant information</w:t>
      </w:r>
      <w:r>
        <w:t xml:space="preserve"> means information of the kind listed in regulation 153.</w:t>
      </w:r>
    </w:p>
    <w:p>
      <w:pPr>
        <w:pStyle w:val="Subsection"/>
        <w:keepNext/>
      </w:pPr>
      <w:r>
        <w:lastRenderedPageBreak/>
        <w:tab/>
        <w:t>(2)</w:t>
      </w:r>
      <w:r>
        <w:tab/>
        <w:t>This regulation applies to a vehicle if the CEO is satisfied that the vehicle is recorded in the register of written</w:t>
      </w:r>
      <w:r>
        <w:noBreakHyphen/>
        <w:t xml:space="preserve">off heavy vehicles (the </w:t>
      </w:r>
      <w:r>
        <w:rPr>
          <w:rStyle w:val="CharDefText"/>
        </w:rPr>
        <w:t>NSW WOHVR</w:t>
      </w:r>
      <w:r>
        <w:t xml:space="preserve">) — </w:t>
      </w:r>
    </w:p>
    <w:p>
      <w:pPr>
        <w:pStyle w:val="Indenta"/>
      </w:pPr>
      <w:r>
        <w:tab/>
        <w:t>(a)</w:t>
      </w:r>
      <w:r>
        <w:tab/>
        <w:t xml:space="preserve">under the </w:t>
      </w:r>
      <w:r>
        <w:rPr>
          <w:i/>
        </w:rPr>
        <w:t xml:space="preserve">Road Transport Act 2013 </w:t>
      </w:r>
      <w:r>
        <w:t>(NSW) section 104B(1)(a) as a statutory written</w:t>
      </w:r>
      <w:r>
        <w:noBreakHyphen/>
        <w:t>off heavy vehicle; or</w:t>
      </w:r>
    </w:p>
    <w:p>
      <w:pPr>
        <w:pStyle w:val="Indenta"/>
      </w:pPr>
      <w:r>
        <w:tab/>
        <w:t>(b)</w:t>
      </w:r>
      <w:r>
        <w:tab/>
        <w:t xml:space="preserve">under the </w:t>
      </w:r>
      <w:r>
        <w:rPr>
          <w:i/>
        </w:rPr>
        <w:t xml:space="preserve">Road Transport Act 2013 </w:t>
      </w:r>
      <w:r>
        <w:t>(NSW) section 104B(1)(b) as a repairable written</w:t>
      </w:r>
      <w:r>
        <w:noBreakHyphen/>
        <w:t>off heavy vehicle.</w:t>
      </w:r>
    </w:p>
    <w:p>
      <w:pPr>
        <w:pStyle w:val="Subsection"/>
      </w:pPr>
      <w:r>
        <w:tab/>
        <w:t>(3)</w:t>
      </w:r>
      <w:r>
        <w:tab/>
        <w:t>The CEO must register the vehicle by entering in the WOVR any relevant information that is available for the vehicle in the NSW WOHVR.</w:t>
      </w:r>
    </w:p>
    <w:p>
      <w:pPr>
        <w:pStyle w:val="Footnotesection"/>
      </w:pPr>
      <w:r>
        <w:tab/>
        <w:t>[Regulation 158A inserted: SL 2022/16 r. 6.]</w:t>
      </w:r>
    </w:p>
    <w:p>
      <w:pPr>
        <w:pStyle w:val="Heading5"/>
      </w:pPr>
      <w:bookmarkStart w:id="253" w:name="_Toc112317108"/>
      <w:r>
        <w:rPr>
          <w:rStyle w:val="CharSectno"/>
        </w:rPr>
        <w:t>158B</w:t>
      </w:r>
      <w:r>
        <w:t>.</w:t>
      </w:r>
      <w:r>
        <w:tab/>
        <w:t>Cancellation of entry in WOVR of certain repaired and registered NSW written</w:t>
      </w:r>
      <w:r>
        <w:noBreakHyphen/>
        <w:t>off heavy vehicles</w:t>
      </w:r>
      <w:bookmarkEnd w:id="253"/>
    </w:p>
    <w:p>
      <w:pPr>
        <w:pStyle w:val="Subsection"/>
      </w:pPr>
      <w:r>
        <w:tab/>
        <w:t>(1)</w:t>
      </w:r>
      <w:r>
        <w:tab/>
        <w:t xml:space="preserve">This regulation applies if — </w:t>
      </w:r>
    </w:p>
    <w:p>
      <w:pPr>
        <w:pStyle w:val="Indenta"/>
      </w:pPr>
      <w:r>
        <w:tab/>
        <w:t>(a)</w:t>
      </w:r>
      <w:r>
        <w:tab/>
        <w:t>the CEO entered in the WOVR information relating to a vehicle under regulation 158A(3) because the vehicle was recorded in the register of written</w:t>
      </w:r>
      <w:r>
        <w:noBreakHyphen/>
        <w:t xml:space="preserve">off heavy vehicles under the </w:t>
      </w:r>
      <w:r>
        <w:rPr>
          <w:i/>
        </w:rPr>
        <w:t xml:space="preserve">Road Transport Act 2013 </w:t>
      </w:r>
      <w:r>
        <w:t>(NSW) section 104B(1)(b) as a repairable written</w:t>
      </w:r>
      <w:r>
        <w:noBreakHyphen/>
        <w:t>off heavy vehicle; and</w:t>
      </w:r>
    </w:p>
    <w:p>
      <w:pPr>
        <w:pStyle w:val="Indenta"/>
      </w:pPr>
      <w:r>
        <w:tab/>
        <w:t>(b)</w:t>
      </w:r>
      <w:r>
        <w:tab/>
        <w:t>the CEO is satisfied that the vehicle is recorded in the register of written</w:t>
      </w:r>
      <w:r>
        <w:noBreakHyphen/>
        <w:t xml:space="preserve">off heavy vehicles under the </w:t>
      </w:r>
      <w:r>
        <w:rPr>
          <w:i/>
        </w:rPr>
        <w:t xml:space="preserve">Road Transport Act 2013 </w:t>
      </w:r>
      <w:r>
        <w:t>(NSW) section 104B(1)(c) as an inspected written</w:t>
      </w:r>
      <w:r>
        <w:noBreakHyphen/>
        <w:t>off heavy vehicle.</w:t>
      </w:r>
    </w:p>
    <w:p>
      <w:pPr>
        <w:pStyle w:val="Subsection"/>
      </w:pPr>
      <w:r>
        <w:tab/>
        <w:t>(2)</w:t>
      </w:r>
      <w:r>
        <w:tab/>
        <w:t>The CEO must cancel the entry in the WOVR in respect of the inspected written</w:t>
      </w:r>
      <w:r>
        <w:noBreakHyphen/>
        <w:t>off heavy vehicle.</w:t>
      </w:r>
    </w:p>
    <w:p>
      <w:pPr>
        <w:pStyle w:val="Footnotesection"/>
      </w:pPr>
      <w:r>
        <w:tab/>
        <w:t>[Regulation 158B inserted: SL 2022/16 r. 6.]</w:t>
      </w:r>
    </w:p>
    <w:p>
      <w:pPr>
        <w:pStyle w:val="Heading2"/>
      </w:pPr>
      <w:bookmarkStart w:id="254" w:name="_Toc112235509"/>
      <w:bookmarkStart w:id="255" w:name="_Toc112237291"/>
      <w:bookmarkStart w:id="256" w:name="_Toc112317109"/>
      <w:r>
        <w:rPr>
          <w:rStyle w:val="CharPartNo"/>
        </w:rPr>
        <w:lastRenderedPageBreak/>
        <w:t>Part 8</w:t>
      </w:r>
      <w:r>
        <w:t> — </w:t>
      </w:r>
      <w:r>
        <w:rPr>
          <w:rStyle w:val="CharPartText"/>
        </w:rPr>
        <w:t>Mass, dimension and loading requirements</w:t>
      </w:r>
      <w:bookmarkEnd w:id="254"/>
      <w:bookmarkEnd w:id="255"/>
      <w:bookmarkEnd w:id="256"/>
    </w:p>
    <w:p>
      <w:pPr>
        <w:pStyle w:val="Heading3"/>
      </w:pPr>
      <w:bookmarkStart w:id="257" w:name="_Toc112235510"/>
      <w:bookmarkStart w:id="258" w:name="_Toc112237292"/>
      <w:bookmarkStart w:id="259" w:name="_Toc112317110"/>
      <w:r>
        <w:rPr>
          <w:rStyle w:val="CharDivNo"/>
        </w:rPr>
        <w:t>Division 1</w:t>
      </w:r>
      <w:r>
        <w:t> — </w:t>
      </w:r>
      <w:r>
        <w:rPr>
          <w:rStyle w:val="CharDivText"/>
        </w:rPr>
        <w:t>Mass requirements</w:t>
      </w:r>
      <w:bookmarkEnd w:id="257"/>
      <w:bookmarkEnd w:id="258"/>
      <w:bookmarkEnd w:id="259"/>
    </w:p>
    <w:p>
      <w:pPr>
        <w:pStyle w:val="Heading4"/>
      </w:pPr>
      <w:bookmarkStart w:id="260" w:name="_Toc112235511"/>
      <w:bookmarkStart w:id="261" w:name="_Toc112237293"/>
      <w:bookmarkStart w:id="262" w:name="_Toc112317111"/>
      <w:r>
        <w:t>Subdivision 1 — General</w:t>
      </w:r>
      <w:bookmarkEnd w:id="260"/>
      <w:bookmarkEnd w:id="261"/>
      <w:bookmarkEnd w:id="262"/>
    </w:p>
    <w:p>
      <w:pPr>
        <w:pStyle w:val="Heading5"/>
      </w:pPr>
      <w:bookmarkStart w:id="263" w:name="_Toc112317112"/>
      <w:r>
        <w:rPr>
          <w:rStyle w:val="CharSectno"/>
        </w:rPr>
        <w:t>159</w:t>
      </w:r>
      <w:r>
        <w:t>.</w:t>
      </w:r>
      <w:r>
        <w:tab/>
        <w:t>Mass requirements</w:t>
      </w:r>
      <w:bookmarkEnd w:id="263"/>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64" w:name="_Toc112317113"/>
      <w:r>
        <w:rPr>
          <w:rStyle w:val="CharSectno"/>
        </w:rPr>
        <w:t>160</w:t>
      </w:r>
      <w:r>
        <w:t>.</w:t>
      </w:r>
      <w:r>
        <w:tab/>
        <w:t>Mass requirements for all single vehicles</w:t>
      </w:r>
      <w:bookmarkEnd w:id="264"/>
    </w:p>
    <w:p>
      <w:pPr>
        <w:pStyle w:val="Subsection"/>
      </w:pPr>
      <w:r>
        <w:tab/>
      </w:r>
      <w:r>
        <w:tab/>
        <w:t>The total mass of a vehicle and its load must not exceed the vehicle’s GVM.</w:t>
      </w:r>
    </w:p>
    <w:p>
      <w:pPr>
        <w:pStyle w:val="Heading5"/>
      </w:pPr>
      <w:bookmarkStart w:id="265" w:name="_Toc112317114"/>
      <w:r>
        <w:rPr>
          <w:rStyle w:val="CharSectno"/>
        </w:rPr>
        <w:t>161</w:t>
      </w:r>
      <w:r>
        <w:t>.</w:t>
      </w:r>
      <w:r>
        <w:tab/>
        <w:t>Complying buses</w:t>
      </w:r>
      <w:bookmarkEnd w:id="265"/>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lastRenderedPageBreak/>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266" w:name="_Toc112317115"/>
      <w:r>
        <w:rPr>
          <w:rStyle w:val="CharSectno"/>
        </w:rPr>
        <w:t>162</w:t>
      </w:r>
      <w:r>
        <w:t>.</w:t>
      </w:r>
      <w:r>
        <w:tab/>
        <w:t>Declaring buses to be complying buses</w:t>
      </w:r>
      <w:bookmarkEnd w:id="266"/>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lastRenderedPageBreak/>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267" w:name="_Toc112235516"/>
      <w:bookmarkStart w:id="268" w:name="_Toc112237298"/>
      <w:bookmarkStart w:id="269" w:name="_Toc112317116"/>
      <w:r>
        <w:t>Subdivision 2 — Heavy vehicles</w:t>
      </w:r>
      <w:bookmarkEnd w:id="267"/>
      <w:bookmarkEnd w:id="268"/>
      <w:bookmarkEnd w:id="269"/>
    </w:p>
    <w:p>
      <w:pPr>
        <w:pStyle w:val="Heading5"/>
      </w:pPr>
      <w:bookmarkStart w:id="270" w:name="_Toc112317117"/>
      <w:r>
        <w:rPr>
          <w:rStyle w:val="CharSectno"/>
        </w:rPr>
        <w:t>163</w:t>
      </w:r>
      <w:r>
        <w:t>.</w:t>
      </w:r>
      <w:r>
        <w:tab/>
        <w:t>Mass limits for heavy vehicle tyres</w:t>
      </w:r>
      <w:bookmarkEnd w:id="270"/>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271" w:name="_Toc112317118"/>
      <w:r>
        <w:rPr>
          <w:rStyle w:val="CharSectno"/>
        </w:rPr>
        <w:t>164</w:t>
      </w:r>
      <w:r>
        <w:t>.</w:t>
      </w:r>
      <w:r>
        <w:tab/>
        <w:t>Mass limits for heavy vehicle wheels and axles</w:t>
      </w:r>
      <w:bookmarkEnd w:id="271"/>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lastRenderedPageBreak/>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 xml:space="preserve">in the case of a combination consisting of a complying bus and a trailer — the sum of the mass limit specified for the bus in paragraph (a) and the mass limits of the </w:t>
      </w:r>
      <w:r>
        <w:lastRenderedPageBreak/>
        <w:t>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keepNext/>
              <w:tabs>
                <w:tab w:val="left" w:leader="dot" w:pos="5103"/>
              </w:tabs>
              <w:rPr>
                <w:b/>
                <w:i/>
              </w:rPr>
            </w:pPr>
            <w:r>
              <w:rPr>
                <w:b/>
                <w:i/>
              </w:rPr>
              <w:lastRenderedPageBreak/>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lastRenderedPageBreak/>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272" w:name="_Toc112317119"/>
      <w:r>
        <w:rPr>
          <w:rStyle w:val="CharSectno"/>
        </w:rPr>
        <w:t>165</w:t>
      </w:r>
      <w:r>
        <w:t>.</w:t>
      </w:r>
      <w:r>
        <w:tab/>
        <w:t>Mass limits relating to heavy vehicle axle spacing</w:t>
      </w:r>
      <w:bookmarkEnd w:id="272"/>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lastRenderedPageBreak/>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lastRenderedPageBreak/>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lastRenderedPageBreak/>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273" w:name="_Toc112317120"/>
      <w:r>
        <w:rPr>
          <w:rStyle w:val="CharSectno"/>
        </w:rPr>
        <w:t>166</w:t>
      </w:r>
      <w:r>
        <w:t>.</w:t>
      </w:r>
      <w:r>
        <w:tab/>
        <w:t>Mass limits for combinations</w:t>
      </w:r>
      <w:bookmarkEnd w:id="273"/>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lastRenderedPageBreak/>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274" w:name="_Toc112235521"/>
      <w:bookmarkStart w:id="275" w:name="_Toc112237303"/>
      <w:bookmarkStart w:id="276" w:name="_Toc112317121"/>
      <w:r>
        <w:t>Subdivision 3 — Light vehicles</w:t>
      </w:r>
      <w:bookmarkEnd w:id="274"/>
      <w:bookmarkEnd w:id="275"/>
      <w:bookmarkEnd w:id="276"/>
    </w:p>
    <w:p>
      <w:pPr>
        <w:pStyle w:val="Heading5"/>
      </w:pPr>
      <w:bookmarkStart w:id="277" w:name="_Toc112317122"/>
      <w:r>
        <w:rPr>
          <w:rStyle w:val="CharSectno"/>
        </w:rPr>
        <w:t>167</w:t>
      </w:r>
      <w:r>
        <w:t>.</w:t>
      </w:r>
      <w:r>
        <w:tab/>
        <w:t>Maximum loaded mass of light vehicles</w:t>
      </w:r>
      <w:bookmarkEnd w:id="277"/>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lastRenderedPageBreak/>
        <w:tab/>
        <w:t>(b)</w:t>
      </w:r>
      <w:r>
        <w:tab/>
        <w:t>in a case to which paragraph (a) does not apply — the unloaded mass of the motor vehicle by which it is being towed.</w:t>
      </w:r>
    </w:p>
    <w:p>
      <w:pPr>
        <w:pStyle w:val="Heading5"/>
      </w:pPr>
      <w:bookmarkStart w:id="278" w:name="_Toc112317123"/>
      <w:r>
        <w:rPr>
          <w:rStyle w:val="CharSectno"/>
        </w:rPr>
        <w:t>168</w:t>
      </w:r>
      <w:r>
        <w:t>.</w:t>
      </w:r>
      <w:r>
        <w:tab/>
        <w:t>Loaded mass of light trailers</w:t>
      </w:r>
      <w:bookmarkEnd w:id="278"/>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279" w:name="_Toc112235524"/>
      <w:bookmarkStart w:id="280" w:name="_Toc112237306"/>
      <w:bookmarkStart w:id="281" w:name="_Toc112317124"/>
      <w:r>
        <w:rPr>
          <w:rStyle w:val="CharDivNo"/>
        </w:rPr>
        <w:lastRenderedPageBreak/>
        <w:t>Division 2</w:t>
      </w:r>
      <w:r>
        <w:t> — </w:t>
      </w:r>
      <w:r>
        <w:rPr>
          <w:rStyle w:val="CharDivText"/>
        </w:rPr>
        <w:t>Dimension requirements</w:t>
      </w:r>
      <w:bookmarkEnd w:id="279"/>
      <w:bookmarkEnd w:id="280"/>
      <w:bookmarkEnd w:id="281"/>
    </w:p>
    <w:p>
      <w:pPr>
        <w:pStyle w:val="Heading5"/>
      </w:pPr>
      <w:bookmarkStart w:id="282" w:name="_Toc112317125"/>
      <w:r>
        <w:rPr>
          <w:rStyle w:val="CharSectno"/>
        </w:rPr>
        <w:t>169</w:t>
      </w:r>
      <w:r>
        <w:t>.</w:t>
      </w:r>
      <w:r>
        <w:tab/>
        <w:t>Dimension requirements</w:t>
      </w:r>
      <w:bookmarkEnd w:id="282"/>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83" w:name="_Toc112317126"/>
      <w:r>
        <w:rPr>
          <w:rStyle w:val="CharSectno"/>
        </w:rPr>
        <w:t>170</w:t>
      </w:r>
      <w:r>
        <w:t>.</w:t>
      </w:r>
      <w:r>
        <w:tab/>
        <w:t>Dimension requirements for all vehicles</w:t>
      </w:r>
      <w:bookmarkEnd w:id="283"/>
    </w:p>
    <w:p>
      <w:pPr>
        <w:pStyle w:val="Subsection"/>
        <w:rPr>
          <w:rStyle w:val="DraftersNotes"/>
        </w:rPr>
      </w:pPr>
      <w:r>
        <w:tab/>
      </w:r>
      <w:r>
        <w:tab/>
        <w:t>A vehicle and its load must not exceed a size limit set for the vehicle in this Division.</w:t>
      </w:r>
    </w:p>
    <w:p>
      <w:pPr>
        <w:pStyle w:val="Heading5"/>
      </w:pPr>
      <w:bookmarkStart w:id="284" w:name="_Toc112317127"/>
      <w:r>
        <w:rPr>
          <w:rStyle w:val="CharSectno"/>
        </w:rPr>
        <w:t>171</w:t>
      </w:r>
      <w:r>
        <w:t>.</w:t>
      </w:r>
      <w:r>
        <w:tab/>
        <w:t>Width of certain vehicles</w:t>
      </w:r>
      <w:bookmarkEnd w:id="284"/>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285" w:name="_Toc112317128"/>
      <w:r>
        <w:rPr>
          <w:rStyle w:val="CharSectno"/>
        </w:rPr>
        <w:t>172</w:t>
      </w:r>
      <w:r>
        <w:t>.</w:t>
      </w:r>
      <w:r>
        <w:tab/>
        <w:t>Length of motor vehicles</w:t>
      </w:r>
      <w:bookmarkEnd w:id="285"/>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286" w:name="_Toc112317129"/>
      <w:r>
        <w:rPr>
          <w:rStyle w:val="CharSectno"/>
        </w:rPr>
        <w:lastRenderedPageBreak/>
        <w:t>173</w:t>
      </w:r>
      <w:r>
        <w:t>.</w:t>
      </w:r>
      <w:r>
        <w:tab/>
        <w:t>Length of trailers</w:t>
      </w:r>
      <w:bookmarkEnd w:id="286"/>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lastRenderedPageBreak/>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287" w:name="_Toc112317130"/>
      <w:r>
        <w:rPr>
          <w:rStyle w:val="CharSectno"/>
        </w:rPr>
        <w:t>174</w:t>
      </w:r>
      <w:r>
        <w:t>.</w:t>
      </w:r>
      <w:r>
        <w:tab/>
        <w:t>Length of combinations</w:t>
      </w:r>
      <w:bookmarkEnd w:id="287"/>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288" w:name="_Toc112317131"/>
      <w:r>
        <w:rPr>
          <w:rStyle w:val="CharSectno"/>
        </w:rPr>
        <w:lastRenderedPageBreak/>
        <w:t>175</w:t>
      </w:r>
      <w:r>
        <w:t>.</w:t>
      </w:r>
      <w:r>
        <w:tab/>
        <w:t>Rear overhang</w:t>
      </w:r>
      <w:bookmarkEnd w:id="288"/>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289" w:name="_Toc112317132"/>
      <w:r>
        <w:rPr>
          <w:rStyle w:val="CharSectno"/>
        </w:rPr>
        <w:t>176</w:t>
      </w:r>
      <w:r>
        <w:t>.</w:t>
      </w:r>
      <w:r>
        <w:tab/>
        <w:t>Trailer drawbar length</w:t>
      </w:r>
      <w:bookmarkEnd w:id="289"/>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lastRenderedPageBreak/>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290" w:name="_Toc112317133"/>
      <w:r>
        <w:rPr>
          <w:rStyle w:val="CharSectno"/>
        </w:rPr>
        <w:t>177</w:t>
      </w:r>
      <w:r>
        <w:t>.</w:t>
      </w:r>
      <w:r>
        <w:tab/>
        <w:t>Height of certain vehicles</w:t>
      </w:r>
      <w:bookmarkEnd w:id="290"/>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291" w:name="_Toc112317134"/>
      <w:r>
        <w:rPr>
          <w:rStyle w:val="CharSectno"/>
        </w:rPr>
        <w:t>178</w:t>
      </w:r>
      <w:r>
        <w:t>.</w:t>
      </w:r>
      <w:r>
        <w:tab/>
        <w:t>Ground clearance of certain motor vehicles</w:t>
      </w:r>
      <w:bookmarkEnd w:id="291"/>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lastRenderedPageBreak/>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292" w:name="_Toc112317135"/>
      <w:r>
        <w:rPr>
          <w:rStyle w:val="CharSectno"/>
        </w:rPr>
        <w:lastRenderedPageBreak/>
        <w:t>179</w:t>
      </w:r>
      <w:r>
        <w:t>.</w:t>
      </w:r>
      <w:r>
        <w:tab/>
        <w:t>Heavy vehicle size limits</w:t>
      </w:r>
      <w:bookmarkEnd w:id="292"/>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 xml:space="preserve">the distance measured at right angles between the rear overhang line of a trailer carrying vehicles on more than </w:t>
      </w:r>
      <w:r>
        <w:lastRenderedPageBreak/>
        <w:t>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293" w:name="_Toc112317136"/>
      <w:r>
        <w:rPr>
          <w:rStyle w:val="CharSectno"/>
        </w:rPr>
        <w:t>180</w:t>
      </w:r>
      <w:r>
        <w:t>.</w:t>
      </w:r>
      <w:r>
        <w:tab/>
        <w:t>Front and side projections of heavy vehicles</w:t>
      </w:r>
      <w:bookmarkEnd w:id="293"/>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294" w:name="_Toc112317137"/>
      <w:r>
        <w:rPr>
          <w:rStyle w:val="CharSectno"/>
        </w:rPr>
        <w:lastRenderedPageBreak/>
        <w:t>181</w:t>
      </w:r>
      <w:r>
        <w:t>.</w:t>
      </w:r>
      <w:r>
        <w:tab/>
        <w:t>Warning signals for loads projecting to rear of heavy vehicles</w:t>
      </w:r>
      <w:bookmarkEnd w:id="29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295" w:name="_Toc112317138"/>
      <w:r>
        <w:rPr>
          <w:rStyle w:val="CharSectno"/>
        </w:rPr>
        <w:t>182</w:t>
      </w:r>
      <w:r>
        <w:t>.</w:t>
      </w:r>
      <w:r>
        <w:tab/>
        <w:t>Size and projection of loads of light vehicles</w:t>
      </w:r>
      <w:bookmarkEnd w:id="295"/>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lastRenderedPageBreak/>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296" w:name="_Toc112317139"/>
      <w:r>
        <w:rPr>
          <w:rStyle w:val="CharSectno"/>
        </w:rPr>
        <w:t>183</w:t>
      </w:r>
      <w:r>
        <w:t>.</w:t>
      </w:r>
      <w:r>
        <w:tab/>
        <w:t>Warning signals for loads of light vehicles</w:t>
      </w:r>
      <w:bookmarkEnd w:id="296"/>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297" w:name="_Toc112317140"/>
      <w:r>
        <w:rPr>
          <w:rStyle w:val="CharSectno"/>
        </w:rPr>
        <w:t>184</w:t>
      </w:r>
      <w:r>
        <w:t>.</w:t>
      </w:r>
      <w:r>
        <w:tab/>
        <w:t>Dangerous projection requirement for categories of breach</w:t>
      </w:r>
      <w:bookmarkEnd w:id="297"/>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298" w:name="_Toc112317141"/>
      <w:r>
        <w:rPr>
          <w:rStyle w:val="CharSectno"/>
        </w:rPr>
        <w:lastRenderedPageBreak/>
        <w:t>185</w:t>
      </w:r>
      <w:r>
        <w:t>.</w:t>
      </w:r>
      <w:r>
        <w:tab/>
        <w:t>Warning requirements for categories of breach</w:t>
      </w:r>
      <w:bookmarkEnd w:id="298"/>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299" w:name="_Toc112235542"/>
      <w:bookmarkStart w:id="300" w:name="_Toc112237324"/>
      <w:bookmarkStart w:id="301" w:name="_Toc112317142"/>
      <w:r>
        <w:rPr>
          <w:rStyle w:val="CharDivNo"/>
        </w:rPr>
        <w:t>Division 3</w:t>
      </w:r>
      <w:r>
        <w:t> — </w:t>
      </w:r>
      <w:r>
        <w:rPr>
          <w:rStyle w:val="CharDivText"/>
        </w:rPr>
        <w:t>Loading requirements</w:t>
      </w:r>
      <w:bookmarkEnd w:id="299"/>
      <w:bookmarkEnd w:id="300"/>
      <w:bookmarkEnd w:id="301"/>
    </w:p>
    <w:p>
      <w:pPr>
        <w:pStyle w:val="Heading5"/>
      </w:pPr>
      <w:bookmarkStart w:id="302" w:name="_Toc112317143"/>
      <w:r>
        <w:rPr>
          <w:rStyle w:val="CharSectno"/>
        </w:rPr>
        <w:t>186</w:t>
      </w:r>
      <w:r>
        <w:t>.</w:t>
      </w:r>
      <w:r>
        <w:tab/>
        <w:t>Loading requirements</w:t>
      </w:r>
      <w:bookmarkEnd w:id="302"/>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303" w:name="_Toc112317144"/>
      <w:r>
        <w:rPr>
          <w:rStyle w:val="CharSectno"/>
        </w:rPr>
        <w:t>187</w:t>
      </w:r>
      <w:r>
        <w:t>.</w:t>
      </w:r>
      <w:r>
        <w:tab/>
        <w:t>Placement and securing of loads</w:t>
      </w:r>
      <w:bookmarkEnd w:id="303"/>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lastRenderedPageBreak/>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304" w:name="_Toc112235545"/>
      <w:bookmarkStart w:id="305" w:name="_Toc112237327"/>
      <w:bookmarkStart w:id="306" w:name="_Toc112317145"/>
      <w:r>
        <w:rPr>
          <w:rStyle w:val="CharDivNo"/>
        </w:rPr>
        <w:t>Division 4</w:t>
      </w:r>
      <w:r>
        <w:t> — </w:t>
      </w:r>
      <w:r>
        <w:rPr>
          <w:rStyle w:val="CharDivText"/>
        </w:rPr>
        <w:t>Exemption from mass, dimension or loading requirements in emergency areas</w:t>
      </w:r>
      <w:bookmarkEnd w:id="304"/>
      <w:bookmarkEnd w:id="305"/>
      <w:bookmarkEnd w:id="306"/>
    </w:p>
    <w:p>
      <w:pPr>
        <w:pStyle w:val="Heading5"/>
      </w:pPr>
      <w:bookmarkStart w:id="307" w:name="_Toc112317146"/>
      <w:r>
        <w:rPr>
          <w:rStyle w:val="CharSectno"/>
        </w:rPr>
        <w:t>188</w:t>
      </w:r>
      <w:r>
        <w:t>.</w:t>
      </w:r>
      <w:r>
        <w:tab/>
        <w:t>Exemptions from mass, dimension or loading requirements in emergency areas</w:t>
      </w:r>
      <w:bookmarkEnd w:id="307"/>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308" w:name="_Toc112317147"/>
      <w:r>
        <w:rPr>
          <w:rStyle w:val="CharSectno"/>
        </w:rPr>
        <w:lastRenderedPageBreak/>
        <w:t>189</w:t>
      </w:r>
      <w:r>
        <w:t>.</w:t>
      </w:r>
      <w:r>
        <w:tab/>
        <w:t>Notification and reconsideration of emergency area exemption decisions</w:t>
      </w:r>
      <w:bookmarkEnd w:id="308"/>
    </w:p>
    <w:p>
      <w:pPr>
        <w:pStyle w:val="Subsection"/>
      </w:pPr>
      <w:r>
        <w:tab/>
      </w:r>
      <w:r>
        <w:tab/>
        <w:t>Part 15 provides for the notification and reconsideration of certain decisions made under regulation 188.</w:t>
      </w:r>
    </w:p>
    <w:p>
      <w:pPr>
        <w:pStyle w:val="Heading3"/>
      </w:pPr>
      <w:bookmarkStart w:id="309" w:name="_Toc112235548"/>
      <w:bookmarkStart w:id="310" w:name="_Toc112237330"/>
      <w:bookmarkStart w:id="311" w:name="_Toc112317148"/>
      <w:r>
        <w:rPr>
          <w:rStyle w:val="CharDivNo"/>
        </w:rPr>
        <w:t>Division 5</w:t>
      </w:r>
      <w:r>
        <w:t> — </w:t>
      </w:r>
      <w:r>
        <w:rPr>
          <w:rStyle w:val="CharDivText"/>
        </w:rPr>
        <w:t>Modification of mass or dimension requirements for certain vehicles</w:t>
      </w:r>
      <w:bookmarkEnd w:id="309"/>
      <w:bookmarkEnd w:id="310"/>
      <w:bookmarkEnd w:id="311"/>
    </w:p>
    <w:p>
      <w:pPr>
        <w:pStyle w:val="Heading5"/>
      </w:pPr>
      <w:bookmarkStart w:id="312" w:name="_Toc112317149"/>
      <w:r>
        <w:rPr>
          <w:rStyle w:val="CharSectno"/>
        </w:rPr>
        <w:t>190</w:t>
      </w:r>
      <w:r>
        <w:t>.</w:t>
      </w:r>
      <w:r>
        <w:tab/>
        <w:t>Terms used</w:t>
      </w:r>
      <w:bookmarkEnd w:id="312"/>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lastRenderedPageBreak/>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313" w:name="_Toc112317150"/>
      <w:r>
        <w:rPr>
          <w:rStyle w:val="CharSectno"/>
        </w:rPr>
        <w:t>191</w:t>
      </w:r>
      <w:r>
        <w:t>.</w:t>
      </w:r>
      <w:r>
        <w:tab/>
        <w:t>Vehicles for which mass or dimension requirements may be modified</w:t>
      </w:r>
      <w:bookmarkEnd w:id="313"/>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314" w:name="_Toc112317151"/>
      <w:r>
        <w:rPr>
          <w:rStyle w:val="CharSectno"/>
        </w:rPr>
        <w:t>192</w:t>
      </w:r>
      <w:r>
        <w:t>.</w:t>
      </w:r>
      <w:r>
        <w:tab/>
        <w:t>Heavy vehicles that require accredited person before mass or dimension requirement can be modified</w:t>
      </w:r>
      <w:bookmarkEnd w:id="314"/>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 xml:space="preserve">more than 4 single trip permits for one or more vehicles to have effect in the same 12 month </w:t>
      </w:r>
      <w:r>
        <w:lastRenderedPageBreak/>
        <w:t>period commencing 1 January and ending on 31 December; or</w:t>
      </w:r>
    </w:p>
    <w:p>
      <w:pPr>
        <w:pStyle w:val="Indenti"/>
      </w:pPr>
      <w:r>
        <w:tab/>
        <w:t>(ii)</w:t>
      </w:r>
      <w:r>
        <w:tab/>
        <w:t>any other permit for a vehicle.</w:t>
      </w:r>
    </w:p>
    <w:p>
      <w:pPr>
        <w:pStyle w:val="Heading5"/>
      </w:pPr>
      <w:bookmarkStart w:id="315" w:name="_Toc112317152"/>
      <w:r>
        <w:rPr>
          <w:rStyle w:val="CharSectno"/>
        </w:rPr>
        <w:t>193</w:t>
      </w:r>
      <w:r>
        <w:t>.</w:t>
      </w:r>
      <w:r>
        <w:tab/>
        <w:t>Applications for permits to modify mass or dimension requirement</w:t>
      </w:r>
      <w:bookmarkEnd w:id="315"/>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316" w:name="_Toc112317153"/>
      <w:r>
        <w:rPr>
          <w:rStyle w:val="CharSectno"/>
        </w:rPr>
        <w:t>194</w:t>
      </w:r>
      <w:r>
        <w:t>.</w:t>
      </w:r>
      <w:r>
        <w:tab/>
        <w:t>Permits for transportation of grain to bulk handler</w:t>
      </w:r>
      <w:bookmarkEnd w:id="316"/>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317" w:name="_Toc112317154"/>
      <w:r>
        <w:rPr>
          <w:rStyle w:val="CharSectno"/>
        </w:rPr>
        <w:t>195</w:t>
      </w:r>
      <w:r>
        <w:t>.</w:t>
      </w:r>
      <w:r>
        <w:tab/>
        <w:t>Additional content of orders, permits</w:t>
      </w:r>
      <w:bookmarkEnd w:id="317"/>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318" w:name="_Toc112317155"/>
      <w:r>
        <w:rPr>
          <w:rStyle w:val="CharSectno"/>
        </w:rPr>
        <w:lastRenderedPageBreak/>
        <w:t>196</w:t>
      </w:r>
      <w:r>
        <w:t>.</w:t>
      </w:r>
      <w:r>
        <w:tab/>
        <w:t>Applications for variation of modification of mass or dimension requirement</w:t>
      </w:r>
      <w:bookmarkEnd w:id="318"/>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319" w:name="_Toc112317156"/>
      <w:r>
        <w:rPr>
          <w:rStyle w:val="CharSectno"/>
        </w:rPr>
        <w:t>197</w:t>
      </w:r>
      <w:r>
        <w:t>.</w:t>
      </w:r>
      <w:r>
        <w:tab/>
        <w:t>Fees for application for permit, variation</w:t>
      </w:r>
      <w:bookmarkEnd w:id="319"/>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w:t>
      </w:r>
      <w:r>
        <w:lastRenderedPageBreak/>
        <w:t xml:space="preserve">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320" w:name="_Toc112317157"/>
      <w:r>
        <w:rPr>
          <w:rStyle w:val="CharSectno"/>
        </w:rPr>
        <w:t>198</w:t>
      </w:r>
      <w:r>
        <w:t>.</w:t>
      </w:r>
      <w:r>
        <w:tab/>
        <w:t>Variation of modification of a mass or dimension requirement on volition of Commissioner</w:t>
      </w:r>
      <w:bookmarkEnd w:id="320"/>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321" w:name="_Toc112317158"/>
      <w:r>
        <w:rPr>
          <w:rStyle w:val="CharSectno"/>
        </w:rPr>
        <w:t>199</w:t>
      </w:r>
      <w:r>
        <w:t>.</w:t>
      </w:r>
      <w:r>
        <w:tab/>
        <w:t>Suspension, cancellation of modification of a mass or dimension requirement</w:t>
      </w:r>
      <w:bookmarkEnd w:id="321"/>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 xml:space="preserve">the Commissioner has reason to suspect that there are grounds on which the Commissioner could, if then </w:t>
      </w:r>
      <w:r>
        <w:lastRenderedPageBreak/>
        <w:t>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322" w:name="_Toc112317159"/>
      <w:r>
        <w:rPr>
          <w:rStyle w:val="CharSectno"/>
        </w:rPr>
        <w:t>200</w:t>
      </w:r>
      <w:r>
        <w:t>.</w:t>
      </w:r>
      <w:r>
        <w:tab/>
        <w:t>Driver of pilot, escort vehicle to comply with order or permit</w:t>
      </w:r>
      <w:bookmarkEnd w:id="322"/>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323" w:name="_Toc112317160"/>
      <w:r>
        <w:rPr>
          <w:rStyle w:val="CharSectno"/>
        </w:rPr>
        <w:t>201</w:t>
      </w:r>
      <w:r>
        <w:t>.</w:t>
      </w:r>
      <w:r>
        <w:tab/>
        <w:t>Notification and reconsideration of mass or dimension requirement decisions</w:t>
      </w:r>
      <w:bookmarkEnd w:id="323"/>
    </w:p>
    <w:p>
      <w:pPr>
        <w:pStyle w:val="Subsection"/>
      </w:pPr>
      <w:r>
        <w:tab/>
      </w:r>
      <w:r>
        <w:tab/>
        <w:t>Part 15 provides for the notification and reconsideration of certain decisions made under Part 4 Division 2 of the Act.</w:t>
      </w:r>
    </w:p>
    <w:p>
      <w:pPr>
        <w:pStyle w:val="Heading3"/>
      </w:pPr>
      <w:bookmarkStart w:id="324" w:name="_Toc112235561"/>
      <w:bookmarkStart w:id="325" w:name="_Toc112237343"/>
      <w:bookmarkStart w:id="326" w:name="_Toc112317161"/>
      <w:r>
        <w:rPr>
          <w:rStyle w:val="CharDivNo"/>
        </w:rPr>
        <w:lastRenderedPageBreak/>
        <w:t>Division 6</w:t>
      </w:r>
      <w:r>
        <w:t> — </w:t>
      </w:r>
      <w:r>
        <w:rPr>
          <w:rStyle w:val="CharDivText"/>
        </w:rPr>
        <w:t>Access restrictions on certain vehicles that comply with mass or dimension requirements</w:t>
      </w:r>
      <w:bookmarkEnd w:id="324"/>
      <w:bookmarkEnd w:id="325"/>
      <w:bookmarkEnd w:id="326"/>
    </w:p>
    <w:p>
      <w:pPr>
        <w:pStyle w:val="Heading5"/>
      </w:pPr>
      <w:bookmarkStart w:id="327" w:name="_Toc112317162"/>
      <w:r>
        <w:rPr>
          <w:rStyle w:val="CharSectno"/>
        </w:rPr>
        <w:t>202</w:t>
      </w:r>
      <w:r>
        <w:t>.</w:t>
      </w:r>
      <w:r>
        <w:tab/>
        <w:t>Terms used</w:t>
      </w:r>
      <w:bookmarkEnd w:id="327"/>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328" w:name="_Toc112317163"/>
      <w:r>
        <w:rPr>
          <w:rStyle w:val="CharSectno"/>
        </w:rPr>
        <w:t>203</w:t>
      </w:r>
      <w:r>
        <w:t>.</w:t>
      </w:r>
      <w:r>
        <w:tab/>
        <w:t>Complying restricted access vehicles</w:t>
      </w:r>
      <w:bookmarkEnd w:id="328"/>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329" w:name="_Toc112317164"/>
      <w:r>
        <w:rPr>
          <w:rStyle w:val="CharSectno"/>
        </w:rPr>
        <w:lastRenderedPageBreak/>
        <w:t>204</w:t>
      </w:r>
      <w:r>
        <w:t>.</w:t>
      </w:r>
      <w:r>
        <w:tab/>
        <w:t>Heavy vehicles that require accredited person before access approval can be given</w:t>
      </w:r>
      <w:bookmarkEnd w:id="329"/>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30" w:name="_Toc112317165"/>
      <w:r>
        <w:rPr>
          <w:rStyle w:val="CharSectno"/>
        </w:rPr>
        <w:t>205</w:t>
      </w:r>
      <w:r>
        <w:t>.</w:t>
      </w:r>
      <w:r>
        <w:tab/>
        <w:t>Applications for access approval by permit</w:t>
      </w:r>
      <w:bookmarkEnd w:id="330"/>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331" w:name="_Toc112317166"/>
      <w:r>
        <w:rPr>
          <w:rStyle w:val="CharSectno"/>
        </w:rPr>
        <w:t>206</w:t>
      </w:r>
      <w:r>
        <w:t>.</w:t>
      </w:r>
      <w:r>
        <w:tab/>
        <w:t>Additional content of orders, permits</w:t>
      </w:r>
      <w:bookmarkEnd w:id="331"/>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lastRenderedPageBreak/>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332" w:name="_Toc112317167"/>
      <w:r>
        <w:rPr>
          <w:rStyle w:val="CharSectno"/>
        </w:rPr>
        <w:t>207</w:t>
      </w:r>
      <w:r>
        <w:t>.</w:t>
      </w:r>
      <w:r>
        <w:tab/>
        <w:t>Applications for variation of access approvals</w:t>
      </w:r>
      <w:bookmarkEnd w:id="332"/>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333" w:name="_Toc112317168"/>
      <w:r>
        <w:rPr>
          <w:rStyle w:val="CharSectno"/>
        </w:rPr>
        <w:t>208</w:t>
      </w:r>
      <w:r>
        <w:t>.</w:t>
      </w:r>
      <w:r>
        <w:tab/>
        <w:t>Fees for application for permit, variation</w:t>
      </w:r>
      <w:bookmarkEnd w:id="333"/>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334" w:name="_Toc112317169"/>
      <w:r>
        <w:rPr>
          <w:rStyle w:val="CharSectno"/>
        </w:rPr>
        <w:t>209</w:t>
      </w:r>
      <w:r>
        <w:t>.</w:t>
      </w:r>
      <w:r>
        <w:tab/>
        <w:t>Variation of access approval on volition of Commissioner</w:t>
      </w:r>
      <w:bookmarkEnd w:id="334"/>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 xml:space="preserve">The Commissioner of Main Roads may, by notice in writing given to the person to whom a permit was issued or published on the Main Roads WA website, vary an access approval given </w:t>
      </w:r>
      <w:r>
        <w:lastRenderedPageBreak/>
        <w:t>by the permit if circumstances have changed since the permit was issued or varied.</w:t>
      </w:r>
    </w:p>
    <w:p>
      <w:pPr>
        <w:pStyle w:val="Heading5"/>
      </w:pPr>
      <w:bookmarkStart w:id="335" w:name="_Toc112317170"/>
      <w:r>
        <w:rPr>
          <w:rStyle w:val="CharSectno"/>
        </w:rPr>
        <w:t>210</w:t>
      </w:r>
      <w:r>
        <w:t>.</w:t>
      </w:r>
      <w:r>
        <w:tab/>
        <w:t>Suspension, cancellation of access approvals</w:t>
      </w:r>
      <w:bookmarkEnd w:id="335"/>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336" w:name="_Toc112317171"/>
      <w:r>
        <w:rPr>
          <w:rStyle w:val="CharSectno"/>
        </w:rPr>
        <w:t>211</w:t>
      </w:r>
      <w:r>
        <w:t>.</w:t>
      </w:r>
      <w:r>
        <w:tab/>
        <w:t>Notification and reconsideration of access approval decisions</w:t>
      </w:r>
      <w:bookmarkEnd w:id="336"/>
    </w:p>
    <w:p>
      <w:pPr>
        <w:pStyle w:val="Subsection"/>
      </w:pPr>
      <w:r>
        <w:tab/>
      </w:r>
      <w:r>
        <w:tab/>
        <w:t>Part 15 provides for the notification and reconsideration of certain decisions made under Part 4 Division 3 of the Act.</w:t>
      </w:r>
    </w:p>
    <w:p>
      <w:pPr>
        <w:pStyle w:val="Heading3"/>
      </w:pPr>
      <w:bookmarkStart w:id="337" w:name="_Toc112235572"/>
      <w:bookmarkStart w:id="338" w:name="_Toc112237354"/>
      <w:bookmarkStart w:id="339" w:name="_Toc112317172"/>
      <w:r>
        <w:rPr>
          <w:rStyle w:val="CharDivNo"/>
        </w:rPr>
        <w:lastRenderedPageBreak/>
        <w:t>Division 7</w:t>
      </w:r>
      <w:r>
        <w:t> — </w:t>
      </w:r>
      <w:r>
        <w:rPr>
          <w:rStyle w:val="CharDivText"/>
        </w:rPr>
        <w:t>Accreditation</w:t>
      </w:r>
      <w:bookmarkEnd w:id="337"/>
      <w:bookmarkEnd w:id="338"/>
      <w:bookmarkEnd w:id="339"/>
    </w:p>
    <w:p>
      <w:pPr>
        <w:pStyle w:val="Heading5"/>
      </w:pPr>
      <w:bookmarkStart w:id="340" w:name="_Toc112317173"/>
      <w:r>
        <w:rPr>
          <w:rStyle w:val="CharSectno"/>
        </w:rPr>
        <w:t>212</w:t>
      </w:r>
      <w:r>
        <w:t>.</w:t>
      </w:r>
      <w:r>
        <w:tab/>
        <w:t>Term used: accredited</w:t>
      </w:r>
      <w:bookmarkEnd w:id="340"/>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341" w:name="_Toc112317174"/>
      <w:r>
        <w:rPr>
          <w:rStyle w:val="CharSectno"/>
        </w:rPr>
        <w:t>213</w:t>
      </w:r>
      <w:r>
        <w:t>.</w:t>
      </w:r>
      <w:r>
        <w:tab/>
        <w:t>Who may be accredited</w:t>
      </w:r>
      <w:bookmarkEnd w:id="341"/>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342" w:name="_Toc112317175"/>
      <w:r>
        <w:rPr>
          <w:rStyle w:val="CharSectno"/>
        </w:rPr>
        <w:t>214</w:t>
      </w:r>
      <w:r>
        <w:t>.</w:t>
      </w:r>
      <w:r>
        <w:tab/>
        <w:t>Standards for ensuring, demonstrating compliance with mass, dimension or loading requirements</w:t>
      </w:r>
      <w:bookmarkEnd w:id="342"/>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343" w:name="_Toc112317176"/>
      <w:r>
        <w:rPr>
          <w:rStyle w:val="CharSectno"/>
        </w:rPr>
        <w:t>215</w:t>
      </w:r>
      <w:r>
        <w:t>.</w:t>
      </w:r>
      <w:r>
        <w:tab/>
        <w:t>Applications for accreditation</w:t>
      </w:r>
      <w:bookmarkEnd w:id="343"/>
    </w:p>
    <w:p>
      <w:pPr>
        <w:pStyle w:val="Subsection"/>
      </w:pPr>
      <w:r>
        <w:tab/>
        <w:t>(1)</w:t>
      </w:r>
      <w:r>
        <w:tab/>
        <w:t>An application for a person to be accredited must be in a form approved by the Commissioner of Main Roads.</w:t>
      </w:r>
    </w:p>
    <w:p>
      <w:pPr>
        <w:pStyle w:val="Subsection"/>
        <w:rPr>
          <w:snapToGrid w:val="0"/>
        </w:rPr>
      </w:pPr>
      <w:r>
        <w:rPr>
          <w:snapToGrid w:val="0"/>
        </w:rPr>
        <w:lastRenderedPageBreak/>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344" w:name="_Toc112317177"/>
      <w:r>
        <w:rPr>
          <w:rStyle w:val="CharSectno"/>
        </w:rPr>
        <w:t>216</w:t>
      </w:r>
      <w:r>
        <w:t>.</w:t>
      </w:r>
      <w:r>
        <w:tab/>
        <w:t>Accrediting persons on application</w:t>
      </w:r>
      <w:bookmarkEnd w:id="344"/>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345" w:name="_Toc112317178"/>
      <w:r>
        <w:rPr>
          <w:rStyle w:val="CharSectno"/>
        </w:rPr>
        <w:t>217</w:t>
      </w:r>
      <w:r>
        <w:t>.</w:t>
      </w:r>
      <w:r>
        <w:tab/>
        <w:t>Applications for renewal of accreditation</w:t>
      </w:r>
      <w:bookmarkEnd w:id="345"/>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346" w:name="_Toc112317179"/>
      <w:r>
        <w:rPr>
          <w:rStyle w:val="CharSectno"/>
        </w:rPr>
        <w:lastRenderedPageBreak/>
        <w:t>218</w:t>
      </w:r>
      <w:r>
        <w:t>.</w:t>
      </w:r>
      <w:r>
        <w:tab/>
        <w:t>Fees for application for accreditation, renewal</w:t>
      </w:r>
      <w:bookmarkEnd w:id="346"/>
    </w:p>
    <w:p>
      <w:pPr>
        <w:pStyle w:val="Subsection"/>
      </w:pPr>
      <w:r>
        <w:tab/>
      </w:r>
      <w:r>
        <w:tab/>
        <w:t>The fee payable for an application for a person to be accredited or for a person’s accreditation to be renewed is $225.</w:t>
      </w:r>
    </w:p>
    <w:p>
      <w:pPr>
        <w:pStyle w:val="Heading5"/>
      </w:pPr>
      <w:bookmarkStart w:id="347" w:name="_Toc112317180"/>
      <w:r>
        <w:rPr>
          <w:rStyle w:val="CharSectno"/>
        </w:rPr>
        <w:t>219</w:t>
      </w:r>
      <w:r>
        <w:t>.</w:t>
      </w:r>
      <w:r>
        <w:tab/>
        <w:t>Applications for variation of accreditation</w:t>
      </w:r>
      <w:bookmarkEnd w:id="347"/>
    </w:p>
    <w:p>
      <w:pPr>
        <w:pStyle w:val="Subsection"/>
      </w:pPr>
      <w:r>
        <w:tab/>
      </w:r>
      <w:r>
        <w:tab/>
        <w:t>An application for the variation of an accreditation must be in a form approved by the Commissioner of Main Roads.</w:t>
      </w:r>
    </w:p>
    <w:p>
      <w:pPr>
        <w:pStyle w:val="Heading5"/>
      </w:pPr>
      <w:bookmarkStart w:id="348" w:name="_Toc112317181"/>
      <w:r>
        <w:rPr>
          <w:rStyle w:val="CharSectno"/>
        </w:rPr>
        <w:t>220</w:t>
      </w:r>
      <w:r>
        <w:t>.</w:t>
      </w:r>
      <w:r>
        <w:tab/>
        <w:t>Accreditation duration, certificates</w:t>
      </w:r>
      <w:bookmarkEnd w:id="348"/>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349" w:name="_Toc112317182"/>
      <w:r>
        <w:rPr>
          <w:rStyle w:val="CharSectno"/>
        </w:rPr>
        <w:t>221</w:t>
      </w:r>
      <w:r>
        <w:t>.</w:t>
      </w:r>
      <w:r>
        <w:tab/>
        <w:t>Suspension, cancellation of accreditation</w:t>
      </w:r>
      <w:bookmarkEnd w:id="349"/>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lastRenderedPageBreak/>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350" w:name="_Toc112317183"/>
      <w:r>
        <w:rPr>
          <w:rStyle w:val="CharSectno"/>
        </w:rPr>
        <w:t>222</w:t>
      </w:r>
      <w:r>
        <w:t>.</w:t>
      </w:r>
      <w:r>
        <w:tab/>
        <w:t>Notification and reconsideration of accreditation decisions</w:t>
      </w:r>
      <w:bookmarkEnd w:id="350"/>
    </w:p>
    <w:p>
      <w:pPr>
        <w:pStyle w:val="Subsection"/>
      </w:pPr>
      <w:r>
        <w:tab/>
      </w:r>
      <w:r>
        <w:tab/>
        <w:t>Part 15 provides for the notification and reconsideration of certain decisions made under Part 4 Division 4 of the Act.</w:t>
      </w:r>
    </w:p>
    <w:p>
      <w:pPr>
        <w:pStyle w:val="Heading2"/>
      </w:pPr>
      <w:bookmarkStart w:id="351" w:name="_Toc112235584"/>
      <w:bookmarkStart w:id="352" w:name="_Toc112237366"/>
      <w:bookmarkStart w:id="353" w:name="_Toc112317184"/>
      <w:r>
        <w:rPr>
          <w:rStyle w:val="CharPartNo"/>
        </w:rPr>
        <w:lastRenderedPageBreak/>
        <w:t>Part 9</w:t>
      </w:r>
      <w:r>
        <w:rPr>
          <w:rStyle w:val="CharDivNo"/>
        </w:rPr>
        <w:t> </w:t>
      </w:r>
      <w:r>
        <w:t>—</w:t>
      </w:r>
      <w:r>
        <w:rPr>
          <w:rStyle w:val="CharDivText"/>
        </w:rPr>
        <w:t> </w:t>
      </w:r>
      <w:r>
        <w:rPr>
          <w:rStyle w:val="CharPartText"/>
        </w:rPr>
        <w:t>Miscellaneous prescribed matters</w:t>
      </w:r>
      <w:bookmarkEnd w:id="351"/>
      <w:bookmarkEnd w:id="352"/>
      <w:bookmarkEnd w:id="353"/>
    </w:p>
    <w:p>
      <w:pPr>
        <w:pStyle w:val="Heading5"/>
      </w:pPr>
      <w:bookmarkStart w:id="354" w:name="_Toc112317185"/>
      <w:r>
        <w:rPr>
          <w:rStyle w:val="CharSectno"/>
        </w:rPr>
        <w:t>223</w:t>
      </w:r>
      <w:r>
        <w:t>.</w:t>
      </w:r>
      <w:r>
        <w:tab/>
        <w:t>Receivers: transport documentation</w:t>
      </w:r>
      <w:bookmarkEnd w:id="354"/>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355" w:name="_Toc112317186"/>
      <w:r>
        <w:rPr>
          <w:rStyle w:val="CharSectno"/>
        </w:rPr>
        <w:t>224</w:t>
      </w:r>
      <w:r>
        <w:t>.</w:t>
      </w:r>
      <w:r>
        <w:tab/>
        <w:t>Previous convictions of MDLR offences under provisions of corresponding law</w:t>
      </w:r>
      <w:bookmarkEnd w:id="355"/>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356" w:name="_Toc112317187"/>
      <w:r>
        <w:rPr>
          <w:rStyle w:val="CharSectno"/>
        </w:rPr>
        <w:t>225</w:t>
      </w:r>
      <w:r>
        <w:t>.</w:t>
      </w:r>
      <w:r>
        <w:tab/>
        <w:t>Fee for substitution of vehicle for omnibus</w:t>
      </w:r>
      <w:bookmarkEnd w:id="356"/>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357" w:name="_Toc112235588"/>
      <w:bookmarkStart w:id="358" w:name="_Toc112237370"/>
      <w:bookmarkStart w:id="359" w:name="_Toc112317188"/>
      <w:r>
        <w:rPr>
          <w:rStyle w:val="CharPartNo"/>
        </w:rPr>
        <w:lastRenderedPageBreak/>
        <w:t>Part 10</w:t>
      </w:r>
      <w:r>
        <w:t> — </w:t>
      </w:r>
      <w:r>
        <w:rPr>
          <w:rStyle w:val="CharPartText"/>
        </w:rPr>
        <w:t>Standards and requirements for motor vehicles, trailers and combinations</w:t>
      </w:r>
      <w:bookmarkEnd w:id="357"/>
      <w:bookmarkEnd w:id="358"/>
      <w:bookmarkEnd w:id="359"/>
    </w:p>
    <w:p>
      <w:pPr>
        <w:pStyle w:val="Heading3"/>
      </w:pPr>
      <w:bookmarkStart w:id="360" w:name="_Toc112235589"/>
      <w:bookmarkStart w:id="361" w:name="_Toc112237371"/>
      <w:bookmarkStart w:id="362" w:name="_Toc112317189"/>
      <w:r>
        <w:rPr>
          <w:rStyle w:val="CharDivNo"/>
        </w:rPr>
        <w:t>Division 1</w:t>
      </w:r>
      <w:r>
        <w:t> — </w:t>
      </w:r>
      <w:r>
        <w:rPr>
          <w:rStyle w:val="CharDivText"/>
        </w:rPr>
        <w:t>Preliminary</w:t>
      </w:r>
      <w:bookmarkEnd w:id="360"/>
      <w:bookmarkEnd w:id="361"/>
      <w:bookmarkEnd w:id="362"/>
    </w:p>
    <w:p>
      <w:pPr>
        <w:pStyle w:val="Heading5"/>
      </w:pPr>
      <w:bookmarkStart w:id="363" w:name="_Toc112317190"/>
      <w:r>
        <w:rPr>
          <w:rStyle w:val="CharSectno"/>
        </w:rPr>
        <w:t>226</w:t>
      </w:r>
      <w:r>
        <w:t>.</w:t>
      </w:r>
      <w:r>
        <w:tab/>
        <w:t>Terms used</w:t>
      </w:r>
      <w:bookmarkEnd w:id="363"/>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w:t>
      </w:r>
      <w:r>
        <w:t xml:space="preserve"> (</w:t>
      </w:r>
      <w:r>
        <w:rPr>
          <w:rStyle w:val="CharDefText"/>
        </w:rPr>
        <w:t>ADR</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keepNext/>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keepNext/>
      </w:pPr>
      <w:r>
        <w:lastRenderedPageBreak/>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keepNex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pPr>
      <w:r>
        <w:tab/>
        <w:t>(b)</w:t>
      </w:r>
      <w:r>
        <w:tab/>
        <w:t xml:space="preserve">a national road vehicle standard, as amended from time to time, under the </w:t>
      </w:r>
      <w:r>
        <w:rPr>
          <w:i/>
        </w:rPr>
        <w:t>Road Vehicle Standards Act 2018</w:t>
      </w:r>
      <w:r>
        <w:t xml:space="preserve"> (Commonwealth) section 12;</w:t>
      </w:r>
    </w:p>
    <w:p>
      <w:pPr>
        <w:pStyle w:val="Defstart"/>
      </w:pPr>
      <w:r>
        <w:lastRenderedPageBreak/>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 SL 2022/149 r. 11.]</w:t>
      </w:r>
    </w:p>
    <w:p>
      <w:pPr>
        <w:pStyle w:val="Heading5"/>
      </w:pPr>
      <w:bookmarkStart w:id="364" w:name="_Toc112317191"/>
      <w:r>
        <w:rPr>
          <w:rStyle w:val="CharSectno"/>
        </w:rPr>
        <w:t>227</w:t>
      </w:r>
      <w:r>
        <w:t>.</w:t>
      </w:r>
      <w:r>
        <w:tab/>
        <w:t>Declaration of vehicles as emergency, transport enforcement vehicles</w:t>
      </w:r>
      <w:bookmarkEnd w:id="364"/>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365" w:name="_Toc112235592"/>
      <w:bookmarkStart w:id="366" w:name="_Toc112237374"/>
      <w:bookmarkStart w:id="367" w:name="_Toc112317192"/>
      <w:r>
        <w:rPr>
          <w:rStyle w:val="CharDivNo"/>
        </w:rPr>
        <w:t>Division 2</w:t>
      </w:r>
      <w:r>
        <w:t> — </w:t>
      </w:r>
      <w:r>
        <w:rPr>
          <w:rStyle w:val="CharDivText"/>
        </w:rPr>
        <w:t>Application</w:t>
      </w:r>
      <w:bookmarkEnd w:id="365"/>
      <w:bookmarkEnd w:id="366"/>
      <w:bookmarkEnd w:id="367"/>
    </w:p>
    <w:p>
      <w:pPr>
        <w:pStyle w:val="Heading5"/>
      </w:pPr>
      <w:bookmarkStart w:id="368" w:name="_Toc112317193"/>
      <w:r>
        <w:rPr>
          <w:rStyle w:val="CharSectno"/>
        </w:rPr>
        <w:t>228</w:t>
      </w:r>
      <w:r>
        <w:t>.</w:t>
      </w:r>
      <w:r>
        <w:tab/>
        <w:t>Application</w:t>
      </w:r>
      <w:bookmarkEnd w:id="368"/>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(fa)</w:t>
      </w:r>
      <w:r>
        <w:tab/>
        <w:t>an electric rideable device;</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lastRenderedPageBreak/>
        <w:tab/>
        <w:t>(ii)</w:t>
      </w:r>
      <w:r>
        <w:tab/>
        <w:t>operated for, by or under the control of a government department, government instrumentality, statutory authority or local government; and</w:t>
      </w:r>
    </w:p>
    <w:p>
      <w:pPr>
        <w:pStyle w:val="Indenti"/>
        <w:keepNext/>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369" w:name="_Toc112317194"/>
      <w:r>
        <w:rPr>
          <w:rStyle w:val="CharSectno"/>
        </w:rPr>
        <w:t>229</w:t>
      </w:r>
      <w:r>
        <w:t>.</w:t>
      </w:r>
      <w:r>
        <w:tab/>
        <w:t>Non</w:t>
      </w:r>
      <w:r>
        <w:noBreakHyphen/>
        <w:t>application of this Part: exemptions</w:t>
      </w:r>
      <w:bookmarkEnd w:id="369"/>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370" w:name="_Toc112317195"/>
      <w:r>
        <w:rPr>
          <w:rStyle w:val="CharSectno"/>
        </w:rPr>
        <w:t>230</w:t>
      </w:r>
      <w:r>
        <w:t>.</w:t>
      </w:r>
      <w:r>
        <w:tab/>
        <w:t>Non</w:t>
      </w:r>
      <w:r>
        <w:noBreakHyphen/>
        <w:t>application of this Part: inconsistent ADR requirements</w:t>
      </w:r>
      <w:bookmarkEnd w:id="370"/>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371" w:name="_Toc112317196"/>
      <w:r>
        <w:rPr>
          <w:rStyle w:val="CharSectno"/>
        </w:rPr>
        <w:t>231</w:t>
      </w:r>
      <w:r>
        <w:t>.</w:t>
      </w:r>
      <w:r>
        <w:tab/>
        <w:t>Non</w:t>
      </w:r>
      <w:r>
        <w:noBreakHyphen/>
        <w:t>application of this Part: approvals under Commonwealth legislation</w:t>
      </w:r>
      <w:bookmarkEnd w:id="371"/>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lastRenderedPageBreak/>
        <w:tab/>
        <w:t>(b)</w:t>
      </w:r>
      <w:r>
        <w:tab/>
        <w:t>the provision of these regulations corresponds to the requirement of the ADR; and</w:t>
      </w:r>
    </w:p>
    <w:p>
      <w:pPr>
        <w:pStyle w:val="Indenta"/>
        <w:keepNext/>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keepNext/>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keepNext/>
      </w:pPr>
      <w:r>
        <w:tab/>
        <w:t>(d)</w:t>
      </w:r>
      <w:r>
        <w:tab/>
        <w:t>the vehicle complies with the approval conditions (if any).</w:t>
      </w:r>
    </w:p>
    <w:p>
      <w:pPr>
        <w:pStyle w:val="Footnotesection"/>
      </w:pPr>
      <w:r>
        <w:tab/>
        <w:t>[Regulation 231 amended: SL 2021/81 r. 9.]</w:t>
      </w:r>
    </w:p>
    <w:p>
      <w:pPr>
        <w:pStyle w:val="Heading3"/>
      </w:pPr>
      <w:bookmarkStart w:id="372" w:name="_Toc112235597"/>
      <w:bookmarkStart w:id="373" w:name="_Toc112237379"/>
      <w:bookmarkStart w:id="374" w:name="_Toc112317197"/>
      <w:r>
        <w:rPr>
          <w:rStyle w:val="CharDivNo"/>
        </w:rPr>
        <w:t>Division 3</w:t>
      </w:r>
      <w:r>
        <w:t> — </w:t>
      </w:r>
      <w:r>
        <w:rPr>
          <w:rStyle w:val="CharDivText"/>
        </w:rPr>
        <w:t>Offences and penalties</w:t>
      </w:r>
      <w:bookmarkEnd w:id="372"/>
      <w:bookmarkEnd w:id="373"/>
      <w:bookmarkEnd w:id="374"/>
    </w:p>
    <w:p>
      <w:pPr>
        <w:pStyle w:val="Heading5"/>
        <w:rPr>
          <w:b w:val="0"/>
        </w:rPr>
      </w:pPr>
      <w:bookmarkStart w:id="375" w:name="_Toc112317198"/>
      <w:r>
        <w:rPr>
          <w:rStyle w:val="CharSectno"/>
        </w:rPr>
        <w:t>232</w:t>
      </w:r>
      <w:r>
        <w:t>.</w:t>
      </w:r>
      <w:r>
        <w:tab/>
        <w:t>Motor vehicles, trailers and combinations to comply with applicable standards and requirements</w:t>
      </w:r>
      <w:bookmarkEnd w:id="375"/>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lastRenderedPageBreak/>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376" w:name="_Toc112317199"/>
      <w:r>
        <w:rPr>
          <w:rStyle w:val="CharSectno"/>
        </w:rPr>
        <w:t>233</w:t>
      </w:r>
      <w:r>
        <w:t>.</w:t>
      </w:r>
      <w:r>
        <w:tab/>
        <w:t>Certain movement of defective vehicles permitted</w:t>
      </w:r>
      <w:bookmarkEnd w:id="376"/>
    </w:p>
    <w:p>
      <w:pPr>
        <w:pStyle w:val="Subsection"/>
        <w:keepNext/>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377" w:name="_Toc112317200"/>
      <w:r>
        <w:rPr>
          <w:rStyle w:val="CharSectno"/>
        </w:rPr>
        <w:t>234</w:t>
      </w:r>
      <w:r>
        <w:t>.</w:t>
      </w:r>
      <w:r>
        <w:tab/>
        <w:t>Tampering with a speed limiting device</w:t>
      </w:r>
      <w:bookmarkEnd w:id="377"/>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378" w:name="_Toc112317201"/>
      <w:r>
        <w:rPr>
          <w:rStyle w:val="CharSectno"/>
        </w:rPr>
        <w:lastRenderedPageBreak/>
        <w:t>235</w:t>
      </w:r>
      <w:r>
        <w:t>.</w:t>
      </w:r>
      <w:r>
        <w:tab/>
        <w:t>Alteration of vehicles</w:t>
      </w:r>
      <w:bookmarkEnd w:id="378"/>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keepNext/>
              <w:rPr>
                <w:b/>
              </w:rPr>
            </w:pPr>
          </w:p>
        </w:tc>
        <w:tc>
          <w:tcPr>
            <w:tcW w:w="5528" w:type="dxa"/>
            <w:tcBorders>
              <w:top w:val="single" w:sz="4" w:space="0" w:color="auto"/>
              <w:bottom w:val="single" w:sz="4" w:space="0" w:color="auto"/>
            </w:tcBorders>
          </w:tcPr>
          <w:p>
            <w:pPr>
              <w:pStyle w:val="TableNAm"/>
              <w:keepNext/>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lastRenderedPageBreak/>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rPr>
          <w:cantSplit/>
        </w:trP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lastRenderedPageBreak/>
        <w:tab/>
        <w:t>(3)</w:t>
      </w:r>
      <w:r>
        <w:tab/>
        <w:t xml:space="preserve">A person must not, without the approval of the CEO, alter a motor vehicle or trailer not being a car or a derivative of a car from — </w:t>
      </w:r>
    </w:p>
    <w:p>
      <w:pPr>
        <w:pStyle w:val="Indenta"/>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$73.80.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lastRenderedPageBreak/>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keepNex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w:t>
      </w:r>
    </w:p>
    <w:p>
      <w:pPr>
        <w:pStyle w:val="Heading3"/>
        <w:keepLines/>
        <w:widowControl w:val="0"/>
        <w:spacing w:before="260"/>
      </w:pPr>
      <w:bookmarkStart w:id="379" w:name="_Toc112235602"/>
      <w:bookmarkStart w:id="380" w:name="_Toc112237384"/>
      <w:bookmarkStart w:id="381" w:name="_Toc112317202"/>
      <w:r>
        <w:rPr>
          <w:rStyle w:val="CharDivNo"/>
        </w:rPr>
        <w:t>Division 4</w:t>
      </w:r>
      <w:r>
        <w:t> — </w:t>
      </w:r>
      <w:r>
        <w:rPr>
          <w:rStyle w:val="CharDivText"/>
        </w:rPr>
        <w:t>Compliance with Australian Design Rules and adopted standards</w:t>
      </w:r>
      <w:bookmarkEnd w:id="379"/>
      <w:bookmarkEnd w:id="380"/>
      <w:bookmarkEnd w:id="381"/>
    </w:p>
    <w:p>
      <w:pPr>
        <w:pStyle w:val="Heading5"/>
        <w:rPr>
          <w:rStyle w:val="DraftersNotes"/>
          <w:b/>
          <w:bCs/>
          <w:iCs/>
        </w:rPr>
      </w:pPr>
      <w:bookmarkStart w:id="382" w:name="_Toc112317203"/>
      <w:r>
        <w:rPr>
          <w:rStyle w:val="CharSectno"/>
        </w:rPr>
        <w:t>236</w:t>
      </w:r>
      <w:r>
        <w:t>.</w:t>
      </w:r>
      <w:r>
        <w:tab/>
        <w:t>Compliance with second edition ADRs</w:t>
      </w:r>
      <w:bookmarkEnd w:id="382"/>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lastRenderedPageBreak/>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383" w:name="_Toc112317204"/>
      <w:r>
        <w:rPr>
          <w:rStyle w:val="CharSectno"/>
        </w:rPr>
        <w:t>237</w:t>
      </w:r>
      <w:r>
        <w:t>.</w:t>
      </w:r>
      <w:r>
        <w:tab/>
        <w:t>Interpretation of certain second edition ADRs</w:t>
      </w:r>
      <w:bookmarkEnd w:id="383"/>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keepNext/>
              <w:tabs>
                <w:tab w:val="clear" w:pos="567"/>
                <w:tab w:val="left" w:leader="dot" w:pos="3100"/>
              </w:tabs>
              <w:spacing w:before="60"/>
              <w:rPr>
                <w:b/>
                <w:bCs/>
                <w:sz w:val="18"/>
              </w:rPr>
            </w:pPr>
            <w:r>
              <w:rPr>
                <w:b/>
                <w:bCs/>
                <w:sz w:val="18"/>
              </w:rPr>
              <w:lastRenderedPageBreak/>
              <w:t>Third edition ADRs</w:t>
            </w:r>
          </w:p>
        </w:tc>
        <w:tc>
          <w:tcPr>
            <w:tcW w:w="2268" w:type="dxa"/>
            <w:tcBorders>
              <w:top w:val="single" w:sz="4" w:space="0" w:color="auto"/>
              <w:bottom w:val="single" w:sz="4" w:space="0" w:color="auto"/>
            </w:tcBorders>
          </w:tcPr>
          <w:p>
            <w:pPr>
              <w:pStyle w:val="TableNAm"/>
              <w:keepNext/>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keepNext/>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keepNext/>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keepNext/>
              <w:tabs>
                <w:tab w:val="clear" w:pos="567"/>
                <w:tab w:val="left" w:leader="dot" w:pos="3100"/>
              </w:tabs>
              <w:spacing w:before="60"/>
              <w:rPr>
                <w:sz w:val="18"/>
              </w:rPr>
            </w:pPr>
            <w:r>
              <w:rPr>
                <w:sz w:val="18"/>
              </w:rPr>
              <w:t>front fog lamp</w:t>
            </w:r>
            <w:r>
              <w:rPr>
                <w:sz w:val="18"/>
              </w:rPr>
              <w:tab/>
            </w:r>
          </w:p>
        </w:tc>
        <w:tc>
          <w:tcPr>
            <w:tcW w:w="2268" w:type="dxa"/>
          </w:tcPr>
          <w:p>
            <w:pPr>
              <w:pStyle w:val="TableNAm"/>
              <w:keepNext/>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384" w:name="_Toc112317205"/>
      <w:r>
        <w:rPr>
          <w:rStyle w:val="CharSectno"/>
        </w:rPr>
        <w:lastRenderedPageBreak/>
        <w:t>238</w:t>
      </w:r>
      <w:r>
        <w:t>.</w:t>
      </w:r>
      <w:r>
        <w:tab/>
        <w:t>Compliance with third edition ADRs</w:t>
      </w:r>
      <w:bookmarkEnd w:id="384"/>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385" w:name="_Toc112317206"/>
      <w:r>
        <w:rPr>
          <w:rStyle w:val="CharSectno"/>
        </w:rPr>
        <w:lastRenderedPageBreak/>
        <w:t>239</w:t>
      </w:r>
      <w:r>
        <w:t>.</w:t>
      </w:r>
      <w:r>
        <w:tab/>
        <w:t>Exception to compliance with ADRs: vehicles that are not road vehicles</w:t>
      </w:r>
      <w:bookmarkEnd w:id="385"/>
    </w:p>
    <w:p>
      <w:pPr>
        <w:pStyle w:val="Subsection"/>
        <w:keepNext/>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386" w:name="_Toc112317207"/>
      <w:r>
        <w:rPr>
          <w:rStyle w:val="CharSectno"/>
        </w:rPr>
        <w:t>240</w:t>
      </w:r>
      <w:r>
        <w:t>.</w:t>
      </w:r>
      <w:r>
        <w:tab/>
        <w:t>Exception to compliance with ADRs: approvals under Commonwealth legislation</w:t>
      </w:r>
      <w:bookmarkEnd w:id="386"/>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lastRenderedPageBreak/>
        <w:tab/>
        <w:t>(2)</w:t>
      </w:r>
      <w:r>
        <w:tab/>
        <w:t>A vehicle need not comply with an ADR applied by regulation 236(2) or 238(2) if —</w:t>
      </w:r>
    </w:p>
    <w:p>
      <w:pPr>
        <w:pStyle w:val="Indenta"/>
        <w:keepNext/>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keepNext/>
      </w:pPr>
      <w:r>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387" w:name="_Toc112317208"/>
      <w:r>
        <w:rPr>
          <w:rStyle w:val="CharSectno"/>
        </w:rPr>
        <w:t>240A</w:t>
      </w:r>
      <w:r>
        <w:t>.</w:t>
      </w:r>
      <w:r>
        <w:tab/>
        <w:t xml:space="preserve">Vehicles satisfying an entry pathway under </w:t>
      </w:r>
      <w:r>
        <w:rPr>
          <w:i/>
        </w:rPr>
        <w:t>Road Vehicle Standards Act 2018</w:t>
      </w:r>
      <w:r>
        <w:t xml:space="preserve"> (Commonwealth)</w:t>
      </w:r>
      <w:bookmarkEnd w:id="387"/>
    </w:p>
    <w:p>
      <w:pPr>
        <w:pStyle w:val="Subsection"/>
        <w:keepNext/>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keepNext/>
      </w:pPr>
      <w:r>
        <w:lastRenderedPageBreak/>
        <w:tab/>
        <w:t>(b)</w:t>
      </w:r>
      <w:r>
        <w:tab/>
        <w:t>despite non</w:t>
      </w:r>
      <w:r>
        <w:noBreakHyphen/>
        <w:t>compliance with the ADR, the vehicle is entered on the RAV.</w:t>
      </w:r>
    </w:p>
    <w:p>
      <w:pPr>
        <w:pStyle w:val="Footnotesection"/>
      </w:pPr>
      <w:r>
        <w:tab/>
        <w:t>[Regulation 240A inserted: SL 2021/81 r. 13.]</w:t>
      </w:r>
    </w:p>
    <w:p>
      <w:pPr>
        <w:pStyle w:val="Heading5"/>
      </w:pPr>
      <w:bookmarkStart w:id="388" w:name="_Toc112317209"/>
      <w:r>
        <w:rPr>
          <w:rStyle w:val="CharSectno"/>
        </w:rPr>
        <w:t>241</w:t>
      </w:r>
      <w:r>
        <w:t>.</w:t>
      </w:r>
      <w:r>
        <w:tab/>
        <w:t>Partial exception to compliance with ADRs: personally imported vehicles</w:t>
      </w:r>
      <w:bookmarkEnd w:id="388"/>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keepNext/>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 and</w:t>
      </w:r>
    </w:p>
    <w:p>
      <w:pPr>
        <w:pStyle w:val="Defpara"/>
        <w:keepNext/>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lastRenderedPageBreak/>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keepNext/>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389" w:name="_Toc112317210"/>
      <w:r>
        <w:rPr>
          <w:rStyle w:val="CharSectno"/>
        </w:rPr>
        <w:t>242</w:t>
      </w:r>
      <w:r>
        <w:t>.</w:t>
      </w:r>
      <w:r>
        <w:tab/>
        <w:t>Exception to compliance with adopted standards</w:t>
      </w:r>
      <w:bookmarkEnd w:id="389"/>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390" w:name="_Toc112235611"/>
      <w:bookmarkStart w:id="391" w:name="_Toc112237393"/>
      <w:bookmarkStart w:id="392" w:name="_Toc112317211"/>
      <w:r>
        <w:rPr>
          <w:rStyle w:val="CharDivNo"/>
        </w:rPr>
        <w:t>Division 5</w:t>
      </w:r>
      <w:r>
        <w:t> — </w:t>
      </w:r>
      <w:r>
        <w:rPr>
          <w:rStyle w:val="CharDivText"/>
        </w:rPr>
        <w:t>General safety requirements</w:t>
      </w:r>
      <w:bookmarkEnd w:id="390"/>
      <w:bookmarkEnd w:id="391"/>
      <w:bookmarkEnd w:id="392"/>
    </w:p>
    <w:p>
      <w:pPr>
        <w:pStyle w:val="Heading5"/>
      </w:pPr>
      <w:bookmarkStart w:id="393" w:name="_Toc112317212"/>
      <w:r>
        <w:rPr>
          <w:rStyle w:val="CharSectno"/>
        </w:rPr>
        <w:t>243</w:t>
      </w:r>
      <w:r>
        <w:t>.</w:t>
      </w:r>
      <w:r>
        <w:tab/>
        <w:t>Motor vehicles and trailers to be properly maintained</w:t>
      </w:r>
      <w:bookmarkEnd w:id="393"/>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lastRenderedPageBreak/>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394" w:name="_Toc112317213"/>
      <w:r>
        <w:rPr>
          <w:rStyle w:val="CharSectno"/>
        </w:rPr>
        <w:t>244</w:t>
      </w:r>
      <w:r>
        <w:t>.</w:t>
      </w:r>
      <w:r>
        <w:tab/>
        <w:t>Motor vehicle steering</w:t>
      </w:r>
      <w:bookmarkEnd w:id="394"/>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lastRenderedPageBreak/>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395" w:name="_Toc112317214"/>
      <w:r>
        <w:rPr>
          <w:rStyle w:val="CharSectno"/>
        </w:rPr>
        <w:t>245</w:t>
      </w:r>
      <w:r>
        <w:t>.</w:t>
      </w:r>
      <w:r>
        <w:tab/>
        <w:t>Motor vehicle turning ability</w:t>
      </w:r>
      <w:bookmarkEnd w:id="395"/>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396" w:name="_Toc112317215"/>
      <w:r>
        <w:rPr>
          <w:rStyle w:val="CharSectno"/>
        </w:rPr>
        <w:t>246</w:t>
      </w:r>
      <w:r>
        <w:t>.</w:t>
      </w:r>
      <w:r>
        <w:tab/>
        <w:t>Motor vehicles to travel backwards and forwards</w:t>
      </w:r>
      <w:bookmarkEnd w:id="396"/>
    </w:p>
    <w:p>
      <w:pPr>
        <w:pStyle w:val="Subsection"/>
      </w:pPr>
      <w:r>
        <w:tab/>
      </w:r>
      <w:r>
        <w:tab/>
        <w:t>A motor vehicle with an unloaded mass over 450 kg must be able to be driven both backwards and forwards when the driver is in the normal driving position.</w:t>
      </w:r>
    </w:p>
    <w:p>
      <w:pPr>
        <w:pStyle w:val="Heading5"/>
      </w:pPr>
      <w:bookmarkStart w:id="397" w:name="_Toc112317216"/>
      <w:r>
        <w:rPr>
          <w:rStyle w:val="CharSectno"/>
        </w:rPr>
        <w:lastRenderedPageBreak/>
        <w:t>247</w:t>
      </w:r>
      <w:r>
        <w:t>.</w:t>
      </w:r>
      <w:r>
        <w:tab/>
        <w:t>Protrusions to certain vehicles</w:t>
      </w:r>
      <w:bookmarkEnd w:id="397"/>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398" w:name="_Toc112317217"/>
      <w:r>
        <w:rPr>
          <w:rStyle w:val="CharSectno"/>
        </w:rPr>
        <w:t>248</w:t>
      </w:r>
      <w:r>
        <w:t>.</w:t>
      </w:r>
      <w:r>
        <w:tab/>
        <w:t>Motor vehicle view and controls</w:t>
      </w:r>
      <w:bookmarkEnd w:id="398"/>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399" w:name="_Toc112317218"/>
      <w:r>
        <w:rPr>
          <w:rStyle w:val="CharSectno"/>
        </w:rPr>
        <w:t>249</w:t>
      </w:r>
      <w:r>
        <w:t>.</w:t>
      </w:r>
      <w:r>
        <w:tab/>
        <w:t>Seating</w:t>
      </w:r>
      <w:bookmarkEnd w:id="399"/>
    </w:p>
    <w:p>
      <w:pPr>
        <w:pStyle w:val="Subsection"/>
      </w:pPr>
      <w:r>
        <w:tab/>
      </w:r>
      <w:r>
        <w:tab/>
        <w:t>A seat for a driver or passenger in a vehicle must be securely attached to the vehicle.</w:t>
      </w:r>
    </w:p>
    <w:p>
      <w:pPr>
        <w:pStyle w:val="Heading5"/>
      </w:pPr>
      <w:bookmarkStart w:id="400" w:name="_Toc112317219"/>
      <w:r>
        <w:rPr>
          <w:rStyle w:val="CharSectno"/>
        </w:rPr>
        <w:t>250</w:t>
      </w:r>
      <w:r>
        <w:t>.</w:t>
      </w:r>
      <w:r>
        <w:tab/>
        <w:t>Mudguards and spray suppression for certain vehicles</w:t>
      </w:r>
      <w:bookmarkEnd w:id="400"/>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lastRenderedPageBreak/>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401" w:name="_Toc112317220"/>
      <w:r>
        <w:rPr>
          <w:rStyle w:val="CharSectno"/>
        </w:rPr>
        <w:lastRenderedPageBreak/>
        <w:t>251</w:t>
      </w:r>
      <w:r>
        <w:t>.</w:t>
      </w:r>
      <w:r>
        <w:tab/>
        <w:t>Motor vehicle horns, alarms</w:t>
      </w:r>
      <w:bookmarkEnd w:id="401"/>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keepNext/>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keepNext/>
      </w:pPr>
      <w:r>
        <w:lastRenderedPageBreak/>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402" w:name="_Toc112317221"/>
      <w:r>
        <w:rPr>
          <w:rStyle w:val="CharSectno"/>
        </w:rPr>
        <w:t>252</w:t>
      </w:r>
      <w:r>
        <w:t>.</w:t>
      </w:r>
      <w:r>
        <w:tab/>
        <w:t>Motor vehicle rear vision mirrors</w:t>
      </w:r>
      <w:bookmarkEnd w:id="402"/>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lastRenderedPageBreak/>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403" w:name="_Toc112317222"/>
      <w:r>
        <w:rPr>
          <w:rStyle w:val="CharSectno"/>
        </w:rPr>
        <w:t>253</w:t>
      </w:r>
      <w:r>
        <w:t>.</w:t>
      </w:r>
      <w:r>
        <w:tab/>
        <w:t>Surfaces of rear vision mirrors</w:t>
      </w:r>
      <w:bookmarkEnd w:id="403"/>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404" w:name="_Toc112317223"/>
      <w:r>
        <w:rPr>
          <w:rStyle w:val="CharSectno"/>
        </w:rPr>
        <w:t>254</w:t>
      </w:r>
      <w:r>
        <w:t>.</w:t>
      </w:r>
      <w:r>
        <w:tab/>
        <w:t>Motor vehicle automatic transmission</w:t>
      </w:r>
      <w:bookmarkEnd w:id="404"/>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405" w:name="_Toc112317224"/>
      <w:r>
        <w:rPr>
          <w:rStyle w:val="CharSectno"/>
        </w:rPr>
        <w:lastRenderedPageBreak/>
        <w:t>255</w:t>
      </w:r>
      <w:r>
        <w:t>.</w:t>
      </w:r>
      <w:r>
        <w:tab/>
        <w:t>Motor vehicle diesel engines</w:t>
      </w:r>
      <w:bookmarkEnd w:id="405"/>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406" w:name="_Toc112317225"/>
      <w:r>
        <w:rPr>
          <w:rStyle w:val="CharSectno"/>
        </w:rPr>
        <w:t>256</w:t>
      </w:r>
      <w:r>
        <w:t>.</w:t>
      </w:r>
      <w:r>
        <w:tab/>
        <w:t>Motor vehicle bonnet securing devices</w:t>
      </w:r>
      <w:bookmarkEnd w:id="406"/>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407" w:name="_Toc112317226"/>
      <w:r>
        <w:rPr>
          <w:rStyle w:val="CharSectno"/>
        </w:rPr>
        <w:t>257</w:t>
      </w:r>
      <w:r>
        <w:t>.</w:t>
      </w:r>
      <w:r>
        <w:tab/>
        <w:t>Electrical wiring, connections and installations in various vehicles</w:t>
      </w:r>
      <w:bookmarkEnd w:id="407"/>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keepNext/>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lastRenderedPageBreak/>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keepNext/>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408" w:name="_Toc112317227"/>
      <w:r>
        <w:rPr>
          <w:rStyle w:val="CharSectno"/>
        </w:rPr>
        <w:t>258</w:t>
      </w:r>
      <w:r>
        <w:t>.</w:t>
      </w:r>
      <w:r>
        <w:tab/>
        <w:t>Motor vehicle TVs, VDUs</w:t>
      </w:r>
      <w:bookmarkEnd w:id="408"/>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lastRenderedPageBreak/>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409" w:name="_Toc112317228"/>
      <w:r>
        <w:rPr>
          <w:rStyle w:val="CharSectno"/>
        </w:rPr>
        <w:t>258A</w:t>
      </w:r>
      <w:r>
        <w:t>.</w:t>
      </w:r>
      <w:r>
        <w:tab/>
        <w:t>Motor vehicle windscreen to be fitted</w:t>
      </w:r>
      <w:bookmarkEnd w:id="409"/>
    </w:p>
    <w:p>
      <w:pPr>
        <w:pStyle w:val="Subsection"/>
        <w:keepNext/>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410" w:name="_Toc112317229"/>
      <w:r>
        <w:rPr>
          <w:rStyle w:val="CharSectno"/>
        </w:rPr>
        <w:t>259</w:t>
      </w:r>
      <w:r>
        <w:t>.</w:t>
      </w:r>
      <w:r>
        <w:tab/>
        <w:t>Motor vehicle windscreens and windows</w:t>
      </w:r>
      <w:bookmarkEnd w:id="410"/>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lastRenderedPageBreak/>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411" w:name="_Toc112317230"/>
      <w:r>
        <w:rPr>
          <w:rStyle w:val="CharSectno"/>
        </w:rPr>
        <w:t>260</w:t>
      </w:r>
      <w:r>
        <w:t>.</w:t>
      </w:r>
      <w:r>
        <w:tab/>
        <w:t>Motor vehicle window tinting</w:t>
      </w:r>
      <w:bookmarkEnd w:id="411"/>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lastRenderedPageBreak/>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keepNext/>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412" w:name="_Toc112317231"/>
      <w:r>
        <w:rPr>
          <w:rStyle w:val="CharSectno"/>
        </w:rPr>
        <w:t>261</w:t>
      </w:r>
      <w:r>
        <w:t>.</w:t>
      </w:r>
      <w:r>
        <w:tab/>
        <w:t>Motor vehicle windscreen wipers and washers</w:t>
      </w:r>
      <w:bookmarkEnd w:id="412"/>
    </w:p>
    <w:p>
      <w:pPr>
        <w:pStyle w:val="Subsection"/>
      </w:pPr>
      <w:r>
        <w:tab/>
        <w:t>(1)</w:t>
      </w:r>
      <w:r>
        <w:tab/>
        <w:t xml:space="preserve">A motor vehicle with 3 or more wheels that is fitted with a windscreen must be fitted with at least one windscreen wiper unless a driver in a normal driving position can obtain an </w:t>
      </w:r>
      <w:r>
        <w:lastRenderedPageBreak/>
        <w:t>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keepNext/>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413" w:name="_Toc112317232"/>
      <w:r>
        <w:rPr>
          <w:rStyle w:val="CharSectno"/>
        </w:rPr>
        <w:lastRenderedPageBreak/>
        <w:t>262</w:t>
      </w:r>
      <w:r>
        <w:t>.</w:t>
      </w:r>
      <w:r>
        <w:tab/>
        <w:t>Size and capacity of wheels and tyres of certain vehicles</w:t>
      </w:r>
      <w:bookmarkEnd w:id="413"/>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414" w:name="_Toc112317233"/>
      <w:r>
        <w:rPr>
          <w:rStyle w:val="CharSectno"/>
        </w:rPr>
        <w:t>263</w:t>
      </w:r>
      <w:r>
        <w:t>.</w:t>
      </w:r>
      <w:r>
        <w:tab/>
        <w:t>Pneumatic tyres for certain vehicles</w:t>
      </w:r>
      <w:bookmarkEnd w:id="414"/>
    </w:p>
    <w:p>
      <w:pPr>
        <w:pStyle w:val="Subsection"/>
      </w:pPr>
      <w:r>
        <w:tab/>
      </w:r>
      <w:r>
        <w:tab/>
        <w:t>A motor vehicle, trailer or any vehicle in a combination that was built after 1932 must be fitted with pneumatic tyres.</w:t>
      </w:r>
    </w:p>
    <w:p>
      <w:pPr>
        <w:pStyle w:val="Heading5"/>
      </w:pPr>
      <w:bookmarkStart w:id="415" w:name="_Toc112317234"/>
      <w:r>
        <w:rPr>
          <w:rStyle w:val="CharSectno"/>
        </w:rPr>
        <w:t>264</w:t>
      </w:r>
      <w:r>
        <w:t>.</w:t>
      </w:r>
      <w:r>
        <w:tab/>
        <w:t>Pneumatic tyres for vehicles</w:t>
      </w:r>
      <w:bookmarkEnd w:id="415"/>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416" w:name="_Toc112317235"/>
      <w:r>
        <w:rPr>
          <w:rStyle w:val="CharSectno"/>
        </w:rPr>
        <w:t>265</w:t>
      </w:r>
      <w:r>
        <w:t>.</w:t>
      </w:r>
      <w:r>
        <w:tab/>
        <w:t>Tyres for use on heavy vehicles</w:t>
      </w:r>
      <w:bookmarkEnd w:id="416"/>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417" w:name="_Toc112317236"/>
      <w:r>
        <w:rPr>
          <w:rStyle w:val="CharSectno"/>
        </w:rPr>
        <w:t>266</w:t>
      </w:r>
      <w:r>
        <w:t>.</w:t>
      </w:r>
      <w:r>
        <w:tab/>
        <w:t>Size and capacity of pneumatic tyres of certain vehicles</w:t>
      </w:r>
      <w:bookmarkEnd w:id="417"/>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lastRenderedPageBreak/>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keepNext/>
      </w:pPr>
      <w:r>
        <w:tab/>
        <w:t>(b)</w:t>
      </w:r>
      <w:r>
        <w:tab/>
        <w:t xml:space="preserve">a pressure of — </w:t>
      </w:r>
    </w:p>
    <w:p>
      <w:pPr>
        <w:pStyle w:val="Indenti"/>
      </w:pPr>
      <w:r>
        <w:tab/>
        <w:t>(i)</w:t>
      </w:r>
      <w:r>
        <w:tab/>
        <w:t>for a radial ply tyre — 825 kPa; or</w:t>
      </w:r>
    </w:p>
    <w:p>
      <w:pPr>
        <w:pStyle w:val="Indenti"/>
        <w:keepNext/>
      </w:pPr>
      <w:r>
        <w:tab/>
        <w:t>(ii)</w:t>
      </w:r>
      <w:r>
        <w:tab/>
        <w:t>for another tyre — 700 kPa.</w:t>
      </w:r>
    </w:p>
    <w:p>
      <w:pPr>
        <w:pStyle w:val="Footnotesection"/>
      </w:pPr>
      <w:r>
        <w:tab/>
        <w:t>[Regulation 266 inserted: Gazette 29 Mar 2019 p. 967.]</w:t>
      </w:r>
    </w:p>
    <w:p>
      <w:pPr>
        <w:pStyle w:val="Heading5"/>
      </w:pPr>
      <w:bookmarkStart w:id="418" w:name="_Toc112317237"/>
      <w:r>
        <w:rPr>
          <w:rStyle w:val="CharSectno"/>
        </w:rPr>
        <w:t>267</w:t>
      </w:r>
      <w:r>
        <w:t>.</w:t>
      </w:r>
      <w:r>
        <w:tab/>
        <w:t>Tyres defects of certain vehicles</w:t>
      </w:r>
      <w:bookmarkEnd w:id="418"/>
    </w:p>
    <w:p>
      <w:pPr>
        <w:pStyle w:val="Subsection"/>
      </w:pPr>
      <w:r>
        <w:tab/>
      </w:r>
      <w:r>
        <w:tab/>
        <w:t>A tyre fitted to a motor vehicle, trailer or any vehicle in a combination must be free of any apparent defect that could make the vehicle unsafe.</w:t>
      </w:r>
    </w:p>
    <w:p>
      <w:pPr>
        <w:pStyle w:val="Heading5"/>
      </w:pPr>
      <w:bookmarkStart w:id="419" w:name="_Toc112317238"/>
      <w:r>
        <w:rPr>
          <w:rStyle w:val="CharSectno"/>
        </w:rPr>
        <w:t>268</w:t>
      </w:r>
      <w:r>
        <w:t>.</w:t>
      </w:r>
      <w:r>
        <w:tab/>
        <w:t>Manufacturer’s rating for motor vehicle tyres</w:t>
      </w:r>
      <w:bookmarkEnd w:id="419"/>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lastRenderedPageBreak/>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420" w:name="_Toc112317239"/>
      <w:r>
        <w:rPr>
          <w:rStyle w:val="CharSectno"/>
        </w:rPr>
        <w:t>269</w:t>
      </w:r>
      <w:r>
        <w:t>.</w:t>
      </w:r>
      <w:r>
        <w:tab/>
        <w:t>Retreads for certain vehicles</w:t>
      </w:r>
      <w:bookmarkEnd w:id="420"/>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421" w:name="_Toc112317240"/>
      <w:r>
        <w:rPr>
          <w:rStyle w:val="CharSectno"/>
        </w:rPr>
        <w:lastRenderedPageBreak/>
        <w:t>270</w:t>
      </w:r>
      <w:r>
        <w:t>.</w:t>
      </w:r>
      <w:r>
        <w:tab/>
        <w:t>Tyre treads for certain vehicles</w:t>
      </w:r>
      <w:bookmarkEnd w:id="421"/>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keepNext/>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422" w:name="_Toc112317241"/>
      <w:r>
        <w:rPr>
          <w:rStyle w:val="CharSectno"/>
        </w:rPr>
        <w:t>271</w:t>
      </w:r>
      <w:r>
        <w:t>.</w:t>
      </w:r>
      <w:r>
        <w:tab/>
        <w:t>Motor cycle steering gear and handlebars</w:t>
      </w:r>
      <w:bookmarkEnd w:id="422"/>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lastRenderedPageBreak/>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423" w:name="_Toc112317242"/>
      <w:r>
        <w:rPr>
          <w:rStyle w:val="CharSectno"/>
        </w:rPr>
        <w:t>272</w:t>
      </w:r>
      <w:r>
        <w:t>.</w:t>
      </w:r>
      <w:r>
        <w:tab/>
        <w:t>Motor cycle foot rests</w:t>
      </w:r>
      <w:bookmarkEnd w:id="423"/>
    </w:p>
    <w:p>
      <w:pPr>
        <w:pStyle w:val="Subsection"/>
      </w:pPr>
      <w:r>
        <w:tab/>
      </w:r>
      <w:r>
        <w:tab/>
        <w:t>A motor cycle must be fitted with foot rests for the driver and for any passenger for whom a seating position is provided.</w:t>
      </w:r>
    </w:p>
    <w:p>
      <w:pPr>
        <w:pStyle w:val="Heading5"/>
        <w:keepLines w:val="0"/>
      </w:pPr>
      <w:bookmarkStart w:id="424" w:name="_Toc112317243"/>
      <w:r>
        <w:rPr>
          <w:rStyle w:val="CharSectno"/>
        </w:rPr>
        <w:t>273</w:t>
      </w:r>
      <w:r>
        <w:t>.</w:t>
      </w:r>
      <w:r>
        <w:tab/>
        <w:t>Motor cycle chain guards</w:t>
      </w:r>
      <w:bookmarkEnd w:id="424"/>
    </w:p>
    <w:p>
      <w:pPr>
        <w:pStyle w:val="Subsection"/>
        <w:keepNext/>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keepNext/>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425" w:name="_Toc112235644"/>
      <w:bookmarkStart w:id="426" w:name="_Toc112237426"/>
      <w:bookmarkStart w:id="427" w:name="_Toc112317244"/>
      <w:r>
        <w:rPr>
          <w:rStyle w:val="CharDivNo"/>
        </w:rPr>
        <w:lastRenderedPageBreak/>
        <w:t>Division 6</w:t>
      </w:r>
      <w:r>
        <w:t> — </w:t>
      </w:r>
      <w:r>
        <w:rPr>
          <w:rStyle w:val="CharDivText"/>
        </w:rPr>
        <w:t>Vehicle marking</w:t>
      </w:r>
      <w:bookmarkEnd w:id="425"/>
      <w:bookmarkEnd w:id="426"/>
      <w:bookmarkEnd w:id="427"/>
    </w:p>
    <w:p>
      <w:pPr>
        <w:pStyle w:val="Heading5"/>
      </w:pPr>
      <w:bookmarkStart w:id="428" w:name="_Toc112317245"/>
      <w:r>
        <w:rPr>
          <w:rStyle w:val="CharSectno"/>
        </w:rPr>
        <w:t>274</w:t>
      </w:r>
      <w:r>
        <w:t>.</w:t>
      </w:r>
      <w:r>
        <w:tab/>
        <w:t>Identification numbers for vehicle and engine</w:t>
      </w:r>
      <w:bookmarkEnd w:id="428"/>
    </w:p>
    <w:p>
      <w:pPr>
        <w:pStyle w:val="Subsection"/>
        <w:keepNext/>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429" w:name="_Toc112317246"/>
      <w:r>
        <w:rPr>
          <w:rStyle w:val="CharSectno"/>
        </w:rPr>
        <w:t>275</w:t>
      </w:r>
      <w:r>
        <w:t>.</w:t>
      </w:r>
      <w:r>
        <w:tab/>
        <w:t>White or silver band on certain vehicles</w:t>
      </w:r>
      <w:bookmarkEnd w:id="429"/>
    </w:p>
    <w:p>
      <w:pPr>
        <w:pStyle w:val="Subsection"/>
        <w:keepNext/>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lastRenderedPageBreak/>
        <w:tab/>
        <w:t>(3)</w:t>
      </w:r>
      <w:r>
        <w:tab/>
        <w:t>The vehicle must have a white or silver band at least 75 mm high across the full width of the rearmost part of the body of the vehicle.</w:t>
      </w:r>
    </w:p>
    <w:p>
      <w:pPr>
        <w:pStyle w:val="Heading5"/>
        <w:spacing w:before="180"/>
      </w:pPr>
      <w:bookmarkStart w:id="430" w:name="_Toc112317247"/>
      <w:r>
        <w:rPr>
          <w:rStyle w:val="CharSectno"/>
        </w:rPr>
        <w:t>276</w:t>
      </w:r>
      <w:r>
        <w:t>.</w:t>
      </w:r>
      <w:r>
        <w:tab/>
        <w:t>Warning signs for certain combinations</w:t>
      </w:r>
      <w:bookmarkEnd w:id="430"/>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keepNext/>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431" w:name="_Toc112317248"/>
      <w:r>
        <w:rPr>
          <w:rStyle w:val="CharSectno"/>
        </w:rPr>
        <w:t>277</w:t>
      </w:r>
      <w:r>
        <w:t>.</w:t>
      </w:r>
      <w:r>
        <w:tab/>
        <w:t>Specifications for warning signs for certain combinations</w:t>
      </w:r>
      <w:bookmarkEnd w:id="431"/>
    </w:p>
    <w:p>
      <w:pPr>
        <w:pStyle w:val="Subsection"/>
      </w:pPr>
      <w:r>
        <w:tab/>
        <w:t>(1)</w:t>
      </w:r>
      <w:r>
        <w:tab/>
        <w:t xml:space="preserve">A road train or long vehicle warning sign must be manufactured in one or 2 parts from sheet steel 0.8 mm thick or another </w:t>
      </w:r>
      <w:r>
        <w:lastRenderedPageBreak/>
        <w:t>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keepNext/>
      </w:pPr>
      <w:r>
        <w:tab/>
        <w:t>(8)</w:t>
      </w:r>
      <w:r>
        <w:tab/>
        <w:t>The warning sign must be fitted so —</w:t>
      </w:r>
    </w:p>
    <w:p>
      <w:pPr>
        <w:pStyle w:val="Indenta"/>
        <w:keepNext/>
      </w:pPr>
      <w:r>
        <w:tab/>
        <w:t>(a)</w:t>
      </w:r>
      <w:r>
        <w:tab/>
        <w:t>no part of the sign is —</w:t>
      </w:r>
    </w:p>
    <w:p>
      <w:pPr>
        <w:pStyle w:val="Indenti"/>
      </w:pPr>
      <w:r>
        <w:tab/>
        <w:t>(i)</w:t>
      </w:r>
      <w:r>
        <w:tab/>
        <w:t>over 1.8 m above ground level; or</w:t>
      </w:r>
    </w:p>
    <w:p>
      <w:pPr>
        <w:pStyle w:val="Indenti"/>
        <w:keepNext/>
      </w:pPr>
      <w:r>
        <w:tab/>
        <w:t>(ii)</w:t>
      </w:r>
      <w:r>
        <w:tab/>
        <w:t>under 500 mm above ground level;</w:t>
      </w:r>
    </w:p>
    <w:p>
      <w:pPr>
        <w:pStyle w:val="Indenta"/>
      </w:pPr>
      <w:r>
        <w:tab/>
      </w:r>
      <w:r>
        <w:tab/>
        <w:t>and</w:t>
      </w:r>
    </w:p>
    <w:p>
      <w:pPr>
        <w:pStyle w:val="Indenta"/>
        <w:keepNext/>
      </w:pPr>
      <w:r>
        <w:lastRenderedPageBreak/>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432" w:name="_Toc112317249"/>
      <w:r>
        <w:rPr>
          <w:rStyle w:val="CharSectno"/>
        </w:rPr>
        <w:t>278</w:t>
      </w:r>
      <w:r>
        <w:t>.</w:t>
      </w:r>
      <w:r>
        <w:tab/>
        <w:t>Warning signs not to be displayed on other vehicles</w:t>
      </w:r>
      <w:bookmarkEnd w:id="432"/>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433" w:name="_Toc112317250"/>
      <w:r>
        <w:rPr>
          <w:rStyle w:val="CharSectno"/>
        </w:rPr>
        <w:t>279</w:t>
      </w:r>
      <w:r>
        <w:t>.</w:t>
      </w:r>
      <w:r>
        <w:tab/>
        <w:t>Left</w:t>
      </w:r>
      <w:r>
        <w:noBreakHyphen/>
        <w:t>hand drive signs</w:t>
      </w:r>
      <w:bookmarkEnd w:id="433"/>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434" w:name="_Toc112235651"/>
      <w:bookmarkStart w:id="435" w:name="_Toc112237433"/>
      <w:bookmarkStart w:id="436" w:name="_Toc112317251"/>
      <w:r>
        <w:rPr>
          <w:rStyle w:val="CharDivNo"/>
        </w:rPr>
        <w:lastRenderedPageBreak/>
        <w:t>Division 7</w:t>
      </w:r>
      <w:r>
        <w:t> — </w:t>
      </w:r>
      <w:r>
        <w:rPr>
          <w:rStyle w:val="CharDivText"/>
        </w:rPr>
        <w:t>Vehicle configuration</w:t>
      </w:r>
      <w:bookmarkEnd w:id="434"/>
      <w:bookmarkEnd w:id="435"/>
      <w:bookmarkEnd w:id="436"/>
    </w:p>
    <w:p>
      <w:pPr>
        <w:pStyle w:val="Heading5"/>
        <w:spacing w:before="120"/>
      </w:pPr>
      <w:bookmarkStart w:id="437" w:name="_Toc112317252"/>
      <w:r>
        <w:rPr>
          <w:rStyle w:val="CharSectno"/>
        </w:rPr>
        <w:t>280</w:t>
      </w:r>
      <w:r>
        <w:t>.</w:t>
      </w:r>
      <w:r>
        <w:tab/>
        <w:t>Axle configuration for various vehicles</w:t>
      </w:r>
      <w:bookmarkEnd w:id="437"/>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keepNext/>
      </w:pPr>
      <w:r>
        <w:tab/>
        <w:t>(2)</w:t>
      </w:r>
      <w:r>
        <w:tab/>
        <w:t xml:space="preserve">An articulated bus must have — </w:t>
      </w:r>
    </w:p>
    <w:p>
      <w:pPr>
        <w:pStyle w:val="Indenta"/>
        <w:keepNext/>
      </w:pPr>
      <w:r>
        <w:tab/>
        <w:t>(a)</w:t>
      </w:r>
      <w:r>
        <w:tab/>
        <w:t xml:space="preserve">on its front section — </w:t>
      </w:r>
    </w:p>
    <w:p>
      <w:pPr>
        <w:pStyle w:val="Indenti"/>
      </w:pPr>
      <w:r>
        <w:tab/>
        <w:t>(i)</w:t>
      </w:r>
      <w:r>
        <w:tab/>
        <w:t>only one axle group or single axle towards the front of the section; and</w:t>
      </w:r>
    </w:p>
    <w:p>
      <w:pPr>
        <w:pStyle w:val="Indenti"/>
        <w:keepNext/>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keepNext/>
      </w:pPr>
      <w:r>
        <w:tab/>
        <w:t>(3)</w:t>
      </w:r>
      <w:r>
        <w:tab/>
        <w:t xml:space="preserve">A trailer must have only — </w:t>
      </w:r>
    </w:p>
    <w:p>
      <w:pPr>
        <w:pStyle w:val="Indenta"/>
      </w:pPr>
      <w:r>
        <w:tab/>
        <w:t>(a)</w:t>
      </w:r>
      <w:r>
        <w:tab/>
        <w:t>one axle group or single axle; or</w:t>
      </w:r>
    </w:p>
    <w:p>
      <w:pPr>
        <w:pStyle w:val="Indenta"/>
        <w:keepNext/>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keepNext/>
      </w:pPr>
      <w:r>
        <w:tab/>
        <w:t>(4)</w:t>
      </w:r>
      <w:r>
        <w:tab/>
        <w:t>A semi</w:t>
      </w:r>
      <w:r>
        <w:noBreakHyphen/>
        <w:t xml:space="preserve">trailer that is extendible or is fitted with sliding axles must — </w:t>
      </w:r>
    </w:p>
    <w:p>
      <w:pPr>
        <w:pStyle w:val="Indenta"/>
        <w:keepNext/>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lastRenderedPageBreak/>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keepNext/>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438" w:name="_Toc112317253"/>
      <w:r>
        <w:rPr>
          <w:rStyle w:val="CharSectno"/>
        </w:rPr>
        <w:t>281</w:t>
      </w:r>
      <w:r>
        <w:t>.</w:t>
      </w:r>
      <w:r>
        <w:tab/>
        <w:t>Relation between axles in axle group for heavy vehicles</w:t>
      </w:r>
      <w:bookmarkEnd w:id="438"/>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439" w:name="_Toc112235654"/>
      <w:bookmarkStart w:id="440" w:name="_Toc112237436"/>
      <w:bookmarkStart w:id="441" w:name="_Toc112317254"/>
      <w:r>
        <w:rPr>
          <w:rStyle w:val="CharDivNo"/>
        </w:rPr>
        <w:t>Division 8</w:t>
      </w:r>
      <w:r>
        <w:t> — </w:t>
      </w:r>
      <w:r>
        <w:rPr>
          <w:rStyle w:val="CharDivText"/>
        </w:rPr>
        <w:t>Lights and reflectors</w:t>
      </w:r>
      <w:bookmarkEnd w:id="439"/>
      <w:bookmarkEnd w:id="440"/>
      <w:bookmarkEnd w:id="441"/>
    </w:p>
    <w:p>
      <w:pPr>
        <w:pStyle w:val="Heading4"/>
      </w:pPr>
      <w:bookmarkStart w:id="442" w:name="_Toc112235655"/>
      <w:bookmarkStart w:id="443" w:name="_Toc112237437"/>
      <w:bookmarkStart w:id="444" w:name="_Toc112317255"/>
      <w:r>
        <w:t>Subdivision 1 — General requirements for lights and vehicles not required to have lights or reflectors</w:t>
      </w:r>
      <w:bookmarkEnd w:id="442"/>
      <w:bookmarkEnd w:id="443"/>
      <w:bookmarkEnd w:id="444"/>
    </w:p>
    <w:p>
      <w:pPr>
        <w:pStyle w:val="Heading5"/>
        <w:spacing w:before="240"/>
      </w:pPr>
      <w:bookmarkStart w:id="445" w:name="_Toc112317256"/>
      <w:r>
        <w:rPr>
          <w:rStyle w:val="CharSectno"/>
        </w:rPr>
        <w:t>282</w:t>
      </w:r>
      <w:r>
        <w:t>.</w:t>
      </w:r>
      <w:r>
        <w:tab/>
        <w:t>Certain requirements apply only at night</w:t>
      </w:r>
      <w:bookmarkEnd w:id="445"/>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446" w:name="_Toc112317257"/>
      <w:r>
        <w:rPr>
          <w:rStyle w:val="CharSectno"/>
        </w:rPr>
        <w:t>283</w:t>
      </w:r>
      <w:r>
        <w:t>.</w:t>
      </w:r>
      <w:r>
        <w:tab/>
        <w:t>Prevention of glare</w:t>
      </w:r>
      <w:bookmarkEnd w:id="446"/>
    </w:p>
    <w:p>
      <w:pPr>
        <w:pStyle w:val="Subsection"/>
        <w:spacing w:before="180"/>
      </w:pPr>
      <w:r>
        <w:tab/>
      </w:r>
      <w:r>
        <w:tab/>
        <w:t>A light, except a high</w:t>
      </w:r>
      <w:r>
        <w:noBreakHyphen/>
        <w:t xml:space="preserve">beam headlight, fitted to a motor vehicle, trailer or any vehicle in a combination must be built and </w:t>
      </w:r>
      <w:r>
        <w:lastRenderedPageBreak/>
        <w:t>adjusted to provide the necessary amount of light, without dazzling the driver of another vehicle approaching, or being approached by, the vehicle.</w:t>
      </w:r>
    </w:p>
    <w:p>
      <w:pPr>
        <w:pStyle w:val="Heading5"/>
        <w:spacing w:before="240"/>
      </w:pPr>
      <w:bookmarkStart w:id="447" w:name="_Toc112317258"/>
      <w:r>
        <w:rPr>
          <w:rStyle w:val="CharSectno"/>
        </w:rPr>
        <w:t>284</w:t>
      </w:r>
      <w:r>
        <w:t>.</w:t>
      </w:r>
      <w:r>
        <w:tab/>
        <w:t>Pairs of lights</w:t>
      </w:r>
      <w:bookmarkEnd w:id="447"/>
    </w:p>
    <w:p>
      <w:pPr>
        <w:pStyle w:val="Subsection"/>
        <w:keepNext/>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448" w:name="_Toc112317259"/>
      <w:r>
        <w:rPr>
          <w:rStyle w:val="CharSectno"/>
        </w:rPr>
        <w:t>285</w:t>
      </w:r>
      <w:r>
        <w:t>.</w:t>
      </w:r>
      <w:r>
        <w:tab/>
        <w:t>Certain vehicles not required to have lights or reflectors</w:t>
      </w:r>
      <w:bookmarkEnd w:id="448"/>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449" w:name="_Toc112235660"/>
      <w:bookmarkStart w:id="450" w:name="_Toc112237442"/>
      <w:bookmarkStart w:id="451" w:name="_Toc112317260"/>
      <w:r>
        <w:t>Subdivision 2 — Headlights</w:t>
      </w:r>
      <w:bookmarkEnd w:id="449"/>
      <w:bookmarkEnd w:id="450"/>
      <w:bookmarkEnd w:id="451"/>
    </w:p>
    <w:p>
      <w:pPr>
        <w:pStyle w:val="Heading5"/>
        <w:spacing w:before="240"/>
      </w:pPr>
      <w:bookmarkStart w:id="452" w:name="_Toc112317261"/>
      <w:r>
        <w:rPr>
          <w:rStyle w:val="CharSectno"/>
        </w:rPr>
        <w:t>286</w:t>
      </w:r>
      <w:r>
        <w:t>.</w:t>
      </w:r>
      <w:r>
        <w:tab/>
        <w:t>Motor vehicle headlights to be fitted</w:t>
      </w:r>
      <w:bookmarkEnd w:id="452"/>
    </w:p>
    <w:p>
      <w:pPr>
        <w:pStyle w:val="Subsection"/>
        <w:keepNext/>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keepNext/>
      </w:pPr>
      <w:r>
        <w:lastRenderedPageBreak/>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keepNext/>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keepNext/>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keepNext/>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lastRenderedPageBreak/>
        <w:t>Location of additional headlights on a vehicle</w:t>
      </w:r>
    </w:p>
    <w:p>
      <w:pPr>
        <w:pStyle w:val="Footnotesection"/>
      </w:pPr>
      <w:r>
        <w:tab/>
        <w:t>[Regulation 286 amended: Gazette 29 Mar 2019 p. 967</w:t>
      </w:r>
      <w:r>
        <w:noBreakHyphen/>
        <w:t>8.]</w:t>
      </w:r>
    </w:p>
    <w:p>
      <w:pPr>
        <w:pStyle w:val="Heading5"/>
      </w:pPr>
      <w:bookmarkStart w:id="453" w:name="_Toc112317262"/>
      <w:r>
        <w:rPr>
          <w:rStyle w:val="CharSectno"/>
        </w:rPr>
        <w:t>287</w:t>
      </w:r>
      <w:r>
        <w:t>.</w:t>
      </w:r>
      <w:r>
        <w:tab/>
        <w:t>Motor vehicle headlights — how fitted</w:t>
      </w:r>
      <w:bookmarkEnd w:id="453"/>
    </w:p>
    <w:p>
      <w:pPr>
        <w:pStyle w:val="Subsection"/>
      </w:pPr>
      <w:r>
        <w:tab/>
        <w:t>(1)</w:t>
      </w:r>
      <w:r>
        <w:tab/>
        <w:t>The centres of low</w:t>
      </w:r>
      <w:r>
        <w:noBreakHyphen/>
        <w:t>beam headlights fitted as a pair on a motor vehicle with 4 or more wheels must be at least 600 mm apart.</w:t>
      </w:r>
    </w:p>
    <w:p>
      <w:pPr>
        <w:pStyle w:val="Subsection"/>
        <w:keepNext/>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454" w:name="_Toc112317263"/>
      <w:r>
        <w:rPr>
          <w:rStyle w:val="CharSectno"/>
        </w:rPr>
        <w:t>288</w:t>
      </w:r>
      <w:r>
        <w:t>.</w:t>
      </w:r>
      <w:r>
        <w:tab/>
        <w:t>Motor vehicle single headlights — how fitted</w:t>
      </w:r>
      <w:bookmarkEnd w:id="454"/>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455" w:name="_Toc112317264"/>
      <w:r>
        <w:rPr>
          <w:rStyle w:val="CharSectno"/>
        </w:rPr>
        <w:t>289</w:t>
      </w:r>
      <w:r>
        <w:t>.</w:t>
      </w:r>
      <w:r>
        <w:tab/>
        <w:t>Motor vehicle additional headlights — how fitted</w:t>
      </w:r>
      <w:bookmarkEnd w:id="455"/>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456" w:name="_Toc112317265"/>
      <w:r>
        <w:rPr>
          <w:rStyle w:val="CharSectno"/>
        </w:rPr>
        <w:t>290</w:t>
      </w:r>
      <w:r>
        <w:t>.</w:t>
      </w:r>
      <w:r>
        <w:tab/>
        <w:t>Performance of headlights</w:t>
      </w:r>
      <w:bookmarkEnd w:id="456"/>
    </w:p>
    <w:p>
      <w:pPr>
        <w:pStyle w:val="Subsection"/>
        <w:keepNext/>
      </w:pPr>
      <w:r>
        <w:lastRenderedPageBreak/>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457" w:name="_Toc112317266"/>
      <w:r>
        <w:rPr>
          <w:rStyle w:val="CharSectno"/>
        </w:rPr>
        <w:t>291</w:t>
      </w:r>
      <w:r>
        <w:t>.</w:t>
      </w:r>
      <w:r>
        <w:tab/>
        <w:t>Effective range of headlights</w:t>
      </w:r>
      <w:bookmarkEnd w:id="457"/>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458" w:name="_Toc112317267"/>
      <w:r>
        <w:rPr>
          <w:rStyle w:val="CharSectno"/>
        </w:rPr>
        <w:t>292</w:t>
      </w:r>
      <w:r>
        <w:t>.</w:t>
      </w:r>
      <w:r>
        <w:tab/>
        <w:t>Changing headlights from high</w:t>
      </w:r>
      <w:r>
        <w:noBreakHyphen/>
        <w:t>beam to low</w:t>
      </w:r>
      <w:r>
        <w:noBreakHyphen/>
        <w:t>beam position for motor vehicles</w:t>
      </w:r>
      <w:bookmarkEnd w:id="458"/>
    </w:p>
    <w:p>
      <w:pPr>
        <w:pStyle w:val="Subsection"/>
        <w:keepNext/>
      </w:pPr>
      <w:r>
        <w:tab/>
        <w:t>(1)</w:t>
      </w:r>
      <w:r>
        <w:tab/>
        <w:t xml:space="preserve">A motor vehicle built after 1934 that can travel at over 60 km/h must be fitted with — </w:t>
      </w:r>
    </w:p>
    <w:p>
      <w:pPr>
        <w:pStyle w:val="Indenta"/>
        <w:keepNext/>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keepNext/>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lastRenderedPageBreak/>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459" w:name="_Toc112235668"/>
      <w:bookmarkStart w:id="460" w:name="_Toc112237450"/>
      <w:bookmarkStart w:id="461" w:name="_Toc112317268"/>
      <w:r>
        <w:t>Subdivision 3 — Parking lights</w:t>
      </w:r>
      <w:bookmarkEnd w:id="459"/>
      <w:bookmarkEnd w:id="460"/>
      <w:bookmarkEnd w:id="461"/>
    </w:p>
    <w:p>
      <w:pPr>
        <w:pStyle w:val="Heading5"/>
        <w:spacing w:before="120"/>
      </w:pPr>
      <w:bookmarkStart w:id="462" w:name="_Toc112317269"/>
      <w:r>
        <w:rPr>
          <w:rStyle w:val="CharSectno"/>
        </w:rPr>
        <w:t>293</w:t>
      </w:r>
      <w:r>
        <w:t>.</w:t>
      </w:r>
      <w:r>
        <w:tab/>
        <w:t>Motor vehicle parking lights</w:t>
      </w:r>
      <w:bookmarkEnd w:id="462"/>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keepNext/>
      </w:pPr>
      <w:r>
        <w:lastRenderedPageBreak/>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keepNext/>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463" w:name="_Toc112235670"/>
      <w:bookmarkStart w:id="464" w:name="_Toc112237452"/>
      <w:bookmarkStart w:id="465" w:name="_Toc112317270"/>
      <w:r>
        <w:lastRenderedPageBreak/>
        <w:t>Subdivision 4 — Daytime running lights</w:t>
      </w:r>
      <w:bookmarkEnd w:id="463"/>
      <w:bookmarkEnd w:id="464"/>
      <w:bookmarkEnd w:id="465"/>
    </w:p>
    <w:p>
      <w:pPr>
        <w:pStyle w:val="Heading5"/>
      </w:pPr>
      <w:bookmarkStart w:id="466" w:name="_Toc112317271"/>
      <w:r>
        <w:rPr>
          <w:rStyle w:val="CharSectno"/>
        </w:rPr>
        <w:t>294</w:t>
      </w:r>
      <w:r>
        <w:t>.</w:t>
      </w:r>
      <w:r>
        <w:tab/>
        <w:t>Daytime running lights for certain vehicles</w:t>
      </w:r>
      <w:bookmarkEnd w:id="466"/>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keepNext/>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 xml:space="preserve">skid device mounted on wheels, central </w:t>
      </w:r>
      <w:r>
        <w:lastRenderedPageBreak/>
        <w:t>tyre inflation systems, lights, mirrors, reflectors, signalling devices and tyre pressure gauges.</w:t>
      </w:r>
    </w:p>
    <w:p>
      <w:pPr>
        <w:pStyle w:val="Heading4"/>
      </w:pPr>
      <w:bookmarkStart w:id="467" w:name="_Toc112235672"/>
      <w:bookmarkStart w:id="468" w:name="_Toc112237454"/>
      <w:bookmarkStart w:id="469" w:name="_Toc112317272"/>
      <w:r>
        <w:t>Subdivision 5 — Tail lights</w:t>
      </w:r>
      <w:bookmarkEnd w:id="467"/>
      <w:bookmarkEnd w:id="468"/>
      <w:bookmarkEnd w:id="469"/>
    </w:p>
    <w:p>
      <w:pPr>
        <w:pStyle w:val="Heading5"/>
      </w:pPr>
      <w:bookmarkStart w:id="470" w:name="_Toc112317273"/>
      <w:r>
        <w:rPr>
          <w:rStyle w:val="CharSectno"/>
        </w:rPr>
        <w:t>295</w:t>
      </w:r>
      <w:r>
        <w:t>.</w:t>
      </w:r>
      <w:r>
        <w:tab/>
        <w:t>Tail lights for various vehicles</w:t>
      </w:r>
      <w:bookmarkEnd w:id="470"/>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keepNext/>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471" w:name="_Toc112317274"/>
      <w:r>
        <w:rPr>
          <w:rStyle w:val="CharSectno"/>
        </w:rPr>
        <w:t>296</w:t>
      </w:r>
      <w:r>
        <w:t>.</w:t>
      </w:r>
      <w:r>
        <w:tab/>
        <w:t>Pattern of fitting tail lights to certain vehicles</w:t>
      </w:r>
      <w:bookmarkEnd w:id="471"/>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keepNext/>
      </w:pPr>
      <w:r>
        <w:lastRenderedPageBreak/>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472" w:name="_Toc112317275"/>
      <w:r>
        <w:rPr>
          <w:rStyle w:val="CharSectno"/>
        </w:rPr>
        <w:t>297</w:t>
      </w:r>
      <w:r>
        <w:t>.</w:t>
      </w:r>
      <w:r>
        <w:tab/>
        <w:t>Performance of tail lights of various vehicles</w:t>
      </w:r>
      <w:bookmarkEnd w:id="472"/>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473" w:name="_Toc112317276"/>
      <w:r>
        <w:rPr>
          <w:rStyle w:val="CharSectno"/>
        </w:rPr>
        <w:lastRenderedPageBreak/>
        <w:t>298</w:t>
      </w:r>
      <w:r>
        <w:t>.</w:t>
      </w:r>
      <w:r>
        <w:tab/>
        <w:t>Motor vehicle tail light wiring</w:t>
      </w:r>
      <w:bookmarkEnd w:id="473"/>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474" w:name="_Toc112235677"/>
      <w:bookmarkStart w:id="475" w:name="_Toc112237459"/>
      <w:bookmarkStart w:id="476" w:name="_Toc112317277"/>
      <w:r>
        <w:t>Subdivision 6 — Number plate lights</w:t>
      </w:r>
      <w:bookmarkEnd w:id="474"/>
      <w:bookmarkEnd w:id="475"/>
      <w:bookmarkEnd w:id="476"/>
    </w:p>
    <w:p>
      <w:pPr>
        <w:pStyle w:val="Heading5"/>
        <w:keepNext w:val="0"/>
        <w:keepLines w:val="0"/>
      </w:pPr>
      <w:bookmarkStart w:id="477" w:name="_Toc112317278"/>
      <w:r>
        <w:rPr>
          <w:rStyle w:val="CharSectno"/>
        </w:rPr>
        <w:t>299</w:t>
      </w:r>
      <w:r>
        <w:t>.</w:t>
      </w:r>
      <w:r>
        <w:tab/>
        <w:t>Number plate lights for certain vehicles</w:t>
      </w:r>
      <w:bookmarkEnd w:id="477"/>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keepNext/>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478" w:name="_Toc112235679"/>
      <w:bookmarkStart w:id="479" w:name="_Toc112237461"/>
      <w:bookmarkStart w:id="480" w:name="_Toc112317279"/>
      <w:r>
        <w:t>Subdivision 7 — Clearance lights</w:t>
      </w:r>
      <w:bookmarkEnd w:id="478"/>
      <w:bookmarkEnd w:id="479"/>
      <w:bookmarkEnd w:id="480"/>
    </w:p>
    <w:p>
      <w:pPr>
        <w:pStyle w:val="Heading5"/>
      </w:pPr>
      <w:bookmarkStart w:id="481" w:name="_Toc112317280"/>
      <w:r>
        <w:rPr>
          <w:rStyle w:val="CharSectno"/>
        </w:rPr>
        <w:t>300</w:t>
      </w:r>
      <w:r>
        <w:t>.</w:t>
      </w:r>
      <w:r>
        <w:tab/>
        <w:t>Front clearance lights for various vehicles</w:t>
      </w:r>
      <w:bookmarkEnd w:id="481"/>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keepNext/>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lastRenderedPageBreak/>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keepNext/>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482" w:name="_Toc112317281"/>
      <w:r>
        <w:rPr>
          <w:rStyle w:val="CharSectno"/>
        </w:rPr>
        <w:t>301</w:t>
      </w:r>
      <w:r>
        <w:t>.</w:t>
      </w:r>
      <w:r>
        <w:tab/>
        <w:t>External cabin lights</w:t>
      </w:r>
      <w:bookmarkEnd w:id="482"/>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keepNext/>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483" w:name="_Toc112317282"/>
      <w:r>
        <w:rPr>
          <w:rStyle w:val="CharSectno"/>
        </w:rPr>
        <w:t>302</w:t>
      </w:r>
      <w:r>
        <w:t>.</w:t>
      </w:r>
      <w:r>
        <w:tab/>
        <w:t>Rear clearance lights for certain vehicles at least 1.8 m wide</w:t>
      </w:r>
      <w:bookmarkEnd w:id="483"/>
    </w:p>
    <w:p>
      <w:pPr>
        <w:pStyle w:val="Subsection"/>
      </w:pPr>
      <w:r>
        <w:tab/>
        <w:t>(1)</w:t>
      </w:r>
      <w:r>
        <w:tab/>
        <w:t>Rear clearance lights may be fitted only to a motor vehicle, trailer or any vehicle in a combination that is at least 1.8 m wide.</w:t>
      </w:r>
    </w:p>
    <w:p>
      <w:pPr>
        <w:pStyle w:val="Subsection"/>
      </w:pPr>
      <w:r>
        <w:lastRenderedPageBreak/>
        <w:tab/>
        <w:t>(2)</w:t>
      </w:r>
      <w:r>
        <w:tab/>
        <w:t>A pair of rear clearance lights permitted by this regulation must be fitted to the rear of a vehicle that is at least 2.2 m wide.</w:t>
      </w:r>
    </w:p>
    <w:p>
      <w:pPr>
        <w:pStyle w:val="Subsection"/>
        <w:keepNext/>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keepNext/>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484" w:name="_Toc112235683"/>
      <w:bookmarkStart w:id="485" w:name="_Toc112237465"/>
      <w:bookmarkStart w:id="486" w:name="_Toc112317283"/>
      <w:r>
        <w:t>Subdivision 8 — Side marker lights</w:t>
      </w:r>
      <w:bookmarkEnd w:id="484"/>
      <w:bookmarkEnd w:id="485"/>
      <w:bookmarkEnd w:id="486"/>
    </w:p>
    <w:p>
      <w:pPr>
        <w:pStyle w:val="Heading5"/>
        <w:keepNext w:val="0"/>
        <w:keepLines w:val="0"/>
      </w:pPr>
      <w:bookmarkStart w:id="487" w:name="_Toc112317284"/>
      <w:r>
        <w:rPr>
          <w:rStyle w:val="CharSectno"/>
        </w:rPr>
        <w:t>303</w:t>
      </w:r>
      <w:r>
        <w:t>.</w:t>
      </w:r>
      <w:r>
        <w:tab/>
        <w:t>Side marker lights for various vehicles</w:t>
      </w:r>
      <w:bookmarkEnd w:id="487"/>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lastRenderedPageBreak/>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488" w:name="_Toc112317285"/>
      <w:r>
        <w:rPr>
          <w:rStyle w:val="CharSectno"/>
        </w:rPr>
        <w:t>304</w:t>
      </w:r>
      <w:r>
        <w:t>.</w:t>
      </w:r>
      <w:r>
        <w:tab/>
        <w:t>Location of side marker lights for various vehicles</w:t>
      </w:r>
      <w:bookmarkEnd w:id="488"/>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keepNext/>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lastRenderedPageBreak/>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keepNext/>
      </w:pPr>
      <w:r>
        <w:tab/>
        <w:t>(8)</w:t>
      </w:r>
      <w:r>
        <w:tab/>
        <w:t xml:space="preserve">A side marker light fitted to a vehicle required under regulation 303 to have a side marker light must be fitted so — </w:t>
      </w:r>
    </w:p>
    <w:p>
      <w:pPr>
        <w:pStyle w:val="Indenta"/>
        <w:keepNext/>
      </w:pPr>
      <w:r>
        <w:tab/>
        <w:t>(a)</w:t>
      </w:r>
      <w:r>
        <w:tab/>
        <w:t xml:space="preserve">its centre is not over — </w:t>
      </w:r>
    </w:p>
    <w:p>
      <w:pPr>
        <w:pStyle w:val="Indenti"/>
      </w:pPr>
      <w:r>
        <w:tab/>
        <w:t>(i)</w:t>
      </w:r>
      <w:r>
        <w:tab/>
        <w:t>1.5 m above ground level; or</w:t>
      </w:r>
    </w:p>
    <w:p>
      <w:pPr>
        <w:pStyle w:val="Indenti"/>
        <w:keepNext/>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489" w:name="_Toc112317286"/>
      <w:r>
        <w:rPr>
          <w:rStyle w:val="CharSectno"/>
        </w:rPr>
        <w:t>305</w:t>
      </w:r>
      <w:r>
        <w:t>.</w:t>
      </w:r>
      <w:r>
        <w:tab/>
        <w:t>Performance of side marker lights for various vehicles</w:t>
      </w:r>
      <w:bookmarkEnd w:id="489"/>
    </w:p>
    <w:p>
      <w:pPr>
        <w:pStyle w:val="Subsection"/>
        <w:keepNext/>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keepNext/>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keepNext/>
      </w:pPr>
      <w:r>
        <w:lastRenderedPageBreak/>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490" w:name="_Toc112317287"/>
      <w:r>
        <w:rPr>
          <w:rStyle w:val="CharSectno"/>
        </w:rPr>
        <w:t>306</w:t>
      </w:r>
      <w:r>
        <w:t>.</w:t>
      </w:r>
      <w:r>
        <w:tab/>
        <w:t>Side marker lights may be rear clearance light in certain cases</w:t>
      </w:r>
      <w:bookmarkEnd w:id="490"/>
    </w:p>
    <w:p>
      <w:pPr>
        <w:pStyle w:val="Subsection"/>
      </w:pPr>
      <w:r>
        <w:tab/>
      </w:r>
      <w:r>
        <w:tab/>
        <w:t>The side marker light required or permitted by regulation 303 that is nearest to the rear of a vehicle may also be a rear clearance light for regulation 302.</w:t>
      </w:r>
    </w:p>
    <w:p>
      <w:pPr>
        <w:pStyle w:val="Heading4"/>
      </w:pPr>
      <w:bookmarkStart w:id="491" w:name="_Toc112235688"/>
      <w:bookmarkStart w:id="492" w:name="_Toc112237470"/>
      <w:bookmarkStart w:id="493" w:name="_Toc112317288"/>
      <w:r>
        <w:t>Subdivision 9 — Brake lights</w:t>
      </w:r>
      <w:bookmarkEnd w:id="491"/>
      <w:bookmarkEnd w:id="492"/>
      <w:bookmarkEnd w:id="493"/>
    </w:p>
    <w:p>
      <w:pPr>
        <w:pStyle w:val="Heading5"/>
        <w:keepNext w:val="0"/>
        <w:keepLines w:val="0"/>
      </w:pPr>
      <w:bookmarkStart w:id="494" w:name="_Toc112317289"/>
      <w:r>
        <w:rPr>
          <w:rStyle w:val="CharSectno"/>
        </w:rPr>
        <w:t>307</w:t>
      </w:r>
      <w:r>
        <w:t>.</w:t>
      </w:r>
      <w:r>
        <w:tab/>
        <w:t>Brake lights for various vehicles</w:t>
      </w:r>
      <w:bookmarkEnd w:id="494"/>
    </w:p>
    <w:p>
      <w:pPr>
        <w:pStyle w:val="Subsection"/>
      </w:pPr>
      <w:r>
        <w:tab/>
        <w:t>(1)</w:t>
      </w:r>
      <w:r>
        <w:tab/>
        <w:t>A brake light must be fitted to the rear of a motor vehicle, trailer or any vehicle in a combination built after 1934.</w:t>
      </w:r>
    </w:p>
    <w:p>
      <w:pPr>
        <w:pStyle w:val="Subsection"/>
        <w:keepNext/>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keepNext/>
      </w:pPr>
      <w:r>
        <w:tab/>
        <w:t>(3)</w:t>
      </w:r>
      <w:r>
        <w:tab/>
        <w:t xml:space="preserve">The centre of a brake light required by this regulation must be — </w:t>
      </w:r>
    </w:p>
    <w:p>
      <w:pPr>
        <w:pStyle w:val="Indenta"/>
      </w:pPr>
      <w:r>
        <w:tab/>
        <w:t>(a)</w:t>
      </w:r>
      <w:r>
        <w:tab/>
        <w:t>at least 350 mm above ground level; and</w:t>
      </w:r>
    </w:p>
    <w:p>
      <w:pPr>
        <w:pStyle w:val="Indenta"/>
        <w:keepNext/>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lastRenderedPageBreak/>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keepNext/>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keepNext/>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495" w:name="_Toc112317290"/>
      <w:r>
        <w:rPr>
          <w:rStyle w:val="CharSectno"/>
        </w:rPr>
        <w:t>308</w:t>
      </w:r>
      <w:r>
        <w:t>.</w:t>
      </w:r>
      <w:r>
        <w:tab/>
        <w:t>Performance and operation of brake lights of various vehicles</w:t>
      </w:r>
      <w:bookmarkEnd w:id="495"/>
    </w:p>
    <w:p>
      <w:pPr>
        <w:pStyle w:val="Subsection"/>
        <w:keepNext/>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lastRenderedPageBreak/>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496" w:name="_Toc112235691"/>
      <w:bookmarkStart w:id="497" w:name="_Toc112237473"/>
      <w:bookmarkStart w:id="498" w:name="_Toc112317291"/>
      <w:r>
        <w:t>Subdivision 10 — Reversing lights</w:t>
      </w:r>
      <w:bookmarkEnd w:id="496"/>
      <w:bookmarkEnd w:id="497"/>
      <w:bookmarkEnd w:id="498"/>
    </w:p>
    <w:p>
      <w:pPr>
        <w:pStyle w:val="Heading5"/>
        <w:widowControl w:val="0"/>
      </w:pPr>
      <w:bookmarkStart w:id="499" w:name="_Toc112317292"/>
      <w:r>
        <w:rPr>
          <w:rStyle w:val="CharSectno"/>
        </w:rPr>
        <w:t>309</w:t>
      </w:r>
      <w:r>
        <w:t>.</w:t>
      </w:r>
      <w:r>
        <w:tab/>
        <w:t>Reversing lights</w:t>
      </w:r>
      <w:bookmarkEnd w:id="499"/>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lastRenderedPageBreak/>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500" w:name="_Toc112235693"/>
      <w:bookmarkStart w:id="501" w:name="_Toc112237475"/>
      <w:bookmarkStart w:id="502" w:name="_Toc112317293"/>
      <w:r>
        <w:t>Subdivision 11 — Direction indicator lights</w:t>
      </w:r>
      <w:bookmarkEnd w:id="500"/>
      <w:bookmarkEnd w:id="501"/>
      <w:bookmarkEnd w:id="502"/>
    </w:p>
    <w:p>
      <w:pPr>
        <w:pStyle w:val="Heading5"/>
      </w:pPr>
      <w:bookmarkStart w:id="503" w:name="_Toc112317294"/>
      <w:r>
        <w:rPr>
          <w:rStyle w:val="CharSectno"/>
        </w:rPr>
        <w:t>310</w:t>
      </w:r>
      <w:r>
        <w:t>.</w:t>
      </w:r>
      <w:r>
        <w:tab/>
        <w:t>Motor vehicle direction indicator lights</w:t>
      </w:r>
      <w:bookmarkEnd w:id="503"/>
    </w:p>
    <w:p>
      <w:pPr>
        <w:pStyle w:val="Subsection"/>
        <w:keepNext/>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keepNext/>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keepNext/>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keepNext/>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504" w:name="_Toc112317295"/>
      <w:r>
        <w:rPr>
          <w:rStyle w:val="CharSectno"/>
        </w:rPr>
        <w:lastRenderedPageBreak/>
        <w:t>311</w:t>
      </w:r>
      <w:r>
        <w:t>.</w:t>
      </w:r>
      <w:r>
        <w:tab/>
        <w:t>Trailer direction indicator lights</w:t>
      </w:r>
      <w:bookmarkEnd w:id="504"/>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505" w:name="_Toc112317296"/>
      <w:r>
        <w:rPr>
          <w:rStyle w:val="CharSectno"/>
        </w:rPr>
        <w:t>312</w:t>
      </w:r>
      <w:r>
        <w:t>.</w:t>
      </w:r>
      <w:r>
        <w:tab/>
        <w:t>Location of direction indicator lights for various vehicles</w:t>
      </w:r>
      <w:bookmarkEnd w:id="505"/>
    </w:p>
    <w:p>
      <w:pPr>
        <w:pStyle w:val="Subsection"/>
        <w:keepNext/>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keepNext/>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lastRenderedPageBreak/>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506" w:name="_Toc112317297"/>
      <w:r>
        <w:rPr>
          <w:rStyle w:val="CharSectno"/>
        </w:rPr>
        <w:t>313</w:t>
      </w:r>
      <w:r>
        <w:t>.</w:t>
      </w:r>
      <w:r>
        <w:tab/>
        <w:t>Operation and visibility of direction indicator lights for various vehicles</w:t>
      </w:r>
      <w:bookmarkEnd w:id="506"/>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lastRenderedPageBreak/>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507" w:name="_Toc112235698"/>
      <w:bookmarkStart w:id="508" w:name="_Toc112237480"/>
      <w:bookmarkStart w:id="509" w:name="_Toc112317298"/>
      <w:r>
        <w:lastRenderedPageBreak/>
        <w:t>Subdivision 12 — Fog lights</w:t>
      </w:r>
      <w:bookmarkEnd w:id="507"/>
      <w:bookmarkEnd w:id="508"/>
      <w:bookmarkEnd w:id="509"/>
    </w:p>
    <w:p>
      <w:pPr>
        <w:pStyle w:val="Heading5"/>
        <w:keepNext w:val="0"/>
        <w:keepLines w:val="0"/>
      </w:pPr>
      <w:bookmarkStart w:id="510" w:name="_Toc112317299"/>
      <w:r>
        <w:rPr>
          <w:rStyle w:val="CharSectno"/>
        </w:rPr>
        <w:t>314</w:t>
      </w:r>
      <w:r>
        <w:t>.</w:t>
      </w:r>
      <w:r>
        <w:tab/>
        <w:t>Front fog lights for certain motor vehicles</w:t>
      </w:r>
      <w:bookmarkEnd w:id="510"/>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511" w:name="_Toc112317300"/>
      <w:r>
        <w:rPr>
          <w:rStyle w:val="CharSectno"/>
        </w:rPr>
        <w:t>315</w:t>
      </w:r>
      <w:r>
        <w:t>.</w:t>
      </w:r>
      <w:r>
        <w:tab/>
        <w:t>Rear fog lights for certain vehicles</w:t>
      </w:r>
      <w:bookmarkEnd w:id="511"/>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lastRenderedPageBreak/>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512" w:name="_Toc112235701"/>
      <w:bookmarkStart w:id="513" w:name="_Toc112237483"/>
      <w:bookmarkStart w:id="514" w:name="_Toc112317301"/>
      <w:r>
        <w:t>Subdivision 13 — Interior lights</w:t>
      </w:r>
      <w:bookmarkEnd w:id="512"/>
      <w:bookmarkEnd w:id="513"/>
      <w:bookmarkEnd w:id="514"/>
    </w:p>
    <w:p>
      <w:pPr>
        <w:pStyle w:val="Heading5"/>
        <w:keepNext w:val="0"/>
        <w:keepLines w:val="0"/>
        <w:spacing w:before="120"/>
      </w:pPr>
      <w:bookmarkStart w:id="515" w:name="_Toc112317302"/>
      <w:r>
        <w:rPr>
          <w:rStyle w:val="CharSectno"/>
        </w:rPr>
        <w:t>316</w:t>
      </w:r>
      <w:r>
        <w:t>.</w:t>
      </w:r>
      <w:r>
        <w:tab/>
        <w:t>Interior lights for certain vehicles</w:t>
      </w:r>
      <w:bookmarkEnd w:id="515"/>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516" w:name="_Toc112235703"/>
      <w:bookmarkStart w:id="517" w:name="_Toc112237485"/>
      <w:bookmarkStart w:id="518" w:name="_Toc112317303"/>
      <w:r>
        <w:t>Subdivision 14 — Reflectors generally</w:t>
      </w:r>
      <w:bookmarkEnd w:id="516"/>
      <w:bookmarkEnd w:id="517"/>
      <w:bookmarkEnd w:id="518"/>
    </w:p>
    <w:p>
      <w:pPr>
        <w:pStyle w:val="Heading5"/>
        <w:spacing w:before="120"/>
      </w:pPr>
      <w:bookmarkStart w:id="519" w:name="_Toc112317304"/>
      <w:r>
        <w:rPr>
          <w:rStyle w:val="CharSectno"/>
        </w:rPr>
        <w:t>317</w:t>
      </w:r>
      <w:r>
        <w:t>.</w:t>
      </w:r>
      <w:r>
        <w:tab/>
        <w:t>General requirements for reflectors for certain vehicles</w:t>
      </w:r>
      <w:bookmarkEnd w:id="519"/>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lastRenderedPageBreak/>
        <w:tab/>
        <w:t>(2)</w:t>
      </w:r>
      <w:r>
        <w:tab/>
        <w:t>The reflection must be clearly visible from the position of the headlight.</w:t>
      </w:r>
    </w:p>
    <w:p>
      <w:pPr>
        <w:pStyle w:val="Heading4"/>
      </w:pPr>
      <w:bookmarkStart w:id="520" w:name="_Toc112235705"/>
      <w:bookmarkStart w:id="521" w:name="_Toc112237487"/>
      <w:bookmarkStart w:id="522" w:name="_Toc112317305"/>
      <w:r>
        <w:t>Subdivision 15 — Rear reflectors</w:t>
      </w:r>
      <w:bookmarkEnd w:id="520"/>
      <w:bookmarkEnd w:id="521"/>
      <w:bookmarkEnd w:id="522"/>
    </w:p>
    <w:p>
      <w:pPr>
        <w:pStyle w:val="Heading5"/>
        <w:keepLines w:val="0"/>
      </w:pPr>
      <w:bookmarkStart w:id="523" w:name="_Toc112317306"/>
      <w:r>
        <w:rPr>
          <w:rStyle w:val="CharSectno"/>
        </w:rPr>
        <w:t>318</w:t>
      </w:r>
      <w:r>
        <w:t>.</w:t>
      </w:r>
      <w:r>
        <w:tab/>
        <w:t>Rear reflectors for certain vehicles</w:t>
      </w:r>
      <w:bookmarkEnd w:id="523"/>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524" w:name="_Toc112235707"/>
      <w:bookmarkStart w:id="525" w:name="_Toc112237489"/>
      <w:bookmarkStart w:id="526" w:name="_Toc112317307"/>
      <w:r>
        <w:t>Subdivision 16 — Side reflectors</w:t>
      </w:r>
      <w:bookmarkEnd w:id="524"/>
      <w:bookmarkEnd w:id="525"/>
      <w:bookmarkEnd w:id="526"/>
    </w:p>
    <w:p>
      <w:pPr>
        <w:pStyle w:val="Heading5"/>
        <w:keepNext w:val="0"/>
        <w:keepLines w:val="0"/>
        <w:spacing w:before="120"/>
      </w:pPr>
      <w:bookmarkStart w:id="527" w:name="_Toc112317308"/>
      <w:r>
        <w:rPr>
          <w:rStyle w:val="CharSectno"/>
        </w:rPr>
        <w:t>319</w:t>
      </w:r>
      <w:r>
        <w:t>.</w:t>
      </w:r>
      <w:r>
        <w:tab/>
        <w:t>Compulsory and optional side reflectors on pole</w:t>
      </w:r>
      <w:r>
        <w:noBreakHyphen/>
        <w:t>type trailers</w:t>
      </w:r>
      <w:bookmarkEnd w:id="527"/>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lastRenderedPageBreak/>
        <w:tab/>
        <w:t>(2)</w:t>
      </w:r>
      <w:r>
        <w:tab/>
        <w:t>Additional side</w:t>
      </w:r>
      <w:r>
        <w:noBreakHyphen/>
        <w:t>facing reflectors may be fitted to a pole</w:t>
      </w:r>
      <w:r>
        <w:noBreakHyphen/>
        <w:t>type trailer in accordance with regulation 320.</w:t>
      </w:r>
    </w:p>
    <w:p>
      <w:pPr>
        <w:pStyle w:val="Heading5"/>
        <w:keepNext w:val="0"/>
        <w:keepLines w:val="0"/>
      </w:pPr>
      <w:bookmarkStart w:id="528" w:name="_Toc112317309"/>
      <w:r>
        <w:rPr>
          <w:rStyle w:val="CharSectno"/>
        </w:rPr>
        <w:t>320</w:t>
      </w:r>
      <w:r>
        <w:t>.</w:t>
      </w:r>
      <w:r>
        <w:tab/>
        <w:t>Optional side reflectors</w:t>
      </w:r>
      <w:bookmarkEnd w:id="528"/>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529" w:name="_Toc112235710"/>
      <w:bookmarkStart w:id="530" w:name="_Toc112237492"/>
      <w:bookmarkStart w:id="531" w:name="_Toc112317310"/>
      <w:r>
        <w:t>Subdivision 17 — Front reflectors</w:t>
      </w:r>
      <w:bookmarkEnd w:id="529"/>
      <w:bookmarkEnd w:id="530"/>
      <w:bookmarkEnd w:id="531"/>
    </w:p>
    <w:p>
      <w:pPr>
        <w:pStyle w:val="Heading5"/>
        <w:keepNext w:val="0"/>
        <w:keepLines w:val="0"/>
      </w:pPr>
      <w:bookmarkStart w:id="532" w:name="_Toc112317311"/>
      <w:r>
        <w:rPr>
          <w:rStyle w:val="CharSectno"/>
        </w:rPr>
        <w:t>321</w:t>
      </w:r>
      <w:r>
        <w:t>.</w:t>
      </w:r>
      <w:r>
        <w:tab/>
        <w:t>Compulsory and optional front reflectors on trailers</w:t>
      </w:r>
      <w:bookmarkEnd w:id="532"/>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533" w:name="_Toc112317312"/>
      <w:r>
        <w:rPr>
          <w:rStyle w:val="CharSectno"/>
        </w:rPr>
        <w:t>322</w:t>
      </w:r>
      <w:r>
        <w:t>.</w:t>
      </w:r>
      <w:r>
        <w:tab/>
        <w:t>Optional front reflectors for various vehicles</w:t>
      </w:r>
      <w:bookmarkEnd w:id="533"/>
    </w:p>
    <w:p>
      <w:pPr>
        <w:pStyle w:val="Subsection"/>
      </w:pPr>
      <w:r>
        <w:lastRenderedPageBreak/>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534" w:name="_Toc112235713"/>
      <w:bookmarkStart w:id="535" w:name="_Toc112237495"/>
      <w:bookmarkStart w:id="536" w:name="_Toc112317313"/>
      <w:r>
        <w:t>Subdivision 18 — Warning lights and signs on buses carrying children</w:t>
      </w:r>
      <w:bookmarkEnd w:id="534"/>
      <w:bookmarkEnd w:id="535"/>
      <w:bookmarkEnd w:id="536"/>
    </w:p>
    <w:p>
      <w:pPr>
        <w:pStyle w:val="Heading5"/>
        <w:keepLines w:val="0"/>
        <w:spacing w:before="180"/>
      </w:pPr>
      <w:bookmarkStart w:id="537" w:name="_Toc112317314"/>
      <w:r>
        <w:rPr>
          <w:rStyle w:val="CharSectno"/>
        </w:rPr>
        <w:t>323</w:t>
      </w:r>
      <w:r>
        <w:t>.</w:t>
      </w:r>
      <w:r>
        <w:tab/>
        <w:t>Term used: bus</w:t>
      </w:r>
      <w:bookmarkEnd w:id="537"/>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538" w:name="_Toc112317315"/>
      <w:r>
        <w:rPr>
          <w:rStyle w:val="CharSectno"/>
        </w:rPr>
        <w:t>324</w:t>
      </w:r>
      <w:r>
        <w:t>.</w:t>
      </w:r>
      <w:r>
        <w:tab/>
        <w:t>Fitting of warning lights and signs</w:t>
      </w:r>
      <w:bookmarkEnd w:id="538"/>
    </w:p>
    <w:p>
      <w:pPr>
        <w:pStyle w:val="Subsection"/>
      </w:pPr>
      <w:r>
        <w:lastRenderedPageBreak/>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539" w:name="_Toc112317316"/>
      <w:r>
        <w:rPr>
          <w:rStyle w:val="CharSectno"/>
        </w:rPr>
        <w:t>325</w:t>
      </w:r>
      <w:r>
        <w:t>.</w:t>
      </w:r>
      <w:r>
        <w:tab/>
        <w:t>Operation and performance of warning lights</w:t>
      </w:r>
      <w:bookmarkEnd w:id="539"/>
    </w:p>
    <w:p>
      <w:pPr>
        <w:pStyle w:val="Subsection"/>
      </w:pPr>
      <w:r>
        <w:tab/>
        <w:t>(1)</w:t>
      </w:r>
      <w:r>
        <w:tab/>
        <w:t>When operating, a bus’s warning light must display regular flashes of yellow light at a rate of at least 90, and not over 180, flashes a minute.</w:t>
      </w:r>
    </w:p>
    <w:p>
      <w:pPr>
        <w:pStyle w:val="Subsection"/>
      </w:pPr>
      <w:r>
        <w:lastRenderedPageBreak/>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540" w:name="_Toc112317317"/>
      <w:r>
        <w:rPr>
          <w:rStyle w:val="CharSectno"/>
        </w:rPr>
        <w:lastRenderedPageBreak/>
        <w:t>326</w:t>
      </w:r>
      <w:r>
        <w:t>.</w:t>
      </w:r>
      <w:r>
        <w:tab/>
        <w:t>Specifications for warning signs</w:t>
      </w:r>
      <w:bookmarkEnd w:id="540"/>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541" w:name="_Toc112235718"/>
      <w:bookmarkStart w:id="542" w:name="_Toc112237500"/>
      <w:bookmarkStart w:id="543" w:name="_Toc112317318"/>
      <w:r>
        <w:lastRenderedPageBreak/>
        <w:t>Subdivision 19 — Other lights, reflectors, rear marking plates or signals</w:t>
      </w:r>
      <w:bookmarkEnd w:id="541"/>
      <w:bookmarkEnd w:id="542"/>
      <w:bookmarkEnd w:id="543"/>
    </w:p>
    <w:p>
      <w:pPr>
        <w:pStyle w:val="Heading5"/>
      </w:pPr>
      <w:bookmarkStart w:id="544" w:name="_Toc112317319"/>
      <w:r>
        <w:rPr>
          <w:rStyle w:val="CharSectno"/>
        </w:rPr>
        <w:t>327</w:t>
      </w:r>
      <w:r>
        <w:t>.</w:t>
      </w:r>
      <w:r>
        <w:tab/>
        <w:t>Other lights and reflectors</w:t>
      </w:r>
      <w:bookmarkEnd w:id="544"/>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lastRenderedPageBreak/>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545" w:name="_Toc112317320"/>
      <w:r>
        <w:rPr>
          <w:rStyle w:val="CharSectno"/>
        </w:rPr>
        <w:t>328</w:t>
      </w:r>
      <w:r>
        <w:t>.</w:t>
      </w:r>
      <w:r>
        <w:tab/>
        <w:t>Rear marking plates for certain vehicles</w:t>
      </w:r>
      <w:bookmarkEnd w:id="545"/>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lastRenderedPageBreak/>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546" w:name="_Toc112317321"/>
      <w:r>
        <w:rPr>
          <w:rStyle w:val="CharSectno"/>
        </w:rPr>
        <w:t>329</w:t>
      </w:r>
      <w:r>
        <w:t>.</w:t>
      </w:r>
      <w:r>
        <w:tab/>
        <w:t>Signalling devices for certain motor vehicles</w:t>
      </w:r>
      <w:bookmarkEnd w:id="546"/>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547" w:name="_Toc112317322"/>
      <w:r>
        <w:rPr>
          <w:rStyle w:val="CharSectno"/>
        </w:rPr>
        <w:t>330</w:t>
      </w:r>
      <w:r>
        <w:t>.</w:t>
      </w:r>
      <w:r>
        <w:tab/>
        <w:t>Mechanical signalling devices</w:t>
      </w:r>
      <w:bookmarkEnd w:id="547"/>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lastRenderedPageBreak/>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548" w:name="_Toc112317323"/>
      <w:r>
        <w:rPr>
          <w:rStyle w:val="CharSectno"/>
        </w:rPr>
        <w:t>331</w:t>
      </w:r>
      <w:r>
        <w:t>.</w:t>
      </w:r>
      <w:r>
        <w:tab/>
        <w:t>Turn signals</w:t>
      </w:r>
      <w:bookmarkEnd w:id="548"/>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 xml:space="preserve">be fitted to the side of the motor vehicle at least 500 mm and not over 2.1 m above ground level, in a position so </w:t>
      </w:r>
      <w:r>
        <w:lastRenderedPageBreak/>
        <w:t>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549" w:name="_Toc112235724"/>
      <w:bookmarkStart w:id="550" w:name="_Toc112237506"/>
      <w:bookmarkStart w:id="551" w:name="_Toc112317324"/>
      <w:r>
        <w:rPr>
          <w:rStyle w:val="CharDivNo"/>
        </w:rPr>
        <w:t>Division 9</w:t>
      </w:r>
      <w:r>
        <w:t> — </w:t>
      </w:r>
      <w:r>
        <w:rPr>
          <w:rStyle w:val="CharDivText"/>
        </w:rPr>
        <w:t>Braking systems</w:t>
      </w:r>
      <w:bookmarkEnd w:id="549"/>
      <w:bookmarkEnd w:id="550"/>
      <w:bookmarkEnd w:id="551"/>
    </w:p>
    <w:p>
      <w:pPr>
        <w:pStyle w:val="Heading4"/>
      </w:pPr>
      <w:bookmarkStart w:id="552" w:name="_Toc112235725"/>
      <w:bookmarkStart w:id="553" w:name="_Toc112237507"/>
      <w:bookmarkStart w:id="554" w:name="_Toc112317325"/>
      <w:r>
        <w:t>Subdivision 1 — Brake requirements for motor vehicles, trailers, combinations</w:t>
      </w:r>
      <w:bookmarkEnd w:id="552"/>
      <w:bookmarkEnd w:id="553"/>
      <w:bookmarkEnd w:id="554"/>
    </w:p>
    <w:p>
      <w:pPr>
        <w:pStyle w:val="Heading5"/>
      </w:pPr>
      <w:bookmarkStart w:id="555" w:name="_Toc112317326"/>
      <w:r>
        <w:rPr>
          <w:rStyle w:val="CharSectno"/>
        </w:rPr>
        <w:t>332</w:t>
      </w:r>
      <w:r>
        <w:t>.</w:t>
      </w:r>
      <w:r>
        <w:tab/>
        <w:t>Braking system materials, components for certain vehicles</w:t>
      </w:r>
      <w:bookmarkEnd w:id="555"/>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lastRenderedPageBreak/>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556" w:name="_Toc112317327"/>
      <w:r>
        <w:rPr>
          <w:rStyle w:val="CharSectno"/>
        </w:rPr>
        <w:t>333</w:t>
      </w:r>
      <w:r>
        <w:t>.</w:t>
      </w:r>
      <w:r>
        <w:tab/>
        <w:t>Provision for wear</w:t>
      </w:r>
      <w:bookmarkEnd w:id="556"/>
    </w:p>
    <w:p>
      <w:pPr>
        <w:pStyle w:val="Subsection"/>
      </w:pPr>
      <w:r>
        <w:tab/>
      </w:r>
      <w:r>
        <w:tab/>
        <w:t>The braking system of a motor vehicle, trailer or any vehicle in a combination must allow for adjustment to take account of normal wear.</w:t>
      </w:r>
    </w:p>
    <w:p>
      <w:pPr>
        <w:pStyle w:val="Heading5"/>
        <w:spacing w:before="160"/>
      </w:pPr>
      <w:bookmarkStart w:id="557" w:name="_Toc112317328"/>
      <w:r>
        <w:rPr>
          <w:rStyle w:val="CharSectno"/>
        </w:rPr>
        <w:t>334</w:t>
      </w:r>
      <w:r>
        <w:t>.</w:t>
      </w:r>
      <w:r>
        <w:tab/>
        <w:t>Supply of air or vacuum to brakes of certain vehicles</w:t>
      </w:r>
      <w:bookmarkEnd w:id="557"/>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lastRenderedPageBreak/>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558" w:name="_Toc112317329"/>
      <w:r>
        <w:rPr>
          <w:rStyle w:val="CharSectno"/>
        </w:rPr>
        <w:t>335</w:t>
      </w:r>
      <w:r>
        <w:t>.</w:t>
      </w:r>
      <w:r>
        <w:tab/>
        <w:t>Performance of braking systems of certain vehicles</w:t>
      </w:r>
      <w:bookmarkEnd w:id="558"/>
    </w:p>
    <w:p>
      <w:pPr>
        <w:pStyle w:val="Subsection"/>
        <w:keepNext/>
      </w:pPr>
      <w:r>
        <w:tab/>
        <w:t>(1)</w:t>
      </w:r>
      <w:r>
        <w:tab/>
        <w:t xml:space="preserve">One sustained application of the brake of a motor vehicle built after 1930, or a combination that includes a motor vehicle built </w:t>
      </w:r>
      <w:r>
        <w:lastRenderedPageBreak/>
        <w:t xml:space="preserve">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lastRenderedPageBreak/>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559" w:name="_Toc112235730"/>
      <w:bookmarkStart w:id="560" w:name="_Toc112237512"/>
      <w:bookmarkStart w:id="561" w:name="_Toc112317330"/>
      <w:r>
        <w:lastRenderedPageBreak/>
        <w:t>Subdivision 2 — Motor vehicle braking systems</w:t>
      </w:r>
      <w:bookmarkEnd w:id="559"/>
      <w:bookmarkEnd w:id="560"/>
      <w:bookmarkEnd w:id="561"/>
    </w:p>
    <w:p>
      <w:pPr>
        <w:pStyle w:val="Heading5"/>
      </w:pPr>
      <w:bookmarkStart w:id="562" w:name="_Toc112317331"/>
      <w:r>
        <w:rPr>
          <w:rStyle w:val="CharSectno"/>
        </w:rPr>
        <w:t>336</w:t>
      </w:r>
      <w:r>
        <w:t>.</w:t>
      </w:r>
      <w:r>
        <w:tab/>
        <w:t>Motor vehicle braking system requirements</w:t>
      </w:r>
      <w:bookmarkEnd w:id="562"/>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lastRenderedPageBreak/>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563" w:name="_Toc112317332"/>
      <w:r>
        <w:rPr>
          <w:rStyle w:val="CharSectno"/>
        </w:rPr>
        <w:t>337</w:t>
      </w:r>
      <w:r>
        <w:t>.</w:t>
      </w:r>
      <w:r>
        <w:tab/>
        <w:t>Operation of brakes on motor vehicles</w:t>
      </w:r>
      <w:bookmarkEnd w:id="563"/>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564" w:name="_Toc112317333"/>
      <w:r>
        <w:rPr>
          <w:rStyle w:val="CharSectno"/>
        </w:rPr>
        <w:t>338</w:t>
      </w:r>
      <w:r>
        <w:t>.</w:t>
      </w:r>
      <w:r>
        <w:tab/>
        <w:t>Air or vacuum brakes on motor vehicles</w:t>
      </w:r>
      <w:bookmarkEnd w:id="564"/>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 xml:space="preserve">An air or vacuum storage tank must be built so the service brake can be applied to meet the performance standards of </w:t>
      </w:r>
      <w:r>
        <w:lastRenderedPageBreak/>
        <w:t>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565" w:name="_Toc112235734"/>
      <w:bookmarkStart w:id="566" w:name="_Toc112237516"/>
      <w:bookmarkStart w:id="567" w:name="_Toc112317334"/>
      <w:r>
        <w:t>Subdivision 3 — Trailer braking systems</w:t>
      </w:r>
      <w:bookmarkEnd w:id="565"/>
      <w:bookmarkEnd w:id="566"/>
      <w:bookmarkEnd w:id="567"/>
    </w:p>
    <w:p>
      <w:pPr>
        <w:pStyle w:val="Heading5"/>
        <w:keepNext w:val="0"/>
        <w:keepLines w:val="0"/>
      </w:pPr>
      <w:bookmarkStart w:id="568" w:name="_Toc112317335"/>
      <w:r>
        <w:rPr>
          <w:rStyle w:val="CharSectno"/>
        </w:rPr>
        <w:t>339</w:t>
      </w:r>
      <w:r>
        <w:t>.</w:t>
      </w:r>
      <w:r>
        <w:tab/>
        <w:t>Trailer braking system requirements</w:t>
      </w:r>
      <w:bookmarkEnd w:id="568"/>
    </w:p>
    <w:p>
      <w:pPr>
        <w:pStyle w:val="Subsection"/>
      </w:pPr>
      <w:r>
        <w:tab/>
        <w:t>(1)</w:t>
      </w:r>
      <w:r>
        <w:tab/>
        <w:t>A trailer with a GTM of more than 750 kg must have brakes that operate on at least one wheel at each end of one or more axles of the trailer.</w:t>
      </w:r>
    </w:p>
    <w:p>
      <w:pPr>
        <w:pStyle w:val="Subsection"/>
      </w:pPr>
      <w:r>
        <w:lastRenderedPageBreak/>
        <w:tab/>
        <w:t>(2)</w:t>
      </w:r>
      <w:r>
        <w:tab/>
        <w:t>A semi</w:t>
      </w:r>
      <w:r>
        <w:noBreakHyphen/>
        <w:t>trailer or converter dolly with a GTM of more than 2 t must have brakes that operate on all its wheels.</w:t>
      </w:r>
    </w:p>
    <w:p>
      <w:pPr>
        <w:pStyle w:val="Heading5"/>
      </w:pPr>
      <w:bookmarkStart w:id="569" w:name="_Toc112317336"/>
      <w:r>
        <w:rPr>
          <w:rStyle w:val="CharSectno"/>
        </w:rPr>
        <w:t>340</w:t>
      </w:r>
      <w:r>
        <w:t>.</w:t>
      </w:r>
      <w:r>
        <w:tab/>
        <w:t>Operation of brakes on trailers</w:t>
      </w:r>
      <w:bookmarkEnd w:id="569"/>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570" w:name="_Toc112317337"/>
      <w:r>
        <w:rPr>
          <w:rStyle w:val="CharSectno"/>
        </w:rPr>
        <w:t>341</w:t>
      </w:r>
      <w:r>
        <w:t>.</w:t>
      </w:r>
      <w:r>
        <w:tab/>
        <w:t>Air brakes or vacuum brakes on trailers</w:t>
      </w:r>
      <w:bookmarkEnd w:id="570"/>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lastRenderedPageBreak/>
        <w:tab/>
        <w:t>(b)</w:t>
      </w:r>
      <w:r>
        <w:tab/>
        <w:t>be safeguarded by a check valve or other device against loss of air or vacuum if the supply fails or leaks.</w:t>
      </w:r>
    </w:p>
    <w:p>
      <w:pPr>
        <w:pStyle w:val="Heading4"/>
      </w:pPr>
      <w:bookmarkStart w:id="571" w:name="_Toc112235738"/>
      <w:bookmarkStart w:id="572" w:name="_Toc112237520"/>
      <w:bookmarkStart w:id="573" w:name="_Toc112317338"/>
      <w:r>
        <w:t>Subdivision 4 — Additional brake requirements for B</w:t>
      </w:r>
      <w:r>
        <w:noBreakHyphen/>
        <w:t>doubles and long road trains</w:t>
      </w:r>
      <w:bookmarkEnd w:id="571"/>
      <w:bookmarkEnd w:id="572"/>
      <w:bookmarkEnd w:id="573"/>
    </w:p>
    <w:p>
      <w:pPr>
        <w:pStyle w:val="Heading5"/>
      </w:pPr>
      <w:bookmarkStart w:id="574" w:name="_Toc112317339"/>
      <w:r>
        <w:rPr>
          <w:rStyle w:val="CharSectno"/>
        </w:rPr>
        <w:t>342</w:t>
      </w:r>
      <w:r>
        <w:t>.</w:t>
      </w:r>
      <w:r>
        <w:tab/>
        <w:t>Subdivision does not apply to certain road trains</w:t>
      </w:r>
      <w:bookmarkEnd w:id="574"/>
    </w:p>
    <w:p>
      <w:pPr>
        <w:pStyle w:val="Subsection"/>
      </w:pPr>
      <w:r>
        <w:tab/>
      </w:r>
      <w:r>
        <w:tab/>
        <w:t>This Subdivision does not apply to a road train or to a vehicle used in a road train, if the road train has a length of 19 m or less.</w:t>
      </w:r>
    </w:p>
    <w:p>
      <w:pPr>
        <w:pStyle w:val="Heading5"/>
        <w:keepLines w:val="0"/>
      </w:pPr>
      <w:bookmarkStart w:id="575" w:name="_Toc112317340"/>
      <w:r>
        <w:rPr>
          <w:rStyle w:val="CharSectno"/>
        </w:rPr>
        <w:t>343</w:t>
      </w:r>
      <w:r>
        <w:t>.</w:t>
      </w:r>
      <w:r>
        <w:tab/>
        <w:t>Braking system design for a prime mover in a B</w:t>
      </w:r>
      <w:r>
        <w:noBreakHyphen/>
        <w:t>double</w:t>
      </w:r>
      <w:bookmarkEnd w:id="575"/>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576" w:name="_Toc112317341"/>
      <w:r>
        <w:rPr>
          <w:rStyle w:val="CharSectno"/>
        </w:rPr>
        <w:t>344</w:t>
      </w:r>
      <w:r>
        <w:t>.</w:t>
      </w:r>
      <w:r>
        <w:tab/>
        <w:t>Braking system design for motor vehicles in road trains</w:t>
      </w:r>
      <w:bookmarkEnd w:id="576"/>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577" w:name="_Toc112317342"/>
      <w:r>
        <w:rPr>
          <w:rStyle w:val="CharSectno"/>
        </w:rPr>
        <w:t>345</w:t>
      </w:r>
      <w:r>
        <w:t>.</w:t>
      </w:r>
      <w:r>
        <w:tab/>
        <w:t>Braking system design for trailers in B</w:t>
      </w:r>
      <w:r>
        <w:noBreakHyphen/>
        <w:t>doubles or road trains</w:t>
      </w:r>
      <w:bookmarkEnd w:id="577"/>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lastRenderedPageBreak/>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578" w:name="_Toc112317343"/>
      <w:r>
        <w:rPr>
          <w:rStyle w:val="CharSectno"/>
        </w:rPr>
        <w:t>346</w:t>
      </w:r>
      <w:r>
        <w:t>.</w:t>
      </w:r>
      <w:r>
        <w:tab/>
        <w:t>Air brakes of motor vehicles in B</w:t>
      </w:r>
      <w:r>
        <w:noBreakHyphen/>
        <w:t>doubles or road trains</w:t>
      </w:r>
      <w:bookmarkEnd w:id="578"/>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579" w:name="_Toc112317344"/>
      <w:r>
        <w:rPr>
          <w:rStyle w:val="CharSectno"/>
        </w:rPr>
        <w:lastRenderedPageBreak/>
        <w:t>347</w:t>
      </w:r>
      <w:r>
        <w:t>.</w:t>
      </w:r>
      <w:r>
        <w:tab/>
        <w:t>Air brakes in a B</w:t>
      </w:r>
      <w:r>
        <w:noBreakHyphen/>
        <w:t>double or road train — least favoured chamber</w:t>
      </w:r>
      <w:bookmarkEnd w:id="579"/>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580" w:name="_Toc112317345"/>
      <w:r>
        <w:rPr>
          <w:rStyle w:val="CharSectno"/>
        </w:rPr>
        <w:t>348</w:t>
      </w:r>
      <w:r>
        <w:t>.</w:t>
      </w:r>
      <w:r>
        <w:tab/>
        <w:t>Recovery of air pressure for brakes in B</w:t>
      </w:r>
      <w:r>
        <w:noBreakHyphen/>
        <w:t>doubles and road trains</w:t>
      </w:r>
      <w:bookmarkEnd w:id="580"/>
    </w:p>
    <w:p>
      <w:pPr>
        <w:pStyle w:val="Subsection"/>
      </w:pPr>
      <w:r>
        <w:tab/>
      </w:r>
      <w:r>
        <w:tab/>
        <w:t>The air pressure in each air brake reservoir in a B</w:t>
      </w:r>
      <w:r>
        <w:noBreakHyphen/>
        <w:t xml:space="preserve">double or road train must recover to at least 420 kPa within one minute </w:t>
      </w:r>
      <w:r>
        <w:lastRenderedPageBreak/>
        <w:t xml:space="preserve">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581" w:name="_Toc112317346"/>
      <w:r>
        <w:rPr>
          <w:rStyle w:val="CharSectno"/>
        </w:rPr>
        <w:t>349</w:t>
      </w:r>
      <w:r>
        <w:t>.</w:t>
      </w:r>
      <w:r>
        <w:tab/>
        <w:t>Air supply for brakes in B</w:t>
      </w:r>
      <w:r>
        <w:noBreakHyphen/>
        <w:t>doubles and road trains</w:t>
      </w:r>
      <w:bookmarkEnd w:id="581"/>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582" w:name="_Toc112317347"/>
      <w:r>
        <w:rPr>
          <w:rStyle w:val="CharSectno"/>
        </w:rPr>
        <w:t>350</w:t>
      </w:r>
      <w:r>
        <w:t>.</w:t>
      </w:r>
      <w:r>
        <w:tab/>
        <w:t>Brake line couplings</w:t>
      </w:r>
      <w:bookmarkEnd w:id="582"/>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 xml:space="preserve">Pressure Braking Systems on Prime Movers, Trailers and </w:t>
      </w:r>
      <w:r>
        <w:rPr>
          <w:i/>
        </w:rPr>
        <w:lastRenderedPageBreak/>
        <w:t>Semi</w:t>
      </w:r>
      <w:r>
        <w:rPr>
          <w:i/>
        </w:rPr>
        <w:noBreakHyphen/>
        <w:t>trailers</w:t>
      </w:r>
      <w:r>
        <w:t xml:space="preserve"> if the hoses used with the brake couplings are used for the same purpose as the hoses mentioned in the standard.</w:t>
      </w:r>
    </w:p>
    <w:p>
      <w:pPr>
        <w:pStyle w:val="Heading5"/>
      </w:pPr>
      <w:bookmarkStart w:id="583" w:name="_Toc112317348"/>
      <w:r>
        <w:rPr>
          <w:rStyle w:val="CharSectno"/>
        </w:rPr>
        <w:t>351</w:t>
      </w:r>
      <w:r>
        <w:t>.</w:t>
      </w:r>
      <w:r>
        <w:tab/>
        <w:t>Simultaneous parking brake application</w:t>
      </w:r>
      <w:bookmarkEnd w:id="583"/>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584" w:name="_Toc112317349"/>
      <w:r>
        <w:rPr>
          <w:rStyle w:val="CharSectno"/>
        </w:rPr>
        <w:t>352</w:t>
      </w:r>
      <w:r>
        <w:t>.</w:t>
      </w:r>
      <w:r>
        <w:tab/>
        <w:t>Capacity of air reservoirs</w:t>
      </w:r>
      <w:bookmarkEnd w:id="584"/>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585" w:name="_Toc112235750"/>
      <w:bookmarkStart w:id="586" w:name="_Toc112237532"/>
      <w:bookmarkStart w:id="587" w:name="_Toc112317350"/>
      <w:r>
        <w:rPr>
          <w:rStyle w:val="CharDivNo"/>
        </w:rPr>
        <w:t>Division 10</w:t>
      </w:r>
      <w:r>
        <w:t> — </w:t>
      </w:r>
      <w:r>
        <w:rPr>
          <w:rStyle w:val="CharDivText"/>
        </w:rPr>
        <w:t>Vehicle emissions</w:t>
      </w:r>
      <w:bookmarkEnd w:id="585"/>
      <w:bookmarkEnd w:id="586"/>
      <w:bookmarkEnd w:id="587"/>
    </w:p>
    <w:p>
      <w:pPr>
        <w:pStyle w:val="Heading4"/>
      </w:pPr>
      <w:bookmarkStart w:id="588" w:name="_Toc112235751"/>
      <w:bookmarkStart w:id="589" w:name="_Toc112237533"/>
      <w:bookmarkStart w:id="590" w:name="_Toc112317351"/>
      <w:r>
        <w:t>Subdivision 1 — Crank case gases and visible emissions</w:t>
      </w:r>
      <w:bookmarkEnd w:id="588"/>
      <w:bookmarkEnd w:id="589"/>
      <w:bookmarkEnd w:id="590"/>
    </w:p>
    <w:p>
      <w:pPr>
        <w:pStyle w:val="Heading5"/>
      </w:pPr>
      <w:bookmarkStart w:id="591" w:name="_Toc112317352"/>
      <w:r>
        <w:rPr>
          <w:rStyle w:val="CharSectno"/>
        </w:rPr>
        <w:t>353</w:t>
      </w:r>
      <w:r>
        <w:t>.</w:t>
      </w:r>
      <w:r>
        <w:tab/>
        <w:t>Crank case gases of various motor vehicles</w:t>
      </w:r>
      <w:bookmarkEnd w:id="591"/>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592" w:name="_Toc112317353"/>
      <w:r>
        <w:rPr>
          <w:rStyle w:val="CharSectno"/>
        </w:rPr>
        <w:t>354</w:t>
      </w:r>
      <w:r>
        <w:t>.</w:t>
      </w:r>
      <w:r>
        <w:tab/>
        <w:t>Visible emissions of certain motor vehicles</w:t>
      </w:r>
      <w:bookmarkEnd w:id="592"/>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lastRenderedPageBreak/>
        <w:tab/>
        <w:t>(3)</w:t>
      </w:r>
      <w:r>
        <w:tab/>
        <w:t>This regulation does not apply to emissions that are visible only because of heat or the condensation of water vapour.</w:t>
      </w:r>
    </w:p>
    <w:p>
      <w:pPr>
        <w:pStyle w:val="Heading4"/>
      </w:pPr>
      <w:bookmarkStart w:id="593" w:name="_Toc112235754"/>
      <w:bookmarkStart w:id="594" w:name="_Toc112237536"/>
      <w:bookmarkStart w:id="595" w:name="_Toc112317354"/>
      <w:r>
        <w:t>Subdivision 2 — Exhaust systems</w:t>
      </w:r>
      <w:bookmarkEnd w:id="593"/>
      <w:bookmarkEnd w:id="594"/>
      <w:bookmarkEnd w:id="595"/>
    </w:p>
    <w:p>
      <w:pPr>
        <w:pStyle w:val="Heading5"/>
      </w:pPr>
      <w:bookmarkStart w:id="596" w:name="_Toc112317355"/>
      <w:r>
        <w:rPr>
          <w:rStyle w:val="CharSectno"/>
        </w:rPr>
        <w:t>355</w:t>
      </w:r>
      <w:r>
        <w:t>.</w:t>
      </w:r>
      <w:r>
        <w:tab/>
        <w:t>Exhaust systems for various motor vehicles</w:t>
      </w:r>
      <w:bookmarkEnd w:id="596"/>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lastRenderedPageBreak/>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lastRenderedPageBreak/>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597" w:name="_Toc112235756"/>
      <w:bookmarkStart w:id="598" w:name="_Toc112237538"/>
      <w:bookmarkStart w:id="599" w:name="_Toc112317356"/>
      <w:r>
        <w:t>Subdivision 3 — Emission control systems</w:t>
      </w:r>
      <w:bookmarkEnd w:id="597"/>
      <w:bookmarkEnd w:id="598"/>
      <w:bookmarkEnd w:id="599"/>
    </w:p>
    <w:p>
      <w:pPr>
        <w:pStyle w:val="Heading5"/>
        <w:spacing w:before="240"/>
        <w:rPr>
          <w:b w:val="0"/>
        </w:rPr>
      </w:pPr>
      <w:bookmarkStart w:id="600" w:name="_Toc112317357"/>
      <w:r>
        <w:rPr>
          <w:rStyle w:val="CharSectno"/>
        </w:rPr>
        <w:t>356</w:t>
      </w:r>
      <w:r>
        <w:t>.</w:t>
      </w:r>
      <w:r>
        <w:tab/>
        <w:t>Emission control systems to be fitted and properly maintained</w:t>
      </w:r>
      <w:bookmarkEnd w:id="600"/>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601" w:name="_Toc112235758"/>
      <w:bookmarkStart w:id="602" w:name="_Toc112237540"/>
      <w:bookmarkStart w:id="603" w:name="_Toc112317358"/>
      <w:r>
        <w:lastRenderedPageBreak/>
        <w:t>Subdivision 4 — Noise emissions</w:t>
      </w:r>
      <w:bookmarkEnd w:id="601"/>
      <w:bookmarkEnd w:id="602"/>
      <w:bookmarkEnd w:id="603"/>
    </w:p>
    <w:p>
      <w:pPr>
        <w:pStyle w:val="Heading5"/>
      </w:pPr>
      <w:bookmarkStart w:id="604" w:name="_Toc112317359"/>
      <w:r>
        <w:rPr>
          <w:rStyle w:val="CharSectno"/>
        </w:rPr>
        <w:t>357</w:t>
      </w:r>
      <w:r>
        <w:t>.</w:t>
      </w:r>
      <w:r>
        <w:tab/>
        <w:t>Measurement of stationary noise levels</w:t>
      </w:r>
      <w:bookmarkEnd w:id="604"/>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605" w:name="_Toc112317360"/>
      <w:r>
        <w:rPr>
          <w:rStyle w:val="CharSectno"/>
        </w:rPr>
        <w:t>357A</w:t>
      </w:r>
      <w:r>
        <w:t>.</w:t>
      </w:r>
      <w:r>
        <w:tab/>
        <w:t xml:space="preserve">Meaning of </w:t>
      </w:r>
      <w:r>
        <w:rPr>
          <w:i/>
        </w:rPr>
        <w:t>certified to ADR 83/00</w:t>
      </w:r>
      <w:bookmarkEnd w:id="605"/>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p>
    <w:p>
      <w:pPr>
        <w:pStyle w:val="Footnotesection"/>
      </w:pPr>
      <w:r>
        <w:tab/>
        <w:t>[Regulation 357A inserted: SL 2021/81 r. 15.]</w:t>
      </w:r>
    </w:p>
    <w:p>
      <w:pPr>
        <w:pStyle w:val="Heading5"/>
      </w:pPr>
      <w:bookmarkStart w:id="606" w:name="_Toc112317361"/>
      <w:r>
        <w:rPr>
          <w:rStyle w:val="CharSectno"/>
        </w:rPr>
        <w:lastRenderedPageBreak/>
        <w:t>358</w:t>
      </w:r>
      <w:r>
        <w:t>.</w:t>
      </w:r>
      <w:r>
        <w:tab/>
        <w:t>Silencing device for exhaust systems</w:t>
      </w:r>
      <w:bookmarkEnd w:id="606"/>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607" w:name="_Toc112317362"/>
      <w:r>
        <w:rPr>
          <w:rStyle w:val="CharSectno"/>
        </w:rPr>
        <w:t>358A</w:t>
      </w:r>
      <w:r>
        <w:t>.</w:t>
      </w:r>
      <w:r>
        <w:tab/>
        <w:t>Application of regulations 359 to 361</w:t>
      </w:r>
      <w:bookmarkEnd w:id="607"/>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608" w:name="_Toc112317363"/>
      <w:r>
        <w:rPr>
          <w:rStyle w:val="CharSectno"/>
        </w:rPr>
        <w:t>359</w:t>
      </w:r>
      <w:r>
        <w:t>.</w:t>
      </w:r>
      <w:r>
        <w:tab/>
        <w:t>Stationary noise levels: car</w:t>
      </w:r>
      <w:r>
        <w:noBreakHyphen/>
        <w:t>type vehicles and motor cycles and motor tricycles</w:t>
      </w:r>
      <w:bookmarkEnd w:id="608"/>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609" w:name="_Toc112317364"/>
      <w:r>
        <w:rPr>
          <w:rStyle w:val="CharSectno"/>
        </w:rPr>
        <w:lastRenderedPageBreak/>
        <w:t>360</w:t>
      </w:r>
      <w:r>
        <w:t>.</w:t>
      </w:r>
      <w:r>
        <w:tab/>
        <w:t>Stationary noise levels: other vehicles with spark ignition engines</w:t>
      </w:r>
      <w:bookmarkEnd w:id="609"/>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610" w:name="_Toc112317365"/>
      <w:r>
        <w:rPr>
          <w:rStyle w:val="CharSectno"/>
        </w:rPr>
        <w:t>361</w:t>
      </w:r>
      <w:r>
        <w:t>.</w:t>
      </w:r>
      <w:r>
        <w:tab/>
        <w:t>Stationary noise levels: other vehicles with diesel engines</w:t>
      </w:r>
      <w:bookmarkEnd w:id="610"/>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lastRenderedPageBreak/>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611" w:name="_Toc112317366"/>
      <w:r>
        <w:rPr>
          <w:rStyle w:val="CharSectno"/>
        </w:rPr>
        <w:lastRenderedPageBreak/>
        <w:t>361A</w:t>
      </w:r>
      <w:r>
        <w:t>.</w:t>
      </w:r>
      <w:r>
        <w:tab/>
        <w:t>Stationary noise levels: vehicles certified to ADR 83/00</w:t>
      </w:r>
      <w:bookmarkEnd w:id="611"/>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612" w:name="_Toc112235767"/>
      <w:bookmarkStart w:id="613" w:name="_Toc112237549"/>
      <w:bookmarkStart w:id="614" w:name="_Toc112317367"/>
      <w:r>
        <w:rPr>
          <w:rStyle w:val="CharDivNo"/>
        </w:rPr>
        <w:t>Division 11</w:t>
      </w:r>
      <w:r>
        <w:t> — </w:t>
      </w:r>
      <w:r>
        <w:rPr>
          <w:rStyle w:val="CharDivText"/>
        </w:rPr>
        <w:t>LPG fuel systems</w:t>
      </w:r>
      <w:bookmarkEnd w:id="612"/>
      <w:bookmarkEnd w:id="613"/>
      <w:bookmarkEnd w:id="614"/>
    </w:p>
    <w:p>
      <w:pPr>
        <w:pStyle w:val="Heading5"/>
      </w:pPr>
      <w:bookmarkStart w:id="615" w:name="_Toc112317368"/>
      <w:r>
        <w:rPr>
          <w:rStyle w:val="CharSectno"/>
        </w:rPr>
        <w:t>362</w:t>
      </w:r>
      <w:r>
        <w:t>.</w:t>
      </w:r>
      <w:r>
        <w:tab/>
        <w:t>LPG</w:t>
      </w:r>
      <w:r>
        <w:noBreakHyphen/>
        <w:t>powered vehicles</w:t>
      </w:r>
      <w:bookmarkEnd w:id="615"/>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616" w:name="_Toc112317369"/>
      <w:r>
        <w:rPr>
          <w:rStyle w:val="CharSectno"/>
        </w:rPr>
        <w:lastRenderedPageBreak/>
        <w:t>362A</w:t>
      </w:r>
      <w:r>
        <w:t>.</w:t>
      </w:r>
      <w:r>
        <w:tab/>
        <w:t>Vehicles powered by natural gas</w:t>
      </w:r>
      <w:bookmarkEnd w:id="616"/>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617" w:name="_Toc112235770"/>
      <w:bookmarkStart w:id="618" w:name="_Toc112237552"/>
      <w:bookmarkStart w:id="619" w:name="_Toc112317370"/>
      <w:r>
        <w:rPr>
          <w:rStyle w:val="CharDivNo"/>
        </w:rPr>
        <w:t>Division 12</w:t>
      </w:r>
      <w:r>
        <w:t> — </w:t>
      </w:r>
      <w:r>
        <w:rPr>
          <w:rStyle w:val="CharDivText"/>
        </w:rPr>
        <w:t>Maximum road speed limiting</w:t>
      </w:r>
      <w:bookmarkEnd w:id="617"/>
      <w:bookmarkEnd w:id="618"/>
      <w:bookmarkEnd w:id="619"/>
    </w:p>
    <w:p>
      <w:pPr>
        <w:pStyle w:val="Heading5"/>
      </w:pPr>
      <w:bookmarkStart w:id="620" w:name="_Toc112317371"/>
      <w:r>
        <w:rPr>
          <w:rStyle w:val="CharSectno"/>
        </w:rPr>
        <w:t>363</w:t>
      </w:r>
      <w:r>
        <w:t>.</w:t>
      </w:r>
      <w:r>
        <w:tab/>
        <w:t>Speed limiting for certain heavy vehicles</w:t>
      </w:r>
      <w:bookmarkEnd w:id="620"/>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621" w:name="_Toc112235772"/>
      <w:bookmarkStart w:id="622" w:name="_Toc112237554"/>
      <w:bookmarkStart w:id="623" w:name="_Toc112317372"/>
      <w:r>
        <w:rPr>
          <w:rStyle w:val="CharDivNo"/>
        </w:rPr>
        <w:lastRenderedPageBreak/>
        <w:t>Division 13</w:t>
      </w:r>
      <w:r>
        <w:t> — </w:t>
      </w:r>
      <w:r>
        <w:rPr>
          <w:rStyle w:val="CharDivText"/>
        </w:rPr>
        <w:t>Mechanical connections between vehicles</w:t>
      </w:r>
      <w:bookmarkEnd w:id="621"/>
      <w:bookmarkEnd w:id="622"/>
      <w:bookmarkEnd w:id="623"/>
    </w:p>
    <w:p>
      <w:pPr>
        <w:pStyle w:val="Heading4"/>
      </w:pPr>
      <w:bookmarkStart w:id="624" w:name="_Toc112235773"/>
      <w:bookmarkStart w:id="625" w:name="_Toc112237555"/>
      <w:bookmarkStart w:id="626" w:name="_Toc112317373"/>
      <w:r>
        <w:t>Subdivision 1 — Coupling requirements for all motor vehicles, trailers and combinations</w:t>
      </w:r>
      <w:bookmarkEnd w:id="624"/>
      <w:bookmarkEnd w:id="625"/>
      <w:bookmarkEnd w:id="626"/>
    </w:p>
    <w:p>
      <w:pPr>
        <w:pStyle w:val="Heading5"/>
      </w:pPr>
      <w:bookmarkStart w:id="627" w:name="_Toc112317374"/>
      <w:r>
        <w:rPr>
          <w:rStyle w:val="CharSectno"/>
        </w:rPr>
        <w:t>364</w:t>
      </w:r>
      <w:r>
        <w:t>.</w:t>
      </w:r>
      <w:r>
        <w:tab/>
        <w:t>General coupling requirements</w:t>
      </w:r>
      <w:bookmarkEnd w:id="627"/>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628" w:name="_Toc112317375"/>
      <w:r>
        <w:rPr>
          <w:rStyle w:val="CharSectno"/>
        </w:rPr>
        <w:t>365</w:t>
      </w:r>
      <w:r>
        <w:t>.</w:t>
      </w:r>
      <w:r>
        <w:tab/>
        <w:t>Trailer connections</w:t>
      </w:r>
      <w:bookmarkEnd w:id="628"/>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629" w:name="_Toc112317376"/>
      <w:r>
        <w:rPr>
          <w:rStyle w:val="CharSectno"/>
        </w:rPr>
        <w:t>366</w:t>
      </w:r>
      <w:r>
        <w:t>.</w:t>
      </w:r>
      <w:r>
        <w:tab/>
        <w:t>Drawbar couplings</w:t>
      </w:r>
      <w:bookmarkEnd w:id="629"/>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 xml:space="preserve">If the trailer is in a combination and is not fitted with breakaway brakes in accordance with regulation 340(3), it must be connected to the towing vehicle by at least one chain, cable or </w:t>
      </w:r>
      <w:r>
        <w:lastRenderedPageBreak/>
        <w:t>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630" w:name="_Toc112235777"/>
      <w:bookmarkStart w:id="631" w:name="_Toc112237559"/>
      <w:bookmarkStart w:id="632" w:name="_Toc112317377"/>
      <w:r>
        <w:t>Subdivision 2 — Additional coupling requirements for B</w:t>
      </w:r>
      <w:r>
        <w:noBreakHyphen/>
        <w:t>doubles and long road trains</w:t>
      </w:r>
      <w:bookmarkEnd w:id="630"/>
      <w:bookmarkEnd w:id="631"/>
      <w:bookmarkEnd w:id="632"/>
    </w:p>
    <w:p>
      <w:pPr>
        <w:pStyle w:val="Heading5"/>
      </w:pPr>
      <w:bookmarkStart w:id="633" w:name="_Toc112317378"/>
      <w:r>
        <w:rPr>
          <w:rStyle w:val="CharSectno"/>
        </w:rPr>
        <w:t>367</w:t>
      </w:r>
      <w:r>
        <w:t>.</w:t>
      </w:r>
      <w:r>
        <w:tab/>
        <w:t>Various kingpins</w:t>
      </w:r>
      <w:bookmarkEnd w:id="633"/>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lastRenderedPageBreak/>
        <w:tab/>
      </w:r>
      <w:r>
        <w:rPr>
          <w:rStyle w:val="CharDefText"/>
        </w:rPr>
        <w:t>road train</w:t>
      </w:r>
      <w:r>
        <w:t xml:space="preserve"> means a road train that exceeds 19 m in length.</w:t>
      </w:r>
    </w:p>
    <w:p>
      <w:pPr>
        <w:pStyle w:val="Heading5"/>
      </w:pPr>
      <w:bookmarkStart w:id="634" w:name="_Toc112317379"/>
      <w:r>
        <w:rPr>
          <w:rStyle w:val="CharSectno"/>
        </w:rPr>
        <w:t>368</w:t>
      </w:r>
      <w:r>
        <w:t>.</w:t>
      </w:r>
      <w:r>
        <w:tab/>
        <w:t>Couplings for B</w:t>
      </w:r>
      <w:r>
        <w:noBreakHyphen/>
        <w:t>doubles and road trains</w:t>
      </w:r>
      <w:bookmarkEnd w:id="634"/>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635" w:name="_Toc112317380"/>
      <w:r>
        <w:rPr>
          <w:rStyle w:val="CharSectno"/>
        </w:rPr>
        <w:t>369</w:t>
      </w:r>
      <w:r>
        <w:t>.</w:t>
      </w:r>
      <w:r>
        <w:tab/>
        <w:t>Selection of fifth wheel couplings for B</w:t>
      </w:r>
      <w:r>
        <w:noBreakHyphen/>
        <w:t>doubles and road trains</w:t>
      </w:r>
      <w:bookmarkEnd w:id="635"/>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lastRenderedPageBreak/>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636" w:name="_Toc112317381"/>
      <w:r>
        <w:rPr>
          <w:rStyle w:val="CharSectno"/>
        </w:rPr>
        <w:t>370</w:t>
      </w:r>
      <w:r>
        <w:t>.</w:t>
      </w:r>
      <w:r>
        <w:tab/>
        <w:t>D</w:t>
      </w:r>
      <w:r>
        <w:noBreakHyphen/>
        <w:t>value of a fifth wheel coupling</w:t>
      </w:r>
      <w:bookmarkEnd w:id="636"/>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637" w:name="_Toc112317382"/>
      <w:r>
        <w:rPr>
          <w:rStyle w:val="CharSectno"/>
        </w:rPr>
        <w:t>371</w:t>
      </w:r>
      <w:r>
        <w:t>.</w:t>
      </w:r>
      <w:r>
        <w:tab/>
        <w:t>Mounting of fifth wheel couplings on B</w:t>
      </w:r>
      <w:r>
        <w:noBreakHyphen/>
        <w:t>doubles and road trains</w:t>
      </w:r>
      <w:bookmarkEnd w:id="637"/>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638" w:name="_Toc112317383"/>
      <w:r>
        <w:rPr>
          <w:rStyle w:val="CharSectno"/>
        </w:rPr>
        <w:t>372</w:t>
      </w:r>
      <w:r>
        <w:t>.</w:t>
      </w:r>
      <w:r>
        <w:tab/>
        <w:t>Branding of fifth wheel couplings and turntables on B</w:t>
      </w:r>
      <w:r>
        <w:noBreakHyphen/>
        <w:t>doubles and road trains</w:t>
      </w:r>
      <w:bookmarkEnd w:id="638"/>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lastRenderedPageBreak/>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639" w:name="_Toc112317384"/>
      <w:r>
        <w:rPr>
          <w:rStyle w:val="CharSectno"/>
        </w:rPr>
        <w:t>373</w:t>
      </w:r>
      <w:r>
        <w:t>.</w:t>
      </w:r>
      <w:r>
        <w:tab/>
        <w:t>Selection of kingpins for B</w:t>
      </w:r>
      <w:r>
        <w:noBreakHyphen/>
        <w:t>doubles and road trains</w:t>
      </w:r>
      <w:bookmarkEnd w:id="639"/>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lastRenderedPageBreak/>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640" w:name="_Toc112317385"/>
      <w:r>
        <w:rPr>
          <w:rStyle w:val="CharSectno"/>
        </w:rPr>
        <w:t>374</w:t>
      </w:r>
      <w:r>
        <w:t>.</w:t>
      </w:r>
      <w:r>
        <w:tab/>
        <w:t>Attachment of kingpins on B</w:t>
      </w:r>
      <w:r>
        <w:noBreakHyphen/>
        <w:t>doubles and road trains</w:t>
      </w:r>
      <w:bookmarkEnd w:id="640"/>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641" w:name="_Toc112317386"/>
      <w:r>
        <w:rPr>
          <w:rStyle w:val="CharSectno"/>
        </w:rPr>
        <w:t>375</w:t>
      </w:r>
      <w:r>
        <w:t>.</w:t>
      </w:r>
      <w:r>
        <w:tab/>
        <w:t>Branding of kingpins on B</w:t>
      </w:r>
      <w:r>
        <w:noBreakHyphen/>
        <w:t>doubles and road trains</w:t>
      </w:r>
      <w:bookmarkEnd w:id="641"/>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lastRenderedPageBreak/>
        <w:tab/>
        <w:t>(b)</w:t>
      </w:r>
      <w:r>
        <w:tab/>
        <w:t>its D</w:t>
      </w:r>
      <w:r>
        <w:noBreakHyphen/>
        <w:t>value rating; and</w:t>
      </w:r>
    </w:p>
    <w:p>
      <w:pPr>
        <w:pStyle w:val="Indenta"/>
      </w:pPr>
      <w:r>
        <w:tab/>
        <w:t>(c)</w:t>
      </w:r>
      <w:r>
        <w:tab/>
        <w:t>its nominal size.</w:t>
      </w:r>
    </w:p>
    <w:p>
      <w:pPr>
        <w:pStyle w:val="Heading5"/>
      </w:pPr>
      <w:bookmarkStart w:id="642" w:name="_Toc112317387"/>
      <w:r>
        <w:rPr>
          <w:rStyle w:val="CharSectno"/>
        </w:rPr>
        <w:t>376</w:t>
      </w:r>
      <w:r>
        <w:t>.</w:t>
      </w:r>
      <w:r>
        <w:tab/>
        <w:t>Selection of couplings and drawbar eyes for road trains</w:t>
      </w:r>
      <w:bookmarkEnd w:id="642"/>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643" w:name="_Toc112317388"/>
      <w:r>
        <w:rPr>
          <w:rStyle w:val="CharSectno"/>
        </w:rPr>
        <w:t>377</w:t>
      </w:r>
      <w:r>
        <w:t>.</w:t>
      </w:r>
      <w:r>
        <w:tab/>
        <w:t>Attachment of couplings and drawbar eyes on road trains</w:t>
      </w:r>
      <w:bookmarkEnd w:id="643"/>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644" w:name="_Toc112317389"/>
      <w:r>
        <w:rPr>
          <w:rStyle w:val="CharSectno"/>
        </w:rPr>
        <w:t>378</w:t>
      </w:r>
      <w:r>
        <w:t>.</w:t>
      </w:r>
      <w:r>
        <w:tab/>
        <w:t>Branding of couplings and drawbar eyes on road trains</w:t>
      </w:r>
      <w:bookmarkEnd w:id="644"/>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lastRenderedPageBreak/>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645" w:name="_Toc112317390"/>
      <w:r>
        <w:rPr>
          <w:rStyle w:val="CharSectno"/>
        </w:rPr>
        <w:t>379</w:t>
      </w:r>
      <w:r>
        <w:t>.</w:t>
      </w:r>
      <w:r>
        <w:tab/>
        <w:t>Tow coupling overhang on road trains</w:t>
      </w:r>
      <w:bookmarkEnd w:id="645"/>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lastRenderedPageBreak/>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646" w:name="_Toc112235791"/>
      <w:bookmarkStart w:id="647" w:name="_Toc112237573"/>
      <w:bookmarkStart w:id="648" w:name="_Toc112317391"/>
      <w:r>
        <w:rPr>
          <w:rStyle w:val="CharDivNo"/>
        </w:rPr>
        <w:lastRenderedPageBreak/>
        <w:t>Division 14</w:t>
      </w:r>
      <w:r>
        <w:t> — </w:t>
      </w:r>
      <w:r>
        <w:rPr>
          <w:rStyle w:val="CharDivText"/>
        </w:rPr>
        <w:t>Omnibuses, illuminated signs, immobilisers, compliance plates</w:t>
      </w:r>
      <w:bookmarkEnd w:id="646"/>
      <w:bookmarkEnd w:id="647"/>
      <w:bookmarkEnd w:id="648"/>
    </w:p>
    <w:p>
      <w:pPr>
        <w:pStyle w:val="Heading5"/>
      </w:pPr>
      <w:bookmarkStart w:id="649" w:name="_Toc112317392"/>
      <w:r>
        <w:rPr>
          <w:rStyle w:val="CharSectno"/>
        </w:rPr>
        <w:t>380</w:t>
      </w:r>
      <w:r>
        <w:t>.</w:t>
      </w:r>
      <w:r>
        <w:tab/>
        <w:t>Passengers on omnibus with minimum 1.5 m interior height</w:t>
      </w:r>
      <w:bookmarkEnd w:id="649"/>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lastRenderedPageBreak/>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650" w:name="_Toc112317393"/>
      <w:r>
        <w:rPr>
          <w:rStyle w:val="CharSectno"/>
        </w:rPr>
        <w:t>381</w:t>
      </w:r>
      <w:r>
        <w:t>.</w:t>
      </w:r>
      <w:r>
        <w:tab/>
      </w:r>
      <w:r>
        <w:rPr>
          <w:snapToGrid w:val="0"/>
        </w:rPr>
        <w:t>Passengers on omnibus with less than 1.5 m interior height</w:t>
      </w:r>
      <w:bookmarkEnd w:id="650"/>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651" w:name="_Toc112317394"/>
      <w:r>
        <w:rPr>
          <w:rStyle w:val="CharSectno"/>
        </w:rPr>
        <w:t>382</w:t>
      </w:r>
      <w:r>
        <w:t>.</w:t>
      </w:r>
      <w:r>
        <w:tab/>
        <w:t>Display of number of passengers permitted on omnibuses</w:t>
      </w:r>
      <w:bookmarkEnd w:id="651"/>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652" w:name="_Toc112317395"/>
      <w:r>
        <w:rPr>
          <w:rStyle w:val="CharSectno"/>
        </w:rPr>
        <w:t>383</w:t>
      </w:r>
      <w:r>
        <w:t>.</w:t>
      </w:r>
      <w:r>
        <w:tab/>
        <w:t>Omnibus s</w:t>
      </w:r>
      <w:r>
        <w:rPr>
          <w:snapToGrid w:val="0"/>
        </w:rPr>
        <w:t>tanding positions and equipment</w:t>
      </w:r>
      <w:bookmarkEnd w:id="652"/>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lastRenderedPageBreak/>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653" w:name="_Toc112317396"/>
      <w:r>
        <w:rPr>
          <w:rStyle w:val="CharSectno"/>
        </w:rPr>
        <w:t>384</w:t>
      </w:r>
      <w:r>
        <w:t>.</w:t>
      </w:r>
      <w:r>
        <w:tab/>
        <w:t>Omnibus d</w:t>
      </w:r>
      <w:r>
        <w:rPr>
          <w:snapToGrid w:val="0"/>
        </w:rPr>
        <w:t>estination signs</w:t>
      </w:r>
      <w:bookmarkEnd w:id="653"/>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654" w:name="_Toc112317397"/>
      <w:r>
        <w:rPr>
          <w:rStyle w:val="CharSectno"/>
        </w:rPr>
        <w:t>385</w:t>
      </w:r>
      <w:r>
        <w:t>.</w:t>
      </w:r>
      <w:r>
        <w:tab/>
      </w:r>
      <w:r>
        <w:rPr>
          <w:snapToGrid w:val="0"/>
        </w:rPr>
        <w:t>School bus exterior colours and signs</w:t>
      </w:r>
      <w:bookmarkEnd w:id="654"/>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655" w:name="_Toc112317398"/>
      <w:r>
        <w:rPr>
          <w:rStyle w:val="CharSectno"/>
        </w:rPr>
        <w:lastRenderedPageBreak/>
        <w:t>386</w:t>
      </w:r>
      <w:r>
        <w:t>.</w:t>
      </w:r>
      <w:r>
        <w:tab/>
        <w:t>First aid kit on non</w:t>
      </w:r>
      <w:r>
        <w:noBreakHyphen/>
        <w:t>metropolitan omnibus</w:t>
      </w:r>
      <w:bookmarkEnd w:id="655"/>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656" w:name="_Toc112317399"/>
      <w:r>
        <w:rPr>
          <w:rStyle w:val="CharSectno"/>
        </w:rPr>
        <w:t>387</w:t>
      </w:r>
      <w:r>
        <w:t>.</w:t>
      </w:r>
      <w:r>
        <w:tab/>
      </w:r>
      <w:r>
        <w:rPr>
          <w:snapToGrid w:val="0"/>
        </w:rPr>
        <w:t>Fitting of illuminated signs to certain vehicles</w:t>
      </w:r>
      <w:bookmarkEnd w:id="656"/>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lastRenderedPageBreak/>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657" w:name="_Toc112317400"/>
      <w:r>
        <w:rPr>
          <w:rStyle w:val="CharSectno"/>
        </w:rPr>
        <w:t>388</w:t>
      </w:r>
      <w:r>
        <w:t>.</w:t>
      </w:r>
      <w:r>
        <w:tab/>
        <w:t>Required immobilisers for certain motor vehicles</w:t>
      </w:r>
      <w:bookmarkEnd w:id="657"/>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lastRenderedPageBreak/>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 xml:space="preserve">Tech (Pty) Ltd”, that </w:t>
      </w:r>
      <w:r>
        <w:lastRenderedPageBreak/>
        <w:t>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658" w:name="_Toc112317401"/>
      <w:r>
        <w:rPr>
          <w:rStyle w:val="CharSectno"/>
        </w:rPr>
        <w:t>389</w:t>
      </w:r>
      <w:r>
        <w:t>.</w:t>
      </w:r>
      <w:r>
        <w:tab/>
      </w:r>
      <w:r>
        <w:rPr>
          <w:snapToGrid w:val="0"/>
        </w:rPr>
        <w:t>Compliance plates</w:t>
      </w:r>
      <w:bookmarkEnd w:id="658"/>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Heading2"/>
      </w:pPr>
      <w:bookmarkStart w:id="659" w:name="_Toc112235802"/>
      <w:bookmarkStart w:id="660" w:name="_Toc112237584"/>
      <w:bookmarkStart w:id="661" w:name="_Toc112317402"/>
      <w:r>
        <w:rPr>
          <w:rStyle w:val="CharPartNo"/>
        </w:rPr>
        <w:lastRenderedPageBreak/>
        <w:t>Part 11</w:t>
      </w:r>
      <w:r>
        <w:t> — </w:t>
      </w:r>
      <w:r>
        <w:rPr>
          <w:rStyle w:val="CharPartText"/>
        </w:rPr>
        <w:t>Standards and requirements for animal drawn vehicles and bicycles</w:t>
      </w:r>
      <w:bookmarkEnd w:id="659"/>
      <w:bookmarkEnd w:id="660"/>
      <w:bookmarkEnd w:id="661"/>
    </w:p>
    <w:p>
      <w:pPr>
        <w:pStyle w:val="Heading3"/>
      </w:pPr>
      <w:bookmarkStart w:id="662" w:name="_Toc112235803"/>
      <w:bookmarkStart w:id="663" w:name="_Toc112237585"/>
      <w:bookmarkStart w:id="664" w:name="_Toc112317403"/>
      <w:r>
        <w:rPr>
          <w:rStyle w:val="CharDivNo"/>
        </w:rPr>
        <w:t>Division 1</w:t>
      </w:r>
      <w:r>
        <w:t> — </w:t>
      </w:r>
      <w:r>
        <w:rPr>
          <w:rStyle w:val="CharDivText"/>
        </w:rPr>
        <w:t>Animal drawn vehicles</w:t>
      </w:r>
      <w:bookmarkEnd w:id="662"/>
      <w:bookmarkEnd w:id="663"/>
      <w:bookmarkEnd w:id="664"/>
    </w:p>
    <w:p>
      <w:pPr>
        <w:pStyle w:val="Heading5"/>
      </w:pPr>
      <w:bookmarkStart w:id="665" w:name="_Toc112317404"/>
      <w:r>
        <w:rPr>
          <w:rStyle w:val="CharSectno"/>
        </w:rPr>
        <w:t>390</w:t>
      </w:r>
      <w:r>
        <w:t>.</w:t>
      </w:r>
      <w:r>
        <w:tab/>
        <w:t>Terms used</w:t>
      </w:r>
      <w:bookmarkEnd w:id="665"/>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666" w:name="_Toc112317405"/>
      <w:r>
        <w:rPr>
          <w:rStyle w:val="CharSectno"/>
        </w:rPr>
        <w:t>391</w:t>
      </w:r>
      <w:r>
        <w:t>.</w:t>
      </w:r>
      <w:r>
        <w:tab/>
        <w:t>Light visibility</w:t>
      </w:r>
      <w:bookmarkEnd w:id="666"/>
    </w:p>
    <w:p>
      <w:pPr>
        <w:pStyle w:val="Subsection"/>
      </w:pPr>
      <w:r>
        <w:tab/>
      </w:r>
      <w:r>
        <w:tab/>
        <w:t>A reference in this Division to the visibility or showing of a light is a reference to its capacity to be seen under normal atmospheric conditions at night.</w:t>
      </w:r>
    </w:p>
    <w:p>
      <w:pPr>
        <w:pStyle w:val="Heading5"/>
      </w:pPr>
      <w:bookmarkStart w:id="667" w:name="_Toc112317406"/>
      <w:r>
        <w:rPr>
          <w:rStyle w:val="CharSectno"/>
        </w:rPr>
        <w:t>392</w:t>
      </w:r>
      <w:r>
        <w:t>.</w:t>
      </w:r>
      <w:r>
        <w:tab/>
        <w:t>Compliance with standards and requirements</w:t>
      </w:r>
      <w:bookmarkEnd w:id="667"/>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668" w:name="_Toc112317407"/>
      <w:r>
        <w:rPr>
          <w:rStyle w:val="CharSectno"/>
        </w:rPr>
        <w:t>393</w:t>
      </w:r>
      <w:r>
        <w:t>.</w:t>
      </w:r>
      <w:r>
        <w:tab/>
      </w:r>
      <w:r>
        <w:rPr>
          <w:spacing w:val="-2"/>
        </w:rPr>
        <w:t>Front and rear lights</w:t>
      </w:r>
      <w:bookmarkEnd w:id="668"/>
    </w:p>
    <w:p>
      <w:pPr>
        <w:pStyle w:val="Subsection"/>
      </w:pPr>
      <w:r>
        <w:tab/>
        <w:t>(1)</w:t>
      </w:r>
      <w:r>
        <w:tab/>
        <w:t>A two</w:t>
      </w:r>
      <w:r>
        <w:noBreakHyphen/>
        <w:t xml:space="preserve">wheeled animal drawn vehicle at night must be equipped on opposite sides with 2 lamps capable of showing a bright </w:t>
      </w:r>
      <w:r>
        <w:lastRenderedPageBreak/>
        <w:t>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669" w:name="_Toc112317408"/>
      <w:r>
        <w:rPr>
          <w:rStyle w:val="CharSectno"/>
        </w:rPr>
        <w:t>394</w:t>
      </w:r>
      <w:r>
        <w:t>.</w:t>
      </w:r>
      <w:r>
        <w:tab/>
      </w:r>
      <w:r>
        <w:rPr>
          <w:spacing w:val="-2"/>
        </w:rPr>
        <w:t>Rear reflectors</w:t>
      </w:r>
      <w:bookmarkEnd w:id="669"/>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670" w:name="_Toc112317409"/>
      <w:r>
        <w:rPr>
          <w:rStyle w:val="CharSectno"/>
        </w:rPr>
        <w:lastRenderedPageBreak/>
        <w:t>395</w:t>
      </w:r>
      <w:r>
        <w:t>.</w:t>
      </w:r>
      <w:r>
        <w:tab/>
      </w:r>
      <w:r>
        <w:rPr>
          <w:spacing w:val="-2"/>
        </w:rPr>
        <w:t>Front clearance lamps</w:t>
      </w:r>
      <w:bookmarkEnd w:id="670"/>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671" w:name="_Toc112317410"/>
      <w:r>
        <w:rPr>
          <w:rStyle w:val="CharSectno"/>
        </w:rPr>
        <w:t>396</w:t>
      </w:r>
      <w:r>
        <w:t>.</w:t>
      </w:r>
      <w:r>
        <w:tab/>
      </w:r>
      <w:r>
        <w:rPr>
          <w:spacing w:val="-2"/>
        </w:rPr>
        <w:t>Rear clearance lamps or reflectors</w:t>
      </w:r>
      <w:bookmarkEnd w:id="671"/>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 xml:space="preserve">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w:t>
      </w:r>
      <w:r>
        <w:lastRenderedPageBreak/>
        <w:t>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672" w:name="_Toc112317411"/>
      <w:r>
        <w:rPr>
          <w:rStyle w:val="CharSectno"/>
        </w:rPr>
        <w:t>397</w:t>
      </w:r>
      <w:r>
        <w:t>.</w:t>
      </w:r>
      <w:r>
        <w:tab/>
      </w:r>
      <w:r>
        <w:rPr>
          <w:spacing w:val="-2"/>
        </w:rPr>
        <w:t>Requirements in regard to reflectors</w:t>
      </w:r>
      <w:bookmarkEnd w:id="672"/>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673" w:name="_Toc112317412"/>
      <w:r>
        <w:rPr>
          <w:rStyle w:val="CharSectno"/>
        </w:rPr>
        <w:t>398</w:t>
      </w:r>
      <w:r>
        <w:t>.</w:t>
      </w:r>
      <w:r>
        <w:tab/>
      </w:r>
      <w:r>
        <w:rPr>
          <w:spacing w:val="-2"/>
        </w:rPr>
        <w:t>Light on projecting load</w:t>
      </w:r>
      <w:bookmarkEnd w:id="673"/>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674" w:name="_Toc112317413"/>
      <w:r>
        <w:rPr>
          <w:rStyle w:val="CharSectno"/>
        </w:rPr>
        <w:lastRenderedPageBreak/>
        <w:t>399</w:t>
      </w:r>
      <w:r>
        <w:t>.</w:t>
      </w:r>
      <w:r>
        <w:tab/>
        <w:t>Dimension requirements for animal drawn vehicles and their loads</w:t>
      </w:r>
      <w:bookmarkEnd w:id="674"/>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675" w:name="_Toc112317414"/>
      <w:r>
        <w:rPr>
          <w:rStyle w:val="CharSectno"/>
        </w:rPr>
        <w:t>400</w:t>
      </w:r>
      <w:r>
        <w:t>.</w:t>
      </w:r>
      <w:r>
        <w:tab/>
      </w:r>
      <w:r>
        <w:rPr>
          <w:spacing w:val="-2"/>
        </w:rPr>
        <w:t>Brakes</w:t>
      </w:r>
      <w:bookmarkEnd w:id="675"/>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676" w:name="_Toc112235815"/>
      <w:bookmarkStart w:id="677" w:name="_Toc112237597"/>
      <w:bookmarkStart w:id="678" w:name="_Toc112317415"/>
      <w:r>
        <w:rPr>
          <w:rStyle w:val="CharDivNo"/>
        </w:rPr>
        <w:lastRenderedPageBreak/>
        <w:t>Division 2</w:t>
      </w:r>
      <w:r>
        <w:t> — </w:t>
      </w:r>
      <w:r>
        <w:rPr>
          <w:rStyle w:val="CharDivText"/>
        </w:rPr>
        <w:t>Bicycles</w:t>
      </w:r>
      <w:bookmarkEnd w:id="676"/>
      <w:bookmarkEnd w:id="677"/>
      <w:bookmarkEnd w:id="678"/>
    </w:p>
    <w:p>
      <w:pPr>
        <w:pStyle w:val="Heading5"/>
        <w:rPr>
          <w:spacing w:val="-2"/>
        </w:rPr>
      </w:pPr>
      <w:bookmarkStart w:id="679" w:name="_Toc112317416"/>
      <w:r>
        <w:rPr>
          <w:rStyle w:val="CharSectno"/>
        </w:rPr>
        <w:t>401</w:t>
      </w:r>
      <w:r>
        <w:t>.</w:t>
      </w:r>
      <w:r>
        <w:tab/>
        <w:t>Compliance with standards and requirements</w:t>
      </w:r>
      <w:bookmarkEnd w:id="679"/>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680" w:name="_Toc112317417"/>
      <w:r>
        <w:rPr>
          <w:rStyle w:val="CharSectno"/>
        </w:rPr>
        <w:t>402</w:t>
      </w:r>
      <w:r>
        <w:t>.</w:t>
      </w:r>
      <w:r>
        <w:tab/>
      </w:r>
      <w:r>
        <w:rPr>
          <w:spacing w:val="-2"/>
        </w:rPr>
        <w:t>Brakes</w:t>
      </w:r>
      <w:bookmarkEnd w:id="680"/>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681" w:name="_Toc112317418"/>
      <w:r>
        <w:rPr>
          <w:rStyle w:val="CharSectno"/>
        </w:rPr>
        <w:t>403</w:t>
      </w:r>
      <w:r>
        <w:t>.</w:t>
      </w:r>
      <w:r>
        <w:tab/>
      </w:r>
      <w:r>
        <w:rPr>
          <w:spacing w:val="-2"/>
        </w:rPr>
        <w:t>Bell</w:t>
      </w:r>
      <w:bookmarkEnd w:id="681"/>
    </w:p>
    <w:p>
      <w:pPr>
        <w:pStyle w:val="Subsection"/>
      </w:pPr>
      <w:r>
        <w:tab/>
      </w:r>
      <w:r>
        <w:tab/>
        <w:t>A bicycle must have a bell or other effective warning device fixed in a convenient position.</w:t>
      </w:r>
    </w:p>
    <w:p>
      <w:pPr>
        <w:pStyle w:val="Heading5"/>
        <w:rPr>
          <w:spacing w:val="-2"/>
        </w:rPr>
      </w:pPr>
      <w:bookmarkStart w:id="682" w:name="_Toc112317419"/>
      <w:r>
        <w:rPr>
          <w:rStyle w:val="CharSectno"/>
        </w:rPr>
        <w:t>404</w:t>
      </w:r>
      <w:r>
        <w:t>.</w:t>
      </w:r>
      <w:r>
        <w:tab/>
      </w:r>
      <w:r>
        <w:rPr>
          <w:spacing w:val="-2"/>
        </w:rPr>
        <w:t>Handlebar</w:t>
      </w:r>
      <w:bookmarkEnd w:id="682"/>
    </w:p>
    <w:p>
      <w:pPr>
        <w:pStyle w:val="Subsection"/>
      </w:pPr>
      <w:r>
        <w:tab/>
      </w:r>
      <w:r>
        <w:tab/>
        <w:t>The handlebar of a bicycle must extend not less than 180 mm nor more than 400 mm on each side of the centre of the bicycle and the height of the uppermost point of the handlebar must not exceed the height of the uppermost part of the seat by more than 300 mm.</w:t>
      </w:r>
    </w:p>
    <w:p>
      <w:pPr>
        <w:pStyle w:val="Footnotesection"/>
      </w:pPr>
      <w:r>
        <w:tab/>
        <w:t>[Regulation 404 amended: SL 2022/130 r. 4.]</w:t>
      </w:r>
    </w:p>
    <w:p>
      <w:pPr>
        <w:pStyle w:val="Heading5"/>
        <w:rPr>
          <w:spacing w:val="-2"/>
        </w:rPr>
      </w:pPr>
      <w:bookmarkStart w:id="683" w:name="_Toc112317420"/>
      <w:r>
        <w:rPr>
          <w:rStyle w:val="CharSectno"/>
        </w:rPr>
        <w:lastRenderedPageBreak/>
        <w:t>405</w:t>
      </w:r>
      <w:r>
        <w:t>.</w:t>
      </w:r>
      <w:r>
        <w:tab/>
      </w:r>
      <w:r>
        <w:rPr>
          <w:spacing w:val="-2"/>
        </w:rPr>
        <w:t>Rake and angle of front forks</w:t>
      </w:r>
      <w:bookmarkEnd w:id="683"/>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684" w:name="_Toc112317421"/>
      <w:r>
        <w:rPr>
          <w:rStyle w:val="CharSectno"/>
        </w:rPr>
        <w:t>406</w:t>
      </w:r>
      <w:r>
        <w:t>.</w:t>
      </w:r>
      <w:r>
        <w:tab/>
        <w:t>Dimension requirements for bicycles and their loads</w:t>
      </w:r>
      <w:bookmarkEnd w:id="684"/>
    </w:p>
    <w:p>
      <w:pPr>
        <w:pStyle w:val="Subsection"/>
      </w:pPr>
      <w:r>
        <w:tab/>
      </w:r>
      <w:r>
        <w:tab/>
        <w:t>The overall width of any equipment or load carried on a bicycle must not exceed 800 mm.</w:t>
      </w:r>
    </w:p>
    <w:p>
      <w:pPr>
        <w:pStyle w:val="Footnotesection"/>
      </w:pPr>
      <w:r>
        <w:tab/>
        <w:t>[Regulation 406 amended: SL 2022/130 r. 5.]</w:t>
      </w:r>
    </w:p>
    <w:p>
      <w:pPr>
        <w:pStyle w:val="Heading5"/>
        <w:rPr>
          <w:spacing w:val="-2"/>
        </w:rPr>
      </w:pPr>
      <w:bookmarkStart w:id="685" w:name="_Toc112317422"/>
      <w:r>
        <w:rPr>
          <w:rStyle w:val="CharSectno"/>
        </w:rPr>
        <w:t>407</w:t>
      </w:r>
      <w:r>
        <w:t>.</w:t>
      </w:r>
      <w:r>
        <w:tab/>
      </w:r>
      <w:r>
        <w:rPr>
          <w:spacing w:val="-2"/>
        </w:rPr>
        <w:t>Child</w:t>
      </w:r>
      <w:r>
        <w:rPr>
          <w:spacing w:val="-2"/>
        </w:rPr>
        <w:noBreakHyphen/>
        <w:t>carrying seats</w:t>
      </w:r>
      <w:bookmarkEnd w:id="685"/>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686" w:name="_Toc112235823"/>
      <w:bookmarkStart w:id="687" w:name="_Toc112237605"/>
      <w:bookmarkStart w:id="688" w:name="_Toc112317423"/>
      <w:r>
        <w:rPr>
          <w:rStyle w:val="CharPartNo"/>
        </w:rPr>
        <w:lastRenderedPageBreak/>
        <w:t>Part 12</w:t>
      </w:r>
      <w:r>
        <w:t> — </w:t>
      </w:r>
      <w:r>
        <w:rPr>
          <w:rStyle w:val="CharPartText"/>
        </w:rPr>
        <w:t>Tow trucks and towed vehicles</w:t>
      </w:r>
      <w:bookmarkEnd w:id="686"/>
      <w:bookmarkEnd w:id="687"/>
      <w:bookmarkEnd w:id="688"/>
    </w:p>
    <w:p>
      <w:pPr>
        <w:pStyle w:val="Heading3"/>
      </w:pPr>
      <w:bookmarkStart w:id="689" w:name="_Toc112235824"/>
      <w:bookmarkStart w:id="690" w:name="_Toc112237606"/>
      <w:bookmarkStart w:id="691" w:name="_Toc112317424"/>
      <w:r>
        <w:rPr>
          <w:rStyle w:val="CharDivNo"/>
        </w:rPr>
        <w:t>Division 1</w:t>
      </w:r>
      <w:r>
        <w:t> — </w:t>
      </w:r>
      <w:r>
        <w:rPr>
          <w:rStyle w:val="CharDivText"/>
        </w:rPr>
        <w:t>Standards and requirements in respect of tow trucks</w:t>
      </w:r>
      <w:bookmarkEnd w:id="689"/>
      <w:bookmarkEnd w:id="690"/>
      <w:bookmarkEnd w:id="691"/>
    </w:p>
    <w:p>
      <w:pPr>
        <w:pStyle w:val="Heading5"/>
        <w:rPr>
          <w:rStyle w:val="DraftersNotes"/>
          <w:b/>
          <w:bCs/>
          <w:iCs/>
        </w:rPr>
      </w:pPr>
      <w:bookmarkStart w:id="692" w:name="_Toc112317425"/>
      <w:r>
        <w:rPr>
          <w:rStyle w:val="CharSectno"/>
        </w:rPr>
        <w:t>408</w:t>
      </w:r>
      <w:r>
        <w:t>.</w:t>
      </w:r>
      <w:r>
        <w:tab/>
        <w:t>Compliance with standards and requirements</w:t>
      </w:r>
      <w:bookmarkEnd w:id="692"/>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693" w:name="_Toc112317426"/>
      <w:r>
        <w:rPr>
          <w:rStyle w:val="CharSectno"/>
        </w:rPr>
        <w:t>409</w:t>
      </w:r>
      <w:r>
        <w:t>.</w:t>
      </w:r>
      <w:r>
        <w:tab/>
      </w:r>
      <w:r>
        <w:rPr>
          <w:snapToGrid w:val="0"/>
        </w:rPr>
        <w:t>General equipment</w:t>
      </w:r>
      <w:bookmarkEnd w:id="693"/>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lastRenderedPageBreak/>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694" w:name="_Toc112317427"/>
      <w:r>
        <w:rPr>
          <w:rStyle w:val="CharSectno"/>
        </w:rPr>
        <w:t>410</w:t>
      </w:r>
      <w:r>
        <w:t>.</w:t>
      </w:r>
      <w:r>
        <w:tab/>
      </w:r>
      <w:r>
        <w:rPr>
          <w:snapToGrid w:val="0"/>
        </w:rPr>
        <w:t>Lights and warning devices</w:t>
      </w:r>
      <w:bookmarkEnd w:id="694"/>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lastRenderedPageBreak/>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695" w:name="_Toc112317428"/>
      <w:r>
        <w:rPr>
          <w:rStyle w:val="CharSectno"/>
        </w:rPr>
        <w:t>411</w:t>
      </w:r>
      <w:r>
        <w:t>.</w:t>
      </w:r>
      <w:r>
        <w:tab/>
        <w:t>Dimension requirements for tow trucks and their loads</w:t>
      </w:r>
      <w:bookmarkEnd w:id="695"/>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696" w:name="_Toc112317429"/>
      <w:r>
        <w:rPr>
          <w:rStyle w:val="CharSectno"/>
        </w:rPr>
        <w:t>412</w:t>
      </w:r>
      <w:r>
        <w:t>.</w:t>
      </w:r>
      <w:r>
        <w:tab/>
      </w:r>
      <w:r>
        <w:rPr>
          <w:snapToGrid w:val="0"/>
        </w:rPr>
        <w:t>Cranes</w:t>
      </w:r>
      <w:bookmarkEnd w:id="696"/>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697" w:name="_Toc112317430"/>
      <w:r>
        <w:rPr>
          <w:rStyle w:val="CharSectno"/>
        </w:rPr>
        <w:lastRenderedPageBreak/>
        <w:t>413</w:t>
      </w:r>
      <w:r>
        <w:t>.</w:t>
      </w:r>
      <w:r>
        <w:tab/>
      </w:r>
      <w:r>
        <w:rPr>
          <w:snapToGrid w:val="0"/>
        </w:rPr>
        <w:t>Crane operators</w:t>
      </w:r>
      <w:bookmarkEnd w:id="697"/>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Work Health and Safety (General) Regulations 2022</w:t>
      </w:r>
      <w:r>
        <w:rPr>
          <w:snapToGrid w:val="0"/>
        </w:rPr>
        <w:t xml:space="preserve"> to hold a high risk work licence as defined in regulation 5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413 amended: SL 2022/23 r. 6.]</w:t>
      </w:r>
    </w:p>
    <w:p>
      <w:pPr>
        <w:pStyle w:val="Heading5"/>
        <w:rPr>
          <w:b w:val="0"/>
        </w:rPr>
      </w:pPr>
      <w:bookmarkStart w:id="698" w:name="_Toc112317431"/>
      <w:r>
        <w:rPr>
          <w:rStyle w:val="CharSectno"/>
        </w:rPr>
        <w:t>414</w:t>
      </w:r>
      <w:r>
        <w:t>.</w:t>
      </w:r>
      <w:r>
        <w:tab/>
      </w:r>
      <w:r>
        <w:rPr>
          <w:snapToGrid w:val="0"/>
        </w:rPr>
        <w:t>Classification and limitation</w:t>
      </w:r>
      <w:bookmarkEnd w:id="698"/>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keepNext/>
        <w:tabs>
          <w:tab w:val="left" w:pos="910"/>
        </w:tabs>
        <w:ind w:left="924" w:hanging="924"/>
      </w:pPr>
      <w:r>
        <w:lastRenderedPageBreak/>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699" w:name="_Toc112317432"/>
      <w:r>
        <w:rPr>
          <w:rStyle w:val="CharSectno"/>
        </w:rPr>
        <w:t>415</w:t>
      </w:r>
      <w:r>
        <w:t>.</w:t>
      </w:r>
      <w:r>
        <w:tab/>
      </w:r>
      <w:r>
        <w:rPr>
          <w:snapToGrid w:val="0"/>
        </w:rPr>
        <w:t>Lifting requirements</w:t>
      </w:r>
      <w:bookmarkEnd w:id="699"/>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 xml:space="preserve">Despite subregulation (4), a tow truck must not be used to lift and carry a vehicle which is so damaged that it cannot be safely </w:t>
      </w:r>
      <w:r>
        <w:rPr>
          <w:snapToGrid w:val="0"/>
        </w:rPr>
        <w:lastRenderedPageBreak/>
        <w:t>towed on any 2 wheels of a single axle unless that tow truck has been approved by the CEO for the purpose.</w:t>
      </w:r>
    </w:p>
    <w:p>
      <w:pPr>
        <w:pStyle w:val="Heading5"/>
        <w:rPr>
          <w:b w:val="0"/>
        </w:rPr>
      </w:pPr>
      <w:bookmarkStart w:id="700" w:name="_Toc112317433"/>
      <w:r>
        <w:rPr>
          <w:rStyle w:val="CharSectno"/>
        </w:rPr>
        <w:t>416</w:t>
      </w:r>
      <w:r>
        <w:t>.</w:t>
      </w:r>
      <w:r>
        <w:tab/>
      </w:r>
      <w:r>
        <w:rPr>
          <w:snapToGrid w:val="0"/>
        </w:rPr>
        <w:t>Tow truck brakes</w:t>
      </w:r>
      <w:bookmarkEnd w:id="700"/>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701" w:name="_Toc112317434"/>
      <w:r>
        <w:rPr>
          <w:rStyle w:val="CharSectno"/>
        </w:rPr>
        <w:t>417</w:t>
      </w:r>
      <w:r>
        <w:t>.</w:t>
      </w:r>
      <w:r>
        <w:tab/>
        <w:t>B</w:t>
      </w:r>
      <w:r>
        <w:rPr>
          <w:snapToGrid w:val="0"/>
        </w:rPr>
        <w:t>rakes of towed vehicle</w:t>
      </w:r>
      <w:bookmarkEnd w:id="701"/>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702" w:name="_Toc112235835"/>
      <w:bookmarkStart w:id="703" w:name="_Toc112237617"/>
      <w:bookmarkStart w:id="704" w:name="_Toc112317435"/>
      <w:r>
        <w:rPr>
          <w:rStyle w:val="CharDivNo"/>
        </w:rPr>
        <w:lastRenderedPageBreak/>
        <w:t>Division 2</w:t>
      </w:r>
      <w:r>
        <w:t> — </w:t>
      </w:r>
      <w:r>
        <w:rPr>
          <w:rStyle w:val="CharDivText"/>
        </w:rPr>
        <w:t>Authority to tow</w:t>
      </w:r>
      <w:bookmarkEnd w:id="702"/>
      <w:bookmarkEnd w:id="703"/>
      <w:bookmarkEnd w:id="704"/>
    </w:p>
    <w:p>
      <w:pPr>
        <w:pStyle w:val="Heading5"/>
        <w:rPr>
          <w:b w:val="0"/>
        </w:rPr>
      </w:pPr>
      <w:bookmarkStart w:id="705" w:name="_Toc112317436"/>
      <w:r>
        <w:rPr>
          <w:rStyle w:val="CharSectno"/>
        </w:rPr>
        <w:t>418</w:t>
      </w:r>
      <w:r>
        <w:t>.</w:t>
      </w:r>
      <w:r>
        <w:tab/>
        <w:t>T</w:t>
      </w:r>
      <w:r>
        <w:rPr>
          <w:snapToGrid w:val="0"/>
        </w:rPr>
        <w:t>owing articulated vehicles</w:t>
      </w:r>
      <w:bookmarkEnd w:id="705"/>
    </w:p>
    <w:p>
      <w:pPr>
        <w:pStyle w:val="Subsection"/>
        <w:keepNext/>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lastRenderedPageBreak/>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706" w:name="_Toc112317437"/>
      <w:r>
        <w:rPr>
          <w:rStyle w:val="CharSectno"/>
        </w:rPr>
        <w:t>419</w:t>
      </w:r>
      <w:r>
        <w:t>.</w:t>
      </w:r>
      <w:r>
        <w:tab/>
        <w:t>Tow truck driver’s statement</w:t>
      </w:r>
      <w:bookmarkEnd w:id="706"/>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lastRenderedPageBreak/>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lastRenderedPageBreak/>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707" w:name="_Toc112317438"/>
      <w:r>
        <w:rPr>
          <w:rStyle w:val="CharSectno"/>
        </w:rPr>
        <w:t>420</w:t>
      </w:r>
      <w:r>
        <w:t>.</w:t>
      </w:r>
      <w:r>
        <w:tab/>
        <w:t>Commissioner of Main Roads may authorise tow</w:t>
      </w:r>
      <w:bookmarkEnd w:id="707"/>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 xml:space="preserve">The driver of a tow truck, who is required to complete a statement under subregulation (3), must deliver the original of </w:t>
      </w:r>
      <w:r>
        <w:lastRenderedPageBreak/>
        <w:t>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708" w:name="_Toc112317439"/>
      <w:r>
        <w:rPr>
          <w:rStyle w:val="CharSectno"/>
        </w:rPr>
        <w:t>421</w:t>
      </w:r>
      <w:r>
        <w:t>.</w:t>
      </w:r>
      <w:r>
        <w:tab/>
      </w:r>
      <w:r>
        <w:rPr>
          <w:snapToGrid w:val="0"/>
        </w:rPr>
        <w:t>Extent of authority to tow or salvage</w:t>
      </w:r>
      <w:bookmarkEnd w:id="708"/>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709" w:name="_Toc112317440"/>
      <w:r>
        <w:rPr>
          <w:rStyle w:val="CharSectno"/>
        </w:rPr>
        <w:t>422</w:t>
      </w:r>
      <w:r>
        <w:t>.</w:t>
      </w:r>
      <w:r>
        <w:tab/>
      </w:r>
      <w:r>
        <w:rPr>
          <w:snapToGrid w:val="0"/>
        </w:rPr>
        <w:t>Offences about towing</w:t>
      </w:r>
      <w:bookmarkEnd w:id="709"/>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 xml:space="preserve">intimidate by threat or force the driver of a tow truck from lifting, salvaging, carrying or towing a vehicle if </w:t>
      </w:r>
      <w:r>
        <w:rPr>
          <w:snapToGrid w:val="0"/>
        </w:rPr>
        <w:lastRenderedPageBreak/>
        <w:t>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w:t>
      </w:r>
    </w:p>
    <w:p>
      <w:pPr>
        <w:pStyle w:val="Heading2"/>
      </w:pPr>
      <w:bookmarkStart w:id="710" w:name="_Toc112235841"/>
      <w:bookmarkStart w:id="711" w:name="_Toc112237623"/>
      <w:bookmarkStart w:id="712" w:name="_Toc112317441"/>
      <w:r>
        <w:rPr>
          <w:rStyle w:val="CharPartNo"/>
        </w:rPr>
        <w:lastRenderedPageBreak/>
        <w:t>Part 13</w:t>
      </w:r>
      <w:r>
        <w:t> — </w:t>
      </w:r>
      <w:r>
        <w:rPr>
          <w:rStyle w:val="CharPartText"/>
        </w:rPr>
        <w:t>Towed agricultural implements</w:t>
      </w:r>
      <w:bookmarkEnd w:id="710"/>
      <w:bookmarkEnd w:id="711"/>
      <w:bookmarkEnd w:id="712"/>
    </w:p>
    <w:p>
      <w:pPr>
        <w:pStyle w:val="Heading3"/>
      </w:pPr>
      <w:bookmarkStart w:id="713" w:name="_Toc112235842"/>
      <w:bookmarkStart w:id="714" w:name="_Toc112237624"/>
      <w:bookmarkStart w:id="715" w:name="_Toc112317442"/>
      <w:r>
        <w:rPr>
          <w:rStyle w:val="CharDivNo"/>
        </w:rPr>
        <w:t>Division 1</w:t>
      </w:r>
      <w:r>
        <w:t> — </w:t>
      </w:r>
      <w:r>
        <w:rPr>
          <w:rStyle w:val="CharDivText"/>
        </w:rPr>
        <w:t>Preliminary</w:t>
      </w:r>
      <w:bookmarkEnd w:id="713"/>
      <w:bookmarkEnd w:id="714"/>
      <w:bookmarkEnd w:id="715"/>
    </w:p>
    <w:p>
      <w:pPr>
        <w:pStyle w:val="Heading5"/>
        <w:spacing w:before="180"/>
        <w:rPr>
          <w:snapToGrid w:val="0"/>
        </w:rPr>
      </w:pPr>
      <w:bookmarkStart w:id="716" w:name="_Toc112317443"/>
      <w:r>
        <w:rPr>
          <w:rStyle w:val="CharSectno"/>
        </w:rPr>
        <w:t>423</w:t>
      </w:r>
      <w:r>
        <w:t>.</w:t>
      </w:r>
      <w:r>
        <w:tab/>
      </w:r>
      <w:r>
        <w:rPr>
          <w:snapToGrid w:val="0"/>
        </w:rPr>
        <w:t>Terms used</w:t>
      </w:r>
      <w:bookmarkEnd w:id="716"/>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717" w:name="_Toc112317444"/>
      <w:r>
        <w:rPr>
          <w:rStyle w:val="CharSectno"/>
        </w:rPr>
        <w:t>424</w:t>
      </w:r>
      <w:r>
        <w:t>.</w:t>
      </w:r>
      <w:r>
        <w:tab/>
        <w:t>Compliance with standards and requirements</w:t>
      </w:r>
      <w:bookmarkEnd w:id="717"/>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718" w:name="_Toc112317445"/>
      <w:r>
        <w:rPr>
          <w:rStyle w:val="CharSectno"/>
        </w:rPr>
        <w:lastRenderedPageBreak/>
        <w:t>425</w:t>
      </w:r>
      <w:r>
        <w:t>.</w:t>
      </w:r>
      <w:r>
        <w:tab/>
        <w:t>Gate to gate towing</w:t>
      </w:r>
      <w:bookmarkEnd w:id="718"/>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719" w:name="_Toc112235846"/>
      <w:bookmarkStart w:id="720" w:name="_Toc112237628"/>
      <w:bookmarkStart w:id="721" w:name="_Toc112317446"/>
      <w:r>
        <w:rPr>
          <w:rStyle w:val="CharDivNo"/>
        </w:rPr>
        <w:lastRenderedPageBreak/>
        <w:t>Division 2</w:t>
      </w:r>
      <w:r>
        <w:t> — </w:t>
      </w:r>
      <w:r>
        <w:rPr>
          <w:rStyle w:val="CharDivText"/>
        </w:rPr>
        <w:t>Standards and requirements in respect of towing and towed agricultural implements</w:t>
      </w:r>
      <w:bookmarkEnd w:id="719"/>
      <w:bookmarkEnd w:id="720"/>
      <w:bookmarkEnd w:id="721"/>
    </w:p>
    <w:p>
      <w:pPr>
        <w:pStyle w:val="Heading5"/>
      </w:pPr>
      <w:bookmarkStart w:id="722" w:name="_Toc112317447"/>
      <w:r>
        <w:rPr>
          <w:rStyle w:val="CharSectno"/>
        </w:rPr>
        <w:t>426</w:t>
      </w:r>
      <w:r>
        <w:t>.</w:t>
      </w:r>
      <w:r>
        <w:tab/>
      </w:r>
      <w:r>
        <w:rPr>
          <w:snapToGrid w:val="0"/>
        </w:rPr>
        <w:t>Lighting equipment generally</w:t>
      </w:r>
      <w:bookmarkEnd w:id="722"/>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723" w:name="_Toc112317448"/>
      <w:r>
        <w:rPr>
          <w:rStyle w:val="CharSectno"/>
        </w:rPr>
        <w:t>427</w:t>
      </w:r>
      <w:r>
        <w:t>.</w:t>
      </w:r>
      <w:r>
        <w:tab/>
      </w:r>
      <w:r>
        <w:rPr>
          <w:snapToGrid w:val="0"/>
        </w:rPr>
        <w:t>Positioning of lights and reflectors</w:t>
      </w:r>
      <w:bookmarkEnd w:id="723"/>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lastRenderedPageBreak/>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724" w:name="_Toc112317449"/>
      <w:r>
        <w:rPr>
          <w:rStyle w:val="CharSectno"/>
        </w:rPr>
        <w:t>428</w:t>
      </w:r>
      <w:r>
        <w:t>.</w:t>
      </w:r>
      <w:r>
        <w:tab/>
      </w:r>
      <w:r>
        <w:rPr>
          <w:snapToGrid w:val="0"/>
        </w:rPr>
        <w:t>Stop lights</w:t>
      </w:r>
      <w:bookmarkEnd w:id="724"/>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725" w:name="_Toc112317450"/>
      <w:r>
        <w:rPr>
          <w:rStyle w:val="CharSectno"/>
        </w:rPr>
        <w:t>429</w:t>
      </w:r>
      <w:r>
        <w:t>.</w:t>
      </w:r>
      <w:r>
        <w:tab/>
      </w:r>
      <w:r>
        <w:rPr>
          <w:snapToGrid w:val="0"/>
        </w:rPr>
        <w:t>Reflectors</w:t>
      </w:r>
      <w:bookmarkEnd w:id="725"/>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w:t>
      </w:r>
      <w:r>
        <w:rPr>
          <w:snapToGrid w:val="0"/>
        </w:rPr>
        <w:lastRenderedPageBreak/>
        <w:t xml:space="preserve">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726" w:name="_Toc112317451"/>
      <w:r>
        <w:rPr>
          <w:rStyle w:val="CharSectno"/>
        </w:rPr>
        <w:t>430</w:t>
      </w:r>
      <w:r>
        <w:t>.</w:t>
      </w:r>
      <w:r>
        <w:tab/>
      </w:r>
      <w:r>
        <w:rPr>
          <w:snapToGrid w:val="0"/>
        </w:rPr>
        <w:t xml:space="preserve">Rear </w:t>
      </w:r>
      <w:r>
        <w:t>lights</w:t>
      </w:r>
      <w:bookmarkEnd w:id="726"/>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727" w:name="_Toc112317452"/>
      <w:r>
        <w:rPr>
          <w:rStyle w:val="CharSectno"/>
        </w:rPr>
        <w:lastRenderedPageBreak/>
        <w:t>431</w:t>
      </w:r>
      <w:r>
        <w:t>.</w:t>
      </w:r>
      <w:r>
        <w:tab/>
      </w:r>
      <w:r>
        <w:rPr>
          <w:snapToGrid w:val="0"/>
        </w:rPr>
        <w:t xml:space="preserve">Signalling </w:t>
      </w:r>
      <w:r>
        <w:t>lights</w:t>
      </w:r>
      <w:bookmarkEnd w:id="727"/>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728" w:name="_Toc112317453"/>
      <w:r>
        <w:rPr>
          <w:rStyle w:val="CharSectno"/>
        </w:rPr>
        <w:t>432</w:t>
      </w:r>
      <w:r>
        <w:t>.</w:t>
      </w:r>
      <w:r>
        <w:tab/>
      </w:r>
      <w:r>
        <w:rPr>
          <w:snapToGrid w:val="0"/>
        </w:rPr>
        <w:t>Clearance lights</w:t>
      </w:r>
      <w:bookmarkEnd w:id="72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729" w:name="_Toc112317454"/>
      <w:r>
        <w:rPr>
          <w:rStyle w:val="CharSectno"/>
        </w:rPr>
        <w:lastRenderedPageBreak/>
        <w:t>433</w:t>
      </w:r>
      <w:r>
        <w:t>.</w:t>
      </w:r>
      <w:r>
        <w:tab/>
        <w:t>Flashing amber light</w:t>
      </w:r>
      <w:bookmarkEnd w:id="729"/>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730" w:name="_Toc112317455"/>
      <w:r>
        <w:rPr>
          <w:rStyle w:val="CharSectno"/>
        </w:rPr>
        <w:t>434</w:t>
      </w:r>
      <w:r>
        <w:t>.</w:t>
      </w:r>
      <w:r>
        <w:tab/>
      </w:r>
      <w:r>
        <w:rPr>
          <w:snapToGrid w:val="0"/>
        </w:rPr>
        <w:t>Safety of components and attachments</w:t>
      </w:r>
      <w:bookmarkEnd w:id="730"/>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731" w:name="_Toc112317456"/>
      <w:r>
        <w:rPr>
          <w:rStyle w:val="CharSectno"/>
        </w:rPr>
        <w:lastRenderedPageBreak/>
        <w:t>435</w:t>
      </w:r>
      <w:r>
        <w:t>.</w:t>
      </w:r>
      <w:r>
        <w:tab/>
      </w:r>
      <w:r>
        <w:rPr>
          <w:snapToGrid w:val="0"/>
        </w:rPr>
        <w:t>Safety chains</w:t>
      </w:r>
      <w:bookmarkEnd w:id="731"/>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 xml:space="preserve">be fitted in a crossed over position so as to prevent the forward end of the drawbar of the towed vehicle from </w:t>
      </w:r>
      <w:r>
        <w:rPr>
          <w:snapToGrid w:val="0"/>
        </w:rPr>
        <w:lastRenderedPageBreak/>
        <w:t>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732" w:name="_Toc112317457"/>
      <w:r>
        <w:rPr>
          <w:rStyle w:val="CharSectno"/>
        </w:rPr>
        <w:t>436</w:t>
      </w:r>
      <w:r>
        <w:t>.</w:t>
      </w:r>
      <w:r>
        <w:tab/>
      </w:r>
      <w:r>
        <w:rPr>
          <w:snapToGrid w:val="0"/>
        </w:rPr>
        <w:t>Portable warning signs</w:t>
      </w:r>
      <w:bookmarkEnd w:id="732"/>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733" w:name="_Toc112317458"/>
      <w:r>
        <w:rPr>
          <w:rStyle w:val="CharSectno"/>
        </w:rPr>
        <w:t>437</w:t>
      </w:r>
      <w:r>
        <w:t>.</w:t>
      </w:r>
      <w:r>
        <w:tab/>
      </w:r>
      <w:r>
        <w:rPr>
          <w:snapToGrid w:val="0"/>
        </w:rPr>
        <w:t>Towed mass ratios</w:t>
      </w:r>
      <w:bookmarkEnd w:id="733"/>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734" w:name="_Toc112317459"/>
      <w:r>
        <w:rPr>
          <w:rStyle w:val="CharSectno"/>
        </w:rPr>
        <w:t>438</w:t>
      </w:r>
      <w:r>
        <w:t>.</w:t>
      </w:r>
      <w:r>
        <w:tab/>
        <w:t>Lighting for night t</w:t>
      </w:r>
      <w:r>
        <w:rPr>
          <w:snapToGrid w:val="0"/>
        </w:rPr>
        <w:t>owing</w:t>
      </w:r>
      <w:bookmarkEnd w:id="734"/>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735" w:name="_Toc112317460"/>
      <w:r>
        <w:rPr>
          <w:rStyle w:val="CharSectno"/>
        </w:rPr>
        <w:lastRenderedPageBreak/>
        <w:t>439</w:t>
      </w:r>
      <w:r>
        <w:t>.</w:t>
      </w:r>
      <w:r>
        <w:tab/>
      </w:r>
      <w:r>
        <w:rPr>
          <w:snapToGrid w:val="0"/>
        </w:rPr>
        <w:t>Brakes</w:t>
      </w:r>
      <w:bookmarkEnd w:id="735"/>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736" w:name="_Toc112317461"/>
      <w:r>
        <w:rPr>
          <w:rStyle w:val="CharSectno"/>
        </w:rPr>
        <w:t>440</w:t>
      </w:r>
      <w:r>
        <w:t>.</w:t>
      </w:r>
      <w:r>
        <w:tab/>
        <w:t>Headlights</w:t>
      </w:r>
      <w:bookmarkEnd w:id="736"/>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737" w:name="_Toc112317462"/>
      <w:r>
        <w:rPr>
          <w:rStyle w:val="CharSectno"/>
        </w:rPr>
        <w:t>441</w:t>
      </w:r>
      <w:r>
        <w:t>.</w:t>
      </w:r>
      <w:r>
        <w:tab/>
      </w:r>
      <w:r>
        <w:rPr>
          <w:snapToGrid w:val="0"/>
        </w:rPr>
        <w:t>Mirrors</w:t>
      </w:r>
      <w:bookmarkEnd w:id="737"/>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738" w:name="_Toc112317463"/>
      <w:r>
        <w:rPr>
          <w:rStyle w:val="CharSectno"/>
        </w:rPr>
        <w:t>442</w:t>
      </w:r>
      <w:r>
        <w:t>.</w:t>
      </w:r>
      <w:r>
        <w:tab/>
      </w:r>
      <w:r>
        <w:rPr>
          <w:snapToGrid w:val="0"/>
        </w:rPr>
        <w:t>Warning flags</w:t>
      </w:r>
      <w:bookmarkEnd w:id="738"/>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739" w:name="_Toc112317464"/>
      <w:r>
        <w:rPr>
          <w:rStyle w:val="CharSectno"/>
        </w:rPr>
        <w:t>443</w:t>
      </w:r>
      <w:r>
        <w:t>.</w:t>
      </w:r>
      <w:r>
        <w:tab/>
      </w:r>
      <w:r>
        <w:rPr>
          <w:snapToGrid w:val="0"/>
        </w:rPr>
        <w:t>Certain vehicles may be equipped with flashing amber light</w:t>
      </w:r>
      <w:bookmarkEnd w:id="739"/>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lastRenderedPageBreak/>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740" w:name="_Toc112317465"/>
      <w:r>
        <w:rPr>
          <w:rStyle w:val="CharSectno"/>
        </w:rPr>
        <w:t>444</w:t>
      </w:r>
      <w:r>
        <w:t>.</w:t>
      </w:r>
      <w:r>
        <w:tab/>
      </w:r>
      <w:r>
        <w:rPr>
          <w:snapToGrid w:val="0"/>
        </w:rPr>
        <w:t xml:space="preserve">Warning signs for oversize </w:t>
      </w:r>
      <w:r>
        <w:t>agricultural</w:t>
      </w:r>
      <w:r>
        <w:rPr>
          <w:snapToGrid w:val="0"/>
        </w:rPr>
        <w:t xml:space="preserve"> combinations</w:t>
      </w:r>
      <w:bookmarkEnd w:id="740"/>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lastRenderedPageBreak/>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741" w:name="_Toc112317466"/>
      <w:r>
        <w:rPr>
          <w:rStyle w:val="CharSectno"/>
        </w:rPr>
        <w:t>445</w:t>
      </w:r>
      <w:r>
        <w:t>.</w:t>
      </w:r>
      <w:r>
        <w:tab/>
        <w:t>Communication devices</w:t>
      </w:r>
      <w:bookmarkEnd w:id="741"/>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lastRenderedPageBreak/>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742" w:name="_Toc112317467"/>
      <w:r>
        <w:rPr>
          <w:rStyle w:val="CharSectno"/>
        </w:rPr>
        <w:t>446</w:t>
      </w:r>
      <w:r>
        <w:t>.</w:t>
      </w:r>
      <w:r>
        <w:tab/>
        <w:t>Vehicles other than agricultural implements</w:t>
      </w:r>
      <w:bookmarkEnd w:id="742"/>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743" w:name="_Toc112235868"/>
      <w:bookmarkStart w:id="744" w:name="_Toc112237650"/>
      <w:bookmarkStart w:id="745" w:name="_Toc112317468"/>
      <w:r>
        <w:rPr>
          <w:rStyle w:val="CharDivNo"/>
        </w:rPr>
        <w:t>Division 3</w:t>
      </w:r>
      <w:r>
        <w:t> — </w:t>
      </w:r>
      <w:r>
        <w:rPr>
          <w:rStyle w:val="CharDivText"/>
        </w:rPr>
        <w:t>Other obligations in relation to towing and towed agricultural implements</w:t>
      </w:r>
      <w:bookmarkEnd w:id="743"/>
      <w:bookmarkEnd w:id="744"/>
      <w:bookmarkEnd w:id="745"/>
    </w:p>
    <w:p>
      <w:pPr>
        <w:pStyle w:val="Heading5"/>
        <w:rPr>
          <w:snapToGrid w:val="0"/>
        </w:rPr>
      </w:pPr>
      <w:bookmarkStart w:id="746" w:name="_Toc112317469"/>
      <w:r>
        <w:rPr>
          <w:rStyle w:val="CharSectno"/>
        </w:rPr>
        <w:t>447</w:t>
      </w:r>
      <w:r>
        <w:t>.</w:t>
      </w:r>
      <w:r>
        <w:tab/>
      </w:r>
      <w:r>
        <w:rPr>
          <w:snapToGrid w:val="0"/>
        </w:rPr>
        <w:t>Speed restrictions</w:t>
      </w:r>
      <w:bookmarkEnd w:id="746"/>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w:t>
      </w:r>
      <w:r>
        <w:rPr>
          <w:snapToGrid w:val="0"/>
        </w:rPr>
        <w:lastRenderedPageBreak/>
        <w:t>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747" w:name="_Toc112317470"/>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747"/>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748" w:name="_Toc112317471"/>
      <w:r>
        <w:rPr>
          <w:rStyle w:val="CharSectno"/>
        </w:rPr>
        <w:t>449</w:t>
      </w:r>
      <w:r>
        <w:t>.</w:t>
      </w:r>
      <w:r>
        <w:tab/>
      </w:r>
      <w:r>
        <w:rPr>
          <w:snapToGrid w:val="0"/>
        </w:rPr>
        <w:t xml:space="preserve">Parking of </w:t>
      </w:r>
      <w:r>
        <w:t>agricultural</w:t>
      </w:r>
      <w:r>
        <w:rPr>
          <w:snapToGrid w:val="0"/>
        </w:rPr>
        <w:t xml:space="preserve"> combinations on a carriageway</w:t>
      </w:r>
      <w:bookmarkEnd w:id="74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lastRenderedPageBreak/>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749" w:name="_Toc112317472"/>
      <w:r>
        <w:rPr>
          <w:rStyle w:val="CharSectno"/>
        </w:rPr>
        <w:t>450</w:t>
      </w:r>
      <w:r>
        <w:t>.</w:t>
      </w:r>
      <w:r>
        <w:tab/>
      </w:r>
      <w:r>
        <w:rPr>
          <w:snapToGrid w:val="0"/>
        </w:rPr>
        <w:t>Convoys</w:t>
      </w:r>
      <w:bookmarkEnd w:id="749"/>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750" w:name="_Toc112317473"/>
      <w:r>
        <w:rPr>
          <w:rStyle w:val="CharSectno"/>
        </w:rPr>
        <w:t>451</w:t>
      </w:r>
      <w:r>
        <w:t>.</w:t>
      </w:r>
      <w:r>
        <w:tab/>
        <w:t>Limit on number of towed vehicles</w:t>
      </w:r>
      <w:bookmarkEnd w:id="750"/>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751" w:name="_Toc112317474"/>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751"/>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w:t>
      </w:r>
      <w:r>
        <w:lastRenderedPageBreak/>
        <w:t xml:space="preserve">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752" w:name="_Toc112317475"/>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752"/>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lastRenderedPageBreak/>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753" w:name="_Toc112317476"/>
      <w:r>
        <w:rPr>
          <w:rStyle w:val="CharSectno"/>
        </w:rPr>
        <w:t>454</w:t>
      </w:r>
      <w:r>
        <w:t>.</w:t>
      </w:r>
      <w:r>
        <w:tab/>
        <w:t>Permits in relation to movements of agricultural combinations</w:t>
      </w:r>
      <w:bookmarkEnd w:id="753"/>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lastRenderedPageBreak/>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754" w:name="_Toc112235877"/>
      <w:bookmarkStart w:id="755" w:name="_Toc112237659"/>
      <w:bookmarkStart w:id="756" w:name="_Toc112317477"/>
      <w:r>
        <w:rPr>
          <w:rStyle w:val="CharPartNo"/>
        </w:rPr>
        <w:lastRenderedPageBreak/>
        <w:t>Part 13A</w:t>
      </w:r>
      <w:r>
        <w:rPr>
          <w:b w:val="0"/>
        </w:rPr>
        <w:t> </w:t>
      </w:r>
      <w:r>
        <w:t>—</w:t>
      </w:r>
      <w:r>
        <w:rPr>
          <w:b w:val="0"/>
        </w:rPr>
        <w:t> </w:t>
      </w:r>
      <w:r>
        <w:rPr>
          <w:rStyle w:val="CharPartText"/>
        </w:rPr>
        <w:t>Pilot vehicles</w:t>
      </w:r>
      <w:bookmarkEnd w:id="754"/>
      <w:bookmarkEnd w:id="755"/>
      <w:bookmarkEnd w:id="756"/>
    </w:p>
    <w:p>
      <w:pPr>
        <w:pStyle w:val="Footnoteheading"/>
      </w:pPr>
      <w:r>
        <w:tab/>
        <w:t>[Heading inserted: Gazette 15 Nov 2016 p. 5063.]</w:t>
      </w:r>
    </w:p>
    <w:p>
      <w:pPr>
        <w:pStyle w:val="Heading3"/>
      </w:pPr>
      <w:bookmarkStart w:id="757" w:name="_Toc112235878"/>
      <w:bookmarkStart w:id="758" w:name="_Toc112237660"/>
      <w:bookmarkStart w:id="759" w:name="_Toc112317478"/>
      <w:r>
        <w:rPr>
          <w:rStyle w:val="CharDivNo"/>
        </w:rPr>
        <w:t>Division 1</w:t>
      </w:r>
      <w:r>
        <w:t> — </w:t>
      </w:r>
      <w:r>
        <w:rPr>
          <w:rStyle w:val="CharDivText"/>
        </w:rPr>
        <w:t>Preliminary</w:t>
      </w:r>
      <w:bookmarkEnd w:id="757"/>
      <w:bookmarkEnd w:id="758"/>
      <w:bookmarkEnd w:id="759"/>
    </w:p>
    <w:p>
      <w:pPr>
        <w:pStyle w:val="Footnoteheading"/>
      </w:pPr>
      <w:r>
        <w:tab/>
        <w:t>[Heading inserted: Gazette 15 Nov 2016 p. 5063.]</w:t>
      </w:r>
    </w:p>
    <w:p>
      <w:pPr>
        <w:pStyle w:val="Heading5"/>
      </w:pPr>
      <w:bookmarkStart w:id="760" w:name="_Toc112317479"/>
      <w:r>
        <w:rPr>
          <w:rStyle w:val="CharSectno"/>
        </w:rPr>
        <w:t>454A</w:t>
      </w:r>
      <w:r>
        <w:t>.</w:t>
      </w:r>
      <w:r>
        <w:tab/>
        <w:t>Terms used</w:t>
      </w:r>
      <w:bookmarkEnd w:id="760"/>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761" w:name="_Toc112317480"/>
      <w:r>
        <w:rPr>
          <w:rStyle w:val="CharSectno"/>
        </w:rPr>
        <w:t>454B</w:t>
      </w:r>
      <w:r>
        <w:t>.</w:t>
      </w:r>
      <w:r>
        <w:tab/>
        <w:t>Pilot vehicle must be driven by holder of heavy vehicle pilot licence or authorised person</w:t>
      </w:r>
      <w:bookmarkEnd w:id="761"/>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lastRenderedPageBreak/>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762" w:name="_Toc112235881"/>
      <w:bookmarkStart w:id="763" w:name="_Toc112237663"/>
      <w:bookmarkStart w:id="764" w:name="_Toc112317481"/>
      <w:r>
        <w:rPr>
          <w:rStyle w:val="CharDivNo"/>
        </w:rPr>
        <w:t>Division 2</w:t>
      </w:r>
      <w:r>
        <w:t> — </w:t>
      </w:r>
      <w:r>
        <w:rPr>
          <w:rStyle w:val="CharDivText"/>
        </w:rPr>
        <w:t>Licensing of pilots</w:t>
      </w:r>
      <w:bookmarkEnd w:id="762"/>
      <w:bookmarkEnd w:id="763"/>
      <w:bookmarkEnd w:id="764"/>
    </w:p>
    <w:p>
      <w:pPr>
        <w:pStyle w:val="Footnoteheading"/>
      </w:pPr>
      <w:r>
        <w:tab/>
        <w:t>[Heading inserted: Gazette 15 Nov 2016 p. 5065.]</w:t>
      </w:r>
    </w:p>
    <w:p>
      <w:pPr>
        <w:pStyle w:val="Heading4"/>
      </w:pPr>
      <w:bookmarkStart w:id="765" w:name="_Toc112235882"/>
      <w:bookmarkStart w:id="766" w:name="_Toc112237664"/>
      <w:bookmarkStart w:id="767" w:name="_Toc112317482"/>
      <w:r>
        <w:t>Subdivision 1 — General matters</w:t>
      </w:r>
      <w:bookmarkEnd w:id="765"/>
      <w:bookmarkEnd w:id="766"/>
      <w:bookmarkEnd w:id="767"/>
    </w:p>
    <w:p>
      <w:pPr>
        <w:pStyle w:val="Footnoteheading"/>
      </w:pPr>
      <w:r>
        <w:tab/>
        <w:t>[Heading inserted: Gazette 15 Nov 2016 p. 5065.]</w:t>
      </w:r>
    </w:p>
    <w:p>
      <w:pPr>
        <w:pStyle w:val="Heading5"/>
      </w:pPr>
      <w:bookmarkStart w:id="768" w:name="_Toc112317483"/>
      <w:r>
        <w:rPr>
          <w:rStyle w:val="CharSectno"/>
        </w:rPr>
        <w:t>454C</w:t>
      </w:r>
      <w:r>
        <w:t>.</w:t>
      </w:r>
      <w:r>
        <w:tab/>
        <w:t>Applying for a heavy vehicle pilot licence</w:t>
      </w:r>
      <w:bookmarkEnd w:id="768"/>
    </w:p>
    <w:p>
      <w:pPr>
        <w:pStyle w:val="Subsection"/>
        <w:spacing w:before="120"/>
      </w:pPr>
      <w:r>
        <w:tab/>
        <w:t>(1)</w:t>
      </w:r>
      <w:r>
        <w:tab/>
        <w:t>A person may apply to the Commissioner of Main Roads for a heavy vehicle pilot licence.</w:t>
      </w:r>
    </w:p>
    <w:p>
      <w:pPr>
        <w:pStyle w:val="Subsection"/>
        <w:keepNext/>
        <w:spacing w:before="120"/>
      </w:pPr>
      <w:r>
        <w:lastRenderedPageBreak/>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769" w:name="_Toc112317484"/>
      <w:r>
        <w:rPr>
          <w:rStyle w:val="CharSectno"/>
        </w:rPr>
        <w:t>454D</w:t>
      </w:r>
      <w:r>
        <w:t>.</w:t>
      </w:r>
      <w:r>
        <w:tab/>
        <w:t>Medical evidence</w:t>
      </w:r>
      <w:bookmarkEnd w:id="769"/>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770" w:name="_Toc112317485"/>
      <w:r>
        <w:rPr>
          <w:rStyle w:val="CharSectno"/>
        </w:rPr>
        <w:lastRenderedPageBreak/>
        <w:t>454E</w:t>
      </w:r>
      <w:r>
        <w:t>.</w:t>
      </w:r>
      <w:r>
        <w:tab/>
        <w:t>Competency evidence</w:t>
      </w:r>
      <w:bookmarkEnd w:id="770"/>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lastRenderedPageBreak/>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771" w:name="_Toc112317486"/>
      <w:r>
        <w:rPr>
          <w:rStyle w:val="CharSectno"/>
        </w:rPr>
        <w:t>454F</w:t>
      </w:r>
      <w:r>
        <w:t>.</w:t>
      </w:r>
      <w:r>
        <w:tab/>
        <w:t>Powers for dealing with applications for heavy vehicle pilot licence</w:t>
      </w:r>
      <w:bookmarkEnd w:id="771"/>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lastRenderedPageBreak/>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772" w:name="_Toc112317487"/>
      <w:r>
        <w:rPr>
          <w:rStyle w:val="CharSectno"/>
        </w:rPr>
        <w:t>454G</w:t>
      </w:r>
      <w:r>
        <w:t>.</w:t>
      </w:r>
      <w:r>
        <w:tab/>
        <w:t>Deciding applications for heavy vehicle pilot licence</w:t>
      </w:r>
      <w:bookmarkEnd w:id="772"/>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773" w:name="_Toc112317488"/>
      <w:r>
        <w:rPr>
          <w:rStyle w:val="CharSectno"/>
        </w:rPr>
        <w:lastRenderedPageBreak/>
        <w:t>454H</w:t>
      </w:r>
      <w:r>
        <w:t>.</w:t>
      </w:r>
      <w:r>
        <w:tab/>
        <w:t>Conditions of heavy vehicle pilot licence</w:t>
      </w:r>
      <w:bookmarkEnd w:id="773"/>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774" w:name="_Toc112317489"/>
      <w:r>
        <w:rPr>
          <w:rStyle w:val="CharSectno"/>
        </w:rPr>
        <w:lastRenderedPageBreak/>
        <w:t>454I</w:t>
      </w:r>
      <w:r>
        <w:t>.</w:t>
      </w:r>
      <w:r>
        <w:tab/>
        <w:t>Duration of heavy vehicle pilot licence</w:t>
      </w:r>
      <w:bookmarkEnd w:id="774"/>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775" w:name="_Toc112317490"/>
      <w:r>
        <w:rPr>
          <w:rStyle w:val="CharSectno"/>
        </w:rPr>
        <w:t>454J</w:t>
      </w:r>
      <w:r>
        <w:t>.</w:t>
      </w:r>
      <w:r>
        <w:tab/>
        <w:t>Form of heavy vehicle pilot licence</w:t>
      </w:r>
      <w:bookmarkEnd w:id="775"/>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776" w:name="_Toc112317491"/>
      <w:r>
        <w:rPr>
          <w:rStyle w:val="CharSectno"/>
        </w:rPr>
        <w:t>454K</w:t>
      </w:r>
      <w:r>
        <w:t>.</w:t>
      </w:r>
      <w:r>
        <w:tab/>
        <w:t>Heavy vehicle pilot licence not transferable</w:t>
      </w:r>
      <w:bookmarkEnd w:id="776"/>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777" w:name="_Toc112317492"/>
      <w:r>
        <w:rPr>
          <w:rStyle w:val="CharSectno"/>
        </w:rPr>
        <w:t>454L</w:t>
      </w:r>
      <w:r>
        <w:t>.</w:t>
      </w:r>
      <w:r>
        <w:tab/>
        <w:t>Heavy vehicle pilot licence may be surrendered</w:t>
      </w:r>
      <w:bookmarkEnd w:id="777"/>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778" w:name="_Toc112317493"/>
      <w:r>
        <w:rPr>
          <w:rStyle w:val="CharSectno"/>
        </w:rPr>
        <w:t>454M</w:t>
      </w:r>
      <w:r>
        <w:t>.</w:t>
      </w:r>
      <w:r>
        <w:tab/>
        <w:t>Lost heavy vehicle pilot licence may be replaced</w:t>
      </w:r>
      <w:bookmarkEnd w:id="778"/>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lastRenderedPageBreak/>
        <w:tab/>
        <w:t>(2)</w:t>
      </w:r>
      <w:r>
        <w:tab/>
        <w:t>A fee of $14.90 is payable for issuing a replacement under subregulation (1).</w:t>
      </w:r>
    </w:p>
    <w:p>
      <w:pPr>
        <w:pStyle w:val="Footnotesection"/>
      </w:pPr>
      <w:r>
        <w:tab/>
        <w:t>[Regulation 454M inserted: Gazette 15 Nov 2016 p. 5069.]</w:t>
      </w:r>
    </w:p>
    <w:p>
      <w:pPr>
        <w:pStyle w:val="Heading5"/>
      </w:pPr>
      <w:bookmarkStart w:id="779" w:name="_Toc112317494"/>
      <w:r>
        <w:rPr>
          <w:rStyle w:val="CharSectno"/>
        </w:rPr>
        <w:t>454N</w:t>
      </w:r>
      <w:r>
        <w:t>.</w:t>
      </w:r>
      <w:r>
        <w:tab/>
        <w:t>Amending heavy vehicle pilot licence</w:t>
      </w:r>
      <w:bookmarkEnd w:id="779"/>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lastRenderedPageBreak/>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780" w:name="_Toc112317495"/>
      <w:r>
        <w:rPr>
          <w:rStyle w:val="CharSectno"/>
        </w:rPr>
        <w:t>454O</w:t>
      </w:r>
      <w:r>
        <w:t>.</w:t>
      </w:r>
      <w:r>
        <w:tab/>
        <w:t>Renewing heavy vehicle pilot licence</w:t>
      </w:r>
      <w:bookmarkEnd w:id="780"/>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lastRenderedPageBreak/>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781" w:name="_Toc112235896"/>
      <w:bookmarkStart w:id="782" w:name="_Toc112237678"/>
      <w:bookmarkStart w:id="783" w:name="_Toc112317496"/>
      <w:r>
        <w:t>Subdivision 2 — Suspending and cancelling heavy vehicle pilot licence</w:t>
      </w:r>
      <w:bookmarkEnd w:id="781"/>
      <w:bookmarkEnd w:id="782"/>
      <w:bookmarkEnd w:id="783"/>
    </w:p>
    <w:p>
      <w:pPr>
        <w:pStyle w:val="Footnoteheading"/>
      </w:pPr>
      <w:r>
        <w:tab/>
        <w:t>[Heading inserted: Gazette 15 Nov 2016 p. 5071.]</w:t>
      </w:r>
    </w:p>
    <w:p>
      <w:pPr>
        <w:pStyle w:val="Heading5"/>
      </w:pPr>
      <w:bookmarkStart w:id="784" w:name="_Toc112317497"/>
      <w:r>
        <w:rPr>
          <w:rStyle w:val="CharSectno"/>
        </w:rPr>
        <w:t>454P</w:t>
      </w:r>
      <w:r>
        <w:t>.</w:t>
      </w:r>
      <w:r>
        <w:tab/>
        <w:t>Grounds for suspending or cancelling</w:t>
      </w:r>
      <w:bookmarkEnd w:id="784"/>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lastRenderedPageBreak/>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785" w:name="_Toc112317498"/>
      <w:r>
        <w:rPr>
          <w:rStyle w:val="CharSectno"/>
        </w:rPr>
        <w:t>454Q</w:t>
      </w:r>
      <w:r>
        <w:t>.</w:t>
      </w:r>
      <w:r>
        <w:tab/>
        <w:t>Procedure for suspending or cancelling heavy vehicle pilot licence</w:t>
      </w:r>
      <w:bookmarkEnd w:id="785"/>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lastRenderedPageBreak/>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786" w:name="_Toc112317499"/>
      <w:r>
        <w:rPr>
          <w:rStyle w:val="CharSectno"/>
        </w:rPr>
        <w:t>454R</w:t>
      </w:r>
      <w:r>
        <w:t>.</w:t>
      </w:r>
      <w:r>
        <w:tab/>
        <w:t>Suspension in urgent circumstances</w:t>
      </w:r>
      <w:bookmarkEnd w:id="786"/>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787" w:name="_Toc112317500"/>
      <w:r>
        <w:rPr>
          <w:rStyle w:val="CharSectno"/>
        </w:rPr>
        <w:t>454S</w:t>
      </w:r>
      <w:r>
        <w:t>.</w:t>
      </w:r>
      <w:r>
        <w:tab/>
        <w:t>Heavy vehicle pilot licence to be returned if cancelled or suspended</w:t>
      </w:r>
      <w:bookmarkEnd w:id="787"/>
    </w:p>
    <w:p>
      <w:pPr>
        <w:pStyle w:val="Subsection"/>
      </w:pPr>
      <w:r>
        <w:tab/>
      </w:r>
      <w:r>
        <w:tab/>
        <w:t xml:space="preserve">If the Commissioner of Main Roads suspends or cancels a heavy vehicle pilot licence, the holder must return the licence </w:t>
      </w:r>
      <w:r>
        <w:lastRenderedPageBreak/>
        <w:t>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788" w:name="_Toc112317501"/>
      <w:r>
        <w:rPr>
          <w:rStyle w:val="CharSectno"/>
        </w:rPr>
        <w:t>454T</w:t>
      </w:r>
      <w:r>
        <w:t>.</w:t>
      </w:r>
      <w:r>
        <w:tab/>
        <w:t>Suspension may be lifted</w:t>
      </w:r>
      <w:bookmarkEnd w:id="788"/>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789" w:name="_Toc112235902"/>
      <w:bookmarkStart w:id="790" w:name="_Toc112237684"/>
      <w:bookmarkStart w:id="791" w:name="_Toc112317502"/>
      <w:r>
        <w:t>Subdivision 3 — Duties of heavy vehicle pilot licence holder</w:t>
      </w:r>
      <w:bookmarkEnd w:id="789"/>
      <w:bookmarkEnd w:id="790"/>
      <w:bookmarkEnd w:id="791"/>
    </w:p>
    <w:p>
      <w:pPr>
        <w:pStyle w:val="Footnoteheading"/>
      </w:pPr>
      <w:r>
        <w:tab/>
        <w:t>[Heading inserted: Gazette 15 Nov 2016 p. 5073.]</w:t>
      </w:r>
    </w:p>
    <w:p>
      <w:pPr>
        <w:pStyle w:val="Heading5"/>
      </w:pPr>
      <w:bookmarkStart w:id="792" w:name="_Toc112317503"/>
      <w:r>
        <w:rPr>
          <w:rStyle w:val="CharSectno"/>
        </w:rPr>
        <w:t>454U</w:t>
      </w:r>
      <w:r>
        <w:t>.</w:t>
      </w:r>
      <w:r>
        <w:tab/>
        <w:t>Duty to correct wrong information</w:t>
      </w:r>
      <w:bookmarkEnd w:id="792"/>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793" w:name="_Toc112317504"/>
      <w:r>
        <w:rPr>
          <w:rStyle w:val="CharSectno"/>
        </w:rPr>
        <w:lastRenderedPageBreak/>
        <w:t>454V</w:t>
      </w:r>
      <w:r>
        <w:t>.</w:t>
      </w:r>
      <w:r>
        <w:tab/>
        <w:t>Duty to notify Commissioner of Main Roads if no longer authorised to drive</w:t>
      </w:r>
      <w:bookmarkEnd w:id="793"/>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794" w:name="_Toc112317505"/>
      <w:r>
        <w:rPr>
          <w:rStyle w:val="CharSectno"/>
        </w:rPr>
        <w:t>454W</w:t>
      </w:r>
      <w:r>
        <w:t>.</w:t>
      </w:r>
      <w:r>
        <w:tab/>
        <w:t>Duty to notify Commissioner of Main Roads of medical impairment</w:t>
      </w:r>
      <w:bookmarkEnd w:id="794"/>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795" w:name="_Toc112317506"/>
      <w:r>
        <w:rPr>
          <w:rStyle w:val="CharSectno"/>
        </w:rPr>
        <w:t>454X</w:t>
      </w:r>
      <w:r>
        <w:t>.</w:t>
      </w:r>
      <w:r>
        <w:tab/>
        <w:t>Licence to be carried and produced on request</w:t>
      </w:r>
      <w:bookmarkEnd w:id="795"/>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796" w:name="_Toc112317507"/>
      <w:r>
        <w:rPr>
          <w:rStyle w:val="CharSectno"/>
        </w:rPr>
        <w:t>454Y</w:t>
      </w:r>
      <w:r>
        <w:t>.</w:t>
      </w:r>
      <w:r>
        <w:tab/>
        <w:t>Facilitating movement of oversize or over</w:t>
      </w:r>
      <w:r>
        <w:noBreakHyphen/>
        <w:t>mass vehicle in accordance with order or permit</w:t>
      </w:r>
      <w:bookmarkEnd w:id="796"/>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797" w:name="_Toc112317508"/>
      <w:r>
        <w:rPr>
          <w:rStyle w:val="CharSectno"/>
        </w:rPr>
        <w:lastRenderedPageBreak/>
        <w:t>454Z</w:t>
      </w:r>
      <w:r>
        <w:t>.</w:t>
      </w:r>
      <w:r>
        <w:tab/>
        <w:t>Contravening condition of heavy vehicle pilot licence</w:t>
      </w:r>
      <w:bookmarkEnd w:id="797"/>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798" w:name="_Toc112235909"/>
      <w:bookmarkStart w:id="799" w:name="_Toc112237691"/>
      <w:bookmarkStart w:id="800" w:name="_Toc112317509"/>
      <w:r>
        <w:t>Subdivision 4 — Miscellaneous matters</w:t>
      </w:r>
      <w:bookmarkEnd w:id="798"/>
      <w:bookmarkEnd w:id="799"/>
      <w:bookmarkEnd w:id="800"/>
    </w:p>
    <w:p>
      <w:pPr>
        <w:pStyle w:val="Footnoteheading"/>
      </w:pPr>
      <w:r>
        <w:tab/>
        <w:t>[Heading inserted: Gazette 15 Nov 2016 p. 5075.]</w:t>
      </w:r>
    </w:p>
    <w:p>
      <w:pPr>
        <w:pStyle w:val="Heading5"/>
      </w:pPr>
      <w:bookmarkStart w:id="801" w:name="_Toc112317510"/>
      <w:r>
        <w:rPr>
          <w:rStyle w:val="CharSectno"/>
        </w:rPr>
        <w:t>454ZA</w:t>
      </w:r>
      <w:r>
        <w:t>.</w:t>
      </w:r>
      <w:r>
        <w:tab/>
        <w:t>Register of heavy vehicle pilot licences</w:t>
      </w:r>
      <w:bookmarkEnd w:id="801"/>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802" w:name="_Toc112317511"/>
      <w:r>
        <w:rPr>
          <w:rStyle w:val="CharSectno"/>
        </w:rPr>
        <w:lastRenderedPageBreak/>
        <w:t>454ZB</w:t>
      </w:r>
      <w:r>
        <w:t>.</w:t>
      </w:r>
      <w:r>
        <w:tab/>
        <w:t>Notification and reconsideration of decisions under this Part</w:t>
      </w:r>
      <w:bookmarkEnd w:id="802"/>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803" w:name="_Toc112317512"/>
      <w:r>
        <w:rPr>
          <w:rStyle w:val="CharSectno"/>
        </w:rPr>
        <w:t>454ZC</w:t>
      </w:r>
      <w:r>
        <w:t>.</w:t>
      </w:r>
      <w:r>
        <w:tab/>
        <w:t>Transitional arrangements for accredited pilots</w:t>
      </w:r>
      <w:bookmarkEnd w:id="80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804" w:name="_Toc112235913"/>
      <w:bookmarkStart w:id="805" w:name="_Toc112237695"/>
      <w:bookmarkStart w:id="806" w:name="_Toc112317513"/>
      <w:r>
        <w:rPr>
          <w:rStyle w:val="CharPartNo"/>
        </w:rPr>
        <w:lastRenderedPageBreak/>
        <w:t>Part 14</w:t>
      </w:r>
      <w:r>
        <w:t> — </w:t>
      </w:r>
      <w:r>
        <w:rPr>
          <w:rStyle w:val="CharPartText"/>
        </w:rPr>
        <w:t>Minister’s declarations and CEO’s exemptions</w:t>
      </w:r>
      <w:bookmarkEnd w:id="804"/>
      <w:bookmarkEnd w:id="805"/>
      <w:bookmarkEnd w:id="806"/>
    </w:p>
    <w:p>
      <w:pPr>
        <w:pStyle w:val="Heading3"/>
      </w:pPr>
      <w:bookmarkStart w:id="807" w:name="_Toc112235914"/>
      <w:bookmarkStart w:id="808" w:name="_Toc112237696"/>
      <w:bookmarkStart w:id="809" w:name="_Toc112317514"/>
      <w:r>
        <w:rPr>
          <w:rStyle w:val="CharDivNo"/>
        </w:rPr>
        <w:t>Division 1</w:t>
      </w:r>
      <w:r>
        <w:t> — </w:t>
      </w:r>
      <w:r>
        <w:rPr>
          <w:rStyle w:val="CharDivText"/>
        </w:rPr>
        <w:t>Preliminary</w:t>
      </w:r>
      <w:bookmarkEnd w:id="807"/>
      <w:bookmarkEnd w:id="808"/>
      <w:bookmarkEnd w:id="809"/>
    </w:p>
    <w:p>
      <w:pPr>
        <w:pStyle w:val="Heading5"/>
      </w:pPr>
      <w:bookmarkStart w:id="810" w:name="_Toc112317515"/>
      <w:r>
        <w:rPr>
          <w:rStyle w:val="CharSectno"/>
        </w:rPr>
        <w:t>455</w:t>
      </w:r>
      <w:r>
        <w:t>.</w:t>
      </w:r>
      <w:r>
        <w:tab/>
        <w:t>Terms used</w:t>
      </w:r>
      <w:bookmarkEnd w:id="810"/>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811" w:name="_Toc112235916"/>
      <w:bookmarkStart w:id="812" w:name="_Toc112237698"/>
      <w:bookmarkStart w:id="813" w:name="_Toc112317516"/>
      <w:r>
        <w:rPr>
          <w:rStyle w:val="CharDivNo"/>
        </w:rPr>
        <w:t>Division 2</w:t>
      </w:r>
      <w:r>
        <w:t> — </w:t>
      </w:r>
      <w:r>
        <w:rPr>
          <w:rStyle w:val="CharDivText"/>
        </w:rPr>
        <w:t>Minister’s declarations</w:t>
      </w:r>
      <w:bookmarkEnd w:id="811"/>
      <w:bookmarkEnd w:id="812"/>
      <w:bookmarkEnd w:id="813"/>
    </w:p>
    <w:p>
      <w:pPr>
        <w:pStyle w:val="Heading5"/>
      </w:pPr>
      <w:bookmarkStart w:id="814" w:name="_Toc112317517"/>
      <w:r>
        <w:rPr>
          <w:rStyle w:val="CharSectno"/>
        </w:rPr>
        <w:t>456</w:t>
      </w:r>
      <w:r>
        <w:t>.</w:t>
      </w:r>
      <w:r>
        <w:tab/>
        <w:t>Instigating action as to Ministerial declarations</w:t>
      </w:r>
      <w:bookmarkEnd w:id="814"/>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815" w:name="_Toc112317518"/>
      <w:r>
        <w:rPr>
          <w:rStyle w:val="CharSectno"/>
        </w:rPr>
        <w:t>457</w:t>
      </w:r>
      <w:r>
        <w:t>.</w:t>
      </w:r>
      <w:r>
        <w:tab/>
        <w:t>Minister’s declarations that specified regulations do not apply to specified persons or vehicles (s. 138)</w:t>
      </w:r>
      <w:bookmarkEnd w:id="815"/>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lastRenderedPageBreak/>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816" w:name="_Toc112317519"/>
      <w:r>
        <w:rPr>
          <w:rStyle w:val="CharSectno"/>
        </w:rPr>
        <w:t>458</w:t>
      </w:r>
      <w:r>
        <w:t>.</w:t>
      </w:r>
      <w:r>
        <w:tab/>
        <w:t>Variation of a declaration</w:t>
      </w:r>
      <w:bookmarkEnd w:id="816"/>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817" w:name="_Toc112317520"/>
      <w:r>
        <w:rPr>
          <w:rStyle w:val="CharSectno"/>
        </w:rPr>
        <w:lastRenderedPageBreak/>
        <w:t>459</w:t>
      </w:r>
      <w:r>
        <w:t>.</w:t>
      </w:r>
      <w:r>
        <w:tab/>
        <w:t>Revocation of declaration</w:t>
      </w:r>
      <w:bookmarkEnd w:id="817"/>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818" w:name="_Toc112235921"/>
      <w:bookmarkStart w:id="819" w:name="_Toc112237703"/>
      <w:bookmarkStart w:id="820" w:name="_Toc112317521"/>
      <w:r>
        <w:rPr>
          <w:rStyle w:val="CharDivNo"/>
        </w:rPr>
        <w:t>Division 3</w:t>
      </w:r>
      <w:r>
        <w:t> — </w:t>
      </w:r>
      <w:r>
        <w:rPr>
          <w:rStyle w:val="CharDivText"/>
        </w:rPr>
        <w:t>CEO’s exemptions from regulations about standards or other requirements in respect of vehicles</w:t>
      </w:r>
      <w:bookmarkEnd w:id="818"/>
      <w:bookmarkEnd w:id="819"/>
      <w:bookmarkEnd w:id="820"/>
    </w:p>
    <w:p>
      <w:pPr>
        <w:pStyle w:val="Heading5"/>
      </w:pPr>
      <w:bookmarkStart w:id="821" w:name="_Toc112317522"/>
      <w:r>
        <w:rPr>
          <w:rStyle w:val="CharSectno"/>
        </w:rPr>
        <w:t>460</w:t>
      </w:r>
      <w:r>
        <w:t>.</w:t>
      </w:r>
      <w:r>
        <w:tab/>
        <w:t>Term used: vehicle standard regulation</w:t>
      </w:r>
      <w:bookmarkEnd w:id="821"/>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822" w:name="_Toc112317523"/>
      <w:r>
        <w:rPr>
          <w:rStyle w:val="CharSectno"/>
        </w:rPr>
        <w:t>461</w:t>
      </w:r>
      <w:r>
        <w:t>.</w:t>
      </w:r>
      <w:r>
        <w:tab/>
        <w:t>Instigating action as to CEO exemptions</w:t>
      </w:r>
      <w:bookmarkEnd w:id="822"/>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823" w:name="_Toc112317524"/>
      <w:r>
        <w:rPr>
          <w:rStyle w:val="CharSectno"/>
        </w:rPr>
        <w:lastRenderedPageBreak/>
        <w:t>462</w:t>
      </w:r>
      <w:r>
        <w:t>.</w:t>
      </w:r>
      <w:r>
        <w:tab/>
        <w:t>CEO’s exemptions from specified provisions of vehicle standard regulations</w:t>
      </w:r>
      <w:bookmarkEnd w:id="823"/>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lastRenderedPageBreak/>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824" w:name="_Toc112317525"/>
      <w:r>
        <w:rPr>
          <w:rStyle w:val="CharSectno"/>
        </w:rPr>
        <w:t>463</w:t>
      </w:r>
      <w:r>
        <w:t>.</w:t>
      </w:r>
      <w:r>
        <w:tab/>
        <w:t>Variation of a CEO exemption</w:t>
      </w:r>
      <w:bookmarkEnd w:id="824"/>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lastRenderedPageBreak/>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825" w:name="_Toc112317526"/>
      <w:r>
        <w:rPr>
          <w:rStyle w:val="CharSectno"/>
        </w:rPr>
        <w:t>464</w:t>
      </w:r>
      <w:r>
        <w:t>.</w:t>
      </w:r>
      <w:r>
        <w:tab/>
        <w:t>Cancellation of CEO exemptions</w:t>
      </w:r>
      <w:bookmarkEnd w:id="825"/>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826" w:name="_Toc112317527"/>
      <w:r>
        <w:rPr>
          <w:rStyle w:val="CharSectno"/>
        </w:rPr>
        <w:t>465</w:t>
      </w:r>
      <w:r>
        <w:t>.</w:t>
      </w:r>
      <w:r>
        <w:tab/>
        <w:t>Variation or cancellation of CEO exemption in urgent circumstances</w:t>
      </w:r>
      <w:bookmarkEnd w:id="826"/>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827" w:name="_Toc112317528"/>
      <w:r>
        <w:rPr>
          <w:rStyle w:val="CharSectno"/>
        </w:rPr>
        <w:lastRenderedPageBreak/>
        <w:t>466</w:t>
      </w:r>
      <w:r>
        <w:t>.</w:t>
      </w:r>
      <w:r>
        <w:tab/>
        <w:t>Variation or cancellation of CEO exemption other than in urgent circumstances</w:t>
      </w:r>
      <w:bookmarkEnd w:id="827"/>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828" w:name="_Toc112235929"/>
      <w:bookmarkStart w:id="829" w:name="_Toc112237711"/>
      <w:bookmarkStart w:id="830" w:name="_Toc112317529"/>
      <w:r>
        <w:rPr>
          <w:rStyle w:val="CharDivNo"/>
        </w:rPr>
        <w:t>Division 4</w:t>
      </w:r>
      <w:r>
        <w:t> — </w:t>
      </w:r>
      <w:r>
        <w:rPr>
          <w:rStyle w:val="CharDivText"/>
        </w:rPr>
        <w:t>General provisions about Ministerial declarations and CEO exemptions</w:t>
      </w:r>
      <w:bookmarkEnd w:id="828"/>
      <w:bookmarkEnd w:id="829"/>
      <w:bookmarkEnd w:id="830"/>
    </w:p>
    <w:p>
      <w:pPr>
        <w:pStyle w:val="Heading5"/>
      </w:pPr>
      <w:bookmarkStart w:id="831" w:name="_Toc112317530"/>
      <w:r>
        <w:rPr>
          <w:rStyle w:val="CharSectno"/>
        </w:rPr>
        <w:t>467</w:t>
      </w:r>
      <w:r>
        <w:t>.</w:t>
      </w:r>
      <w:r>
        <w:tab/>
        <w:t>Applications</w:t>
      </w:r>
      <w:bookmarkEnd w:id="831"/>
    </w:p>
    <w:p>
      <w:pPr>
        <w:pStyle w:val="Subsection"/>
      </w:pPr>
      <w:r>
        <w:tab/>
        <w:t>(1)</w:t>
      </w:r>
      <w:r>
        <w:tab/>
        <w:t>An application must be in a form approved by the CEO and given to the CEO.</w:t>
      </w:r>
    </w:p>
    <w:p>
      <w:pPr>
        <w:pStyle w:val="Subsection"/>
        <w:rPr>
          <w:snapToGrid w:val="0"/>
        </w:rPr>
      </w:pPr>
      <w:r>
        <w:rPr>
          <w:snapToGrid w:val="0"/>
        </w:rPr>
        <w:lastRenderedPageBreak/>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832" w:name="_Toc112317531"/>
      <w:r>
        <w:rPr>
          <w:rStyle w:val="CharSectno"/>
        </w:rPr>
        <w:t>468</w:t>
      </w:r>
      <w:r>
        <w:t>.</w:t>
      </w:r>
      <w:r>
        <w:tab/>
        <w:t>Fees for applications</w:t>
      </w:r>
      <w:bookmarkEnd w:id="832"/>
    </w:p>
    <w:p>
      <w:pPr>
        <w:pStyle w:val="Subsection"/>
      </w:pPr>
      <w:r>
        <w:tab/>
        <w:t>(1)</w:t>
      </w:r>
      <w:r>
        <w:tab/>
        <w:t>The fee payable for an application for the grant, variation or cancellation of a CEO exemption is $53.40.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w:t>
      </w:r>
    </w:p>
    <w:p>
      <w:pPr>
        <w:pStyle w:val="Heading5"/>
      </w:pPr>
      <w:bookmarkStart w:id="833" w:name="_Toc112317532"/>
      <w:r>
        <w:rPr>
          <w:rStyle w:val="CharSectno"/>
        </w:rPr>
        <w:t>469</w:t>
      </w:r>
      <w:r>
        <w:t>.</w:t>
      </w:r>
      <w:r>
        <w:tab/>
        <w:t>Conditions on declarations, CEO exemptions</w:t>
      </w:r>
      <w:bookmarkEnd w:id="833"/>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lastRenderedPageBreak/>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834" w:name="_Toc112317533"/>
      <w:r>
        <w:rPr>
          <w:rStyle w:val="CharSectno"/>
        </w:rPr>
        <w:t>470</w:t>
      </w:r>
      <w:r>
        <w:t>.</w:t>
      </w:r>
      <w:r>
        <w:tab/>
        <w:t>Notification of Minister’s decisions</w:t>
      </w:r>
      <w:bookmarkEnd w:id="834"/>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835" w:name="_Toc112317534"/>
      <w:r>
        <w:rPr>
          <w:rStyle w:val="CharSectno"/>
        </w:rPr>
        <w:lastRenderedPageBreak/>
        <w:t>471</w:t>
      </w:r>
      <w:r>
        <w:t>.</w:t>
      </w:r>
      <w:r>
        <w:tab/>
        <w:t>Notification and reconsideration of CEO exemption decisions</w:t>
      </w:r>
      <w:bookmarkEnd w:id="835"/>
    </w:p>
    <w:p>
      <w:pPr>
        <w:pStyle w:val="Subsection"/>
      </w:pPr>
      <w:r>
        <w:tab/>
      </w:r>
      <w:r>
        <w:tab/>
        <w:t>Part 15 provides for the notification and reconsideration of the CEO’s decisions made under Division 3 and regulation 469(2).</w:t>
      </w:r>
    </w:p>
    <w:p>
      <w:pPr>
        <w:pStyle w:val="Heading5"/>
      </w:pPr>
      <w:bookmarkStart w:id="836" w:name="_Toc112317535"/>
      <w:r>
        <w:rPr>
          <w:rStyle w:val="CharSectno"/>
        </w:rPr>
        <w:t>472</w:t>
      </w:r>
      <w:r>
        <w:t>.</w:t>
      </w:r>
      <w:r>
        <w:tab/>
        <w:t>When decisions take effect</w:t>
      </w:r>
      <w:bookmarkEnd w:id="836"/>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837" w:name="_Toc112317536"/>
      <w:r>
        <w:rPr>
          <w:rStyle w:val="CharSectno"/>
        </w:rPr>
        <w:t>473</w:t>
      </w:r>
      <w:r>
        <w:t>.</w:t>
      </w:r>
      <w:r>
        <w:tab/>
        <w:t>Duration of declaration, CEO exemption</w:t>
      </w:r>
      <w:bookmarkEnd w:id="837"/>
    </w:p>
    <w:p>
      <w:pPr>
        <w:pStyle w:val="Subsection"/>
      </w:pPr>
      <w:r>
        <w:tab/>
      </w:r>
      <w:r>
        <w:tab/>
        <w:t>A declaration or CEO exemption has effect for the specified period.</w:t>
      </w:r>
    </w:p>
    <w:p>
      <w:pPr>
        <w:pStyle w:val="Heading5"/>
      </w:pPr>
      <w:bookmarkStart w:id="838" w:name="_Toc112317537"/>
      <w:r>
        <w:rPr>
          <w:rStyle w:val="CharSectno"/>
        </w:rPr>
        <w:t>474</w:t>
      </w:r>
      <w:r>
        <w:t>.</w:t>
      </w:r>
      <w:r>
        <w:tab/>
        <w:t>Effect of declaration, CEO exemption</w:t>
      </w:r>
      <w:bookmarkEnd w:id="838"/>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839" w:name="_Toc112317538"/>
      <w:r>
        <w:rPr>
          <w:rStyle w:val="CharSectno"/>
        </w:rPr>
        <w:t>475</w:t>
      </w:r>
      <w:r>
        <w:t>.</w:t>
      </w:r>
      <w:r>
        <w:tab/>
        <w:t>Evidence of declarations, CEO exemption</w:t>
      </w:r>
      <w:bookmarkEnd w:id="839"/>
    </w:p>
    <w:p>
      <w:pPr>
        <w:pStyle w:val="Subsection"/>
      </w:pPr>
      <w:r>
        <w:tab/>
        <w:t>(1)</w:t>
      </w:r>
      <w:r>
        <w:tab/>
        <w:t>The CEO must issue a document setting out the terms of a declaration made, or CEO exemption granted, on an application.</w:t>
      </w:r>
    </w:p>
    <w:p>
      <w:pPr>
        <w:pStyle w:val="Subsection"/>
      </w:pPr>
      <w:r>
        <w:lastRenderedPageBreak/>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840" w:name="_Toc112317539"/>
      <w:r>
        <w:rPr>
          <w:rStyle w:val="CharSectno"/>
        </w:rPr>
        <w:t>476</w:t>
      </w:r>
      <w:r>
        <w:t>.</w:t>
      </w:r>
      <w:r>
        <w:tab/>
        <w:t>Driver to produce declaration, CEO exemption document to police officers</w:t>
      </w:r>
      <w:bookmarkEnd w:id="840"/>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841" w:name="_Toc112317540"/>
      <w:r>
        <w:rPr>
          <w:rStyle w:val="CharSectno"/>
        </w:rPr>
        <w:t>477</w:t>
      </w:r>
      <w:r>
        <w:t>.</w:t>
      </w:r>
      <w:r>
        <w:tab/>
        <w:t>Return of documents</w:t>
      </w:r>
      <w:bookmarkEnd w:id="841"/>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842" w:name="_Toc112235941"/>
      <w:bookmarkStart w:id="843" w:name="_Toc112237723"/>
      <w:bookmarkStart w:id="844" w:name="_Toc112317541"/>
      <w:r>
        <w:rPr>
          <w:rStyle w:val="CharPartNo"/>
        </w:rPr>
        <w:lastRenderedPageBreak/>
        <w:t>Part 15</w:t>
      </w:r>
      <w:r>
        <w:t> — </w:t>
      </w:r>
      <w:r>
        <w:rPr>
          <w:rStyle w:val="CharPartText"/>
        </w:rPr>
        <w:t>Notification and reconsideration of reviewable decisions</w:t>
      </w:r>
      <w:bookmarkEnd w:id="842"/>
      <w:bookmarkEnd w:id="843"/>
      <w:bookmarkEnd w:id="844"/>
    </w:p>
    <w:p>
      <w:pPr>
        <w:pStyle w:val="Heading3"/>
      </w:pPr>
      <w:bookmarkStart w:id="845" w:name="_Toc112235942"/>
      <w:bookmarkStart w:id="846" w:name="_Toc112237724"/>
      <w:bookmarkStart w:id="847" w:name="_Toc112317542"/>
      <w:r>
        <w:rPr>
          <w:rStyle w:val="CharDivNo"/>
        </w:rPr>
        <w:t>Division 1</w:t>
      </w:r>
      <w:r>
        <w:t> — </w:t>
      </w:r>
      <w:r>
        <w:rPr>
          <w:rStyle w:val="CharDivText"/>
        </w:rPr>
        <w:t>Reviewable decisions other than improvement notice reviewable decisions</w:t>
      </w:r>
      <w:bookmarkEnd w:id="845"/>
      <w:bookmarkEnd w:id="846"/>
      <w:bookmarkEnd w:id="847"/>
    </w:p>
    <w:p>
      <w:pPr>
        <w:pStyle w:val="Heading5"/>
      </w:pPr>
      <w:bookmarkStart w:id="848" w:name="_Toc112317543"/>
      <w:r>
        <w:rPr>
          <w:rStyle w:val="CharSectno"/>
        </w:rPr>
        <w:t>478</w:t>
      </w:r>
      <w:r>
        <w:t>.</w:t>
      </w:r>
      <w:r>
        <w:tab/>
        <w:t>Terms used</w:t>
      </w:r>
      <w:bookmarkEnd w:id="848"/>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lastRenderedPageBreak/>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849" w:name="_Toc112317544"/>
      <w:r>
        <w:rPr>
          <w:rStyle w:val="CharSectno"/>
        </w:rPr>
        <w:lastRenderedPageBreak/>
        <w:t>479</w:t>
      </w:r>
      <w:r>
        <w:t>.</w:t>
      </w:r>
      <w:r>
        <w:tab/>
        <w:t>Notification of reviewable decisions</w:t>
      </w:r>
      <w:bookmarkEnd w:id="849"/>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850" w:name="_Toc112317545"/>
      <w:r>
        <w:rPr>
          <w:rStyle w:val="CharSectno"/>
        </w:rPr>
        <w:t>480</w:t>
      </w:r>
      <w:r>
        <w:t>.</w:t>
      </w:r>
      <w:r>
        <w:tab/>
        <w:t>Reconsideration of reviewable decisions</w:t>
      </w:r>
      <w:bookmarkEnd w:id="850"/>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lastRenderedPageBreak/>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851" w:name="_Toc112235946"/>
      <w:bookmarkStart w:id="852" w:name="_Toc112237728"/>
      <w:bookmarkStart w:id="853" w:name="_Toc112317546"/>
      <w:r>
        <w:rPr>
          <w:rStyle w:val="CharDivNo"/>
        </w:rPr>
        <w:t>Division 2</w:t>
      </w:r>
      <w:r>
        <w:t> — </w:t>
      </w:r>
      <w:r>
        <w:rPr>
          <w:rStyle w:val="CharDivText"/>
        </w:rPr>
        <w:t>Improvement notices and notices of amendments to improvement notices</w:t>
      </w:r>
      <w:bookmarkEnd w:id="851"/>
      <w:bookmarkEnd w:id="852"/>
      <w:bookmarkEnd w:id="853"/>
    </w:p>
    <w:p>
      <w:pPr>
        <w:pStyle w:val="Heading5"/>
      </w:pPr>
      <w:bookmarkStart w:id="854" w:name="_Toc112317547"/>
      <w:r>
        <w:rPr>
          <w:rStyle w:val="CharSectno"/>
        </w:rPr>
        <w:t>481</w:t>
      </w:r>
      <w:r>
        <w:t>.</w:t>
      </w:r>
      <w:r>
        <w:tab/>
        <w:t>Terms used</w:t>
      </w:r>
      <w:bookmarkEnd w:id="854"/>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855" w:name="_Toc112317548"/>
      <w:r>
        <w:rPr>
          <w:rStyle w:val="CharSectno"/>
        </w:rPr>
        <w:t>482</w:t>
      </w:r>
      <w:r>
        <w:t>.</w:t>
      </w:r>
      <w:r>
        <w:tab/>
        <w:t>Content of improvement notices, notices of amendment of improvement notices</w:t>
      </w:r>
      <w:bookmarkEnd w:id="855"/>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lastRenderedPageBreak/>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856" w:name="_Toc112317549"/>
      <w:r>
        <w:rPr>
          <w:rStyle w:val="CharSectno"/>
        </w:rPr>
        <w:t>483</w:t>
      </w:r>
      <w:r>
        <w:t>.</w:t>
      </w:r>
      <w:r>
        <w:tab/>
        <w:t>Reconsideration of improvement notice reviewable decisions</w:t>
      </w:r>
      <w:bookmarkEnd w:id="856"/>
    </w:p>
    <w:p>
      <w:pPr>
        <w:pStyle w:val="Subsection"/>
      </w:pPr>
      <w:r>
        <w:tab/>
        <w:t>(1)</w:t>
      </w:r>
      <w:r>
        <w:tab/>
        <w:t>A person affected by an improvement notice reviewable decision may request a consulting officer in writing to reconsider the decision.</w:t>
      </w:r>
    </w:p>
    <w:p>
      <w:pPr>
        <w:pStyle w:val="Subsection"/>
        <w:keepNext/>
      </w:pPr>
      <w:r>
        <w:lastRenderedPageBreak/>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857" w:name="_Toc112235950"/>
      <w:bookmarkStart w:id="858" w:name="_Toc112237732"/>
      <w:bookmarkStart w:id="859" w:name="_Toc112317550"/>
      <w:r>
        <w:rPr>
          <w:rStyle w:val="CharPartNo"/>
        </w:rPr>
        <w:lastRenderedPageBreak/>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857"/>
      <w:bookmarkEnd w:id="858"/>
      <w:bookmarkEnd w:id="859"/>
    </w:p>
    <w:p>
      <w:pPr>
        <w:pStyle w:val="Heading5"/>
      </w:pPr>
      <w:bookmarkStart w:id="860" w:name="_Toc112317551"/>
      <w:r>
        <w:rPr>
          <w:rStyle w:val="CharSectno"/>
        </w:rPr>
        <w:t>484</w:t>
      </w:r>
      <w:r>
        <w:t>.</w:t>
      </w:r>
      <w:r>
        <w:tab/>
        <w:t>Term used: commencement day</w:t>
      </w:r>
      <w:bookmarkEnd w:id="860"/>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861" w:name="_Toc112317552"/>
      <w:r>
        <w:rPr>
          <w:rStyle w:val="CharSectno"/>
        </w:rPr>
        <w:t>485</w:t>
      </w:r>
      <w:r>
        <w:t>.</w:t>
      </w:r>
      <w:r>
        <w:tab/>
        <w:t>Application for permits for unlicensed vehicles</w:t>
      </w:r>
      <w:bookmarkEnd w:id="861"/>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862" w:name="_Toc112317553"/>
      <w:r>
        <w:rPr>
          <w:rStyle w:val="CharSectno"/>
        </w:rPr>
        <w:t>486</w:t>
      </w:r>
      <w:r>
        <w:t>.</w:t>
      </w:r>
      <w:r>
        <w:tab/>
        <w:t>Permit documents</w:t>
      </w:r>
      <w:bookmarkEnd w:id="862"/>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863" w:name="_Toc112317554"/>
      <w:r>
        <w:rPr>
          <w:rStyle w:val="CharSectno"/>
        </w:rPr>
        <w:t>487</w:t>
      </w:r>
      <w:r>
        <w:t>.</w:t>
      </w:r>
      <w:r>
        <w:tab/>
        <w:t>Authorisations to carry goods other than stock</w:t>
      </w:r>
      <w:bookmarkEnd w:id="863"/>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864" w:name="_Toc112317555"/>
      <w:r>
        <w:rPr>
          <w:rStyle w:val="CharSectno"/>
        </w:rPr>
        <w:t>488</w:t>
      </w:r>
      <w:r>
        <w:t>.</w:t>
      </w:r>
      <w:r>
        <w:tab/>
        <w:t>Number plate non</w:t>
      </w:r>
      <w:r>
        <w:noBreakHyphen/>
        <w:t>reflective film, cover</w:t>
      </w:r>
      <w:bookmarkEnd w:id="864"/>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lastRenderedPageBreak/>
        <w:t>[</w:t>
      </w:r>
      <w:r>
        <w:rPr>
          <w:b/>
        </w:rPr>
        <w:t>489, 490.</w:t>
      </w:r>
      <w:r>
        <w:tab/>
        <w:t>Deleted: Gazette 24 Jun 2016 p. 2343.]</w:t>
      </w:r>
    </w:p>
    <w:p>
      <w:pPr>
        <w:pStyle w:val="Heading5"/>
      </w:pPr>
      <w:bookmarkStart w:id="865" w:name="_Toc112317556"/>
      <w:r>
        <w:rPr>
          <w:rStyle w:val="CharSectno"/>
        </w:rPr>
        <w:t>491</w:t>
      </w:r>
      <w:r>
        <w:t>.</w:t>
      </w:r>
      <w:r>
        <w:tab/>
        <w:t>Written</w:t>
      </w:r>
      <w:r>
        <w:noBreakHyphen/>
        <w:t>off vehicles</w:t>
      </w:r>
      <w:bookmarkEnd w:id="865"/>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866" w:name="_Toc112317557"/>
      <w:r>
        <w:rPr>
          <w:rStyle w:val="CharSectno"/>
        </w:rPr>
        <w:t>492</w:t>
      </w:r>
      <w:r>
        <w:t>.</w:t>
      </w:r>
      <w:r>
        <w:tab/>
        <w:t>RAV notices or RAV permits to have effect as orders or permits by which mass or dimension requirements modified</w:t>
      </w:r>
      <w:bookmarkEnd w:id="866"/>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lastRenderedPageBreak/>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867" w:name="_Toc112317558"/>
      <w:r>
        <w:rPr>
          <w:rStyle w:val="CharSectno"/>
        </w:rPr>
        <w:t>493</w:t>
      </w:r>
      <w:r>
        <w:t>.</w:t>
      </w:r>
      <w:r>
        <w:tab/>
        <w:t>Class 2 notices or permits to have effect as orders or permits by which access approvals given</w:t>
      </w:r>
      <w:bookmarkEnd w:id="867"/>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868" w:name="_Toc112317559"/>
      <w:r>
        <w:rPr>
          <w:rStyle w:val="CharSectno"/>
        </w:rPr>
        <w:t>494</w:t>
      </w:r>
      <w:r>
        <w:t>.</w:t>
      </w:r>
      <w:r>
        <w:tab/>
        <w:t>Accreditation</w:t>
      </w:r>
      <w:bookmarkEnd w:id="868"/>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869" w:name="_Toc112317560"/>
      <w:r>
        <w:rPr>
          <w:rStyle w:val="CharSectno"/>
        </w:rPr>
        <w:lastRenderedPageBreak/>
        <w:t>495</w:t>
      </w:r>
      <w:r>
        <w:t>.</w:t>
      </w:r>
      <w:r>
        <w:tab/>
        <w:t>Emergency vehicles, transport enforcement vehicles</w:t>
      </w:r>
      <w:bookmarkEnd w:id="869"/>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870" w:name="_Toc112317561"/>
      <w:r>
        <w:rPr>
          <w:rStyle w:val="CharSectno"/>
        </w:rPr>
        <w:t>496</w:t>
      </w:r>
      <w:r>
        <w:t>.</w:t>
      </w:r>
      <w:r>
        <w:tab/>
        <w:t>Tow truck crane certificates</w:t>
      </w:r>
      <w:bookmarkEnd w:id="870"/>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871" w:name="_Toc112317562"/>
      <w:r>
        <w:rPr>
          <w:rStyle w:val="CharSectno"/>
        </w:rPr>
        <w:t>497</w:t>
      </w:r>
      <w:r>
        <w:t>.</w:t>
      </w:r>
      <w:r>
        <w:tab/>
        <w:t>Gate to gate towing</w:t>
      </w:r>
      <w:bookmarkEnd w:id="871"/>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872" w:name="_Toc112317563"/>
      <w:r>
        <w:rPr>
          <w:rStyle w:val="CharSectno"/>
        </w:rPr>
        <w:t>498</w:t>
      </w:r>
      <w:r>
        <w:t>.</w:t>
      </w:r>
      <w:r>
        <w:tab/>
        <w:t>Approval to use oversize agricultural combinations on metropolitan roads</w:t>
      </w:r>
      <w:bookmarkEnd w:id="872"/>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873" w:name="_Toc112317564"/>
      <w:r>
        <w:rPr>
          <w:rStyle w:val="CharSectno"/>
        </w:rPr>
        <w:lastRenderedPageBreak/>
        <w:t>499</w:t>
      </w:r>
      <w:r>
        <w:t>.</w:t>
      </w:r>
      <w:r>
        <w:tab/>
        <w:t>Permissions to move excessively high agricultural combinations</w:t>
      </w:r>
      <w:bookmarkEnd w:id="873"/>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874" w:name="_Toc112317565"/>
      <w:r>
        <w:rPr>
          <w:rStyle w:val="CharSectno"/>
        </w:rPr>
        <w:t>500</w:t>
      </w:r>
      <w:r>
        <w:t>.</w:t>
      </w:r>
      <w:r>
        <w:tab/>
        <w:t>Permits to move excessively wide or long agricultural combinations</w:t>
      </w:r>
      <w:bookmarkEnd w:id="874"/>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875" w:name="_Toc112317566"/>
      <w:r>
        <w:rPr>
          <w:rStyle w:val="CharSectno"/>
        </w:rPr>
        <w:t>501</w:t>
      </w:r>
      <w:r>
        <w:t>.</w:t>
      </w:r>
      <w:r>
        <w:tab/>
        <w:t>Permits to move agricultural combinations</w:t>
      </w:r>
      <w:bookmarkEnd w:id="875"/>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876" w:name="_Toc112317567"/>
      <w:r>
        <w:rPr>
          <w:rStyle w:val="CharSectno"/>
        </w:rPr>
        <w:t>502</w:t>
      </w:r>
      <w:r>
        <w:t>.</w:t>
      </w:r>
      <w:r>
        <w:tab/>
        <w:t>Agricultural implement exemptions</w:t>
      </w:r>
      <w:bookmarkEnd w:id="876"/>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xml:space="preserve">), that was in effect immediately before commencement day must, on and from commencement day, be taken to be an exemption granted by the CEO under </w:t>
      </w:r>
      <w:r>
        <w:lastRenderedPageBreak/>
        <w:t>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877" w:name="_Toc112317568"/>
      <w:r>
        <w:rPr>
          <w:rStyle w:val="CharSectno"/>
        </w:rPr>
        <w:t>503</w:t>
      </w:r>
      <w:r>
        <w:t>.</w:t>
      </w:r>
      <w:r>
        <w:tab/>
        <w:t>SAT reviews of certain vehicle licensing decisions</w:t>
      </w:r>
      <w:bookmarkEnd w:id="877"/>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878" w:name="_Toc112317569"/>
      <w:r>
        <w:rPr>
          <w:rStyle w:val="CharSectno"/>
        </w:rPr>
        <w:lastRenderedPageBreak/>
        <w:t>504</w:t>
      </w:r>
      <w:r>
        <w:t>.</w:t>
      </w:r>
      <w:r>
        <w:tab/>
        <w:t>Ministerial exemptions</w:t>
      </w:r>
      <w:bookmarkEnd w:id="878"/>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879" w:name="_Toc112317570"/>
      <w:r>
        <w:rPr>
          <w:rStyle w:val="CharSectno"/>
        </w:rPr>
        <w:t>505</w:t>
      </w:r>
      <w:r>
        <w:t>.</w:t>
      </w:r>
      <w:r>
        <w:tab/>
        <w:t>Departmental exemptions</w:t>
      </w:r>
      <w:bookmarkEnd w:id="879"/>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 xml:space="preserve">or of these regulations that corresponds to </w:t>
      </w:r>
      <w:r>
        <w:lastRenderedPageBreak/>
        <w:t>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880" w:name="_Toc112317571"/>
      <w:r>
        <w:rPr>
          <w:rStyle w:val="CharSectno"/>
        </w:rPr>
        <w:t>506</w:t>
      </w:r>
      <w:r>
        <w:t>.</w:t>
      </w:r>
      <w:r>
        <w:tab/>
        <w:t>Magistrates Court reviews of reconsidered decisions about departmental exemptions</w:t>
      </w:r>
      <w:bookmarkEnd w:id="880"/>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881" w:name="_Toc112317572"/>
      <w:r>
        <w:rPr>
          <w:rStyle w:val="CharSectno"/>
        </w:rPr>
        <w:lastRenderedPageBreak/>
        <w:t>507</w:t>
      </w:r>
      <w:r>
        <w:t>.</w:t>
      </w:r>
      <w:r>
        <w:tab/>
        <w:t>Certain vehicle standards approvals</w:t>
      </w:r>
      <w:bookmarkEnd w:id="881"/>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882" w:name="_Toc112235973"/>
      <w:bookmarkStart w:id="883" w:name="_Toc112237755"/>
      <w:bookmarkStart w:id="884" w:name="_Toc112317573"/>
      <w:r>
        <w:rPr>
          <w:rStyle w:val="CharPartNo"/>
        </w:rPr>
        <w:lastRenderedPageBreak/>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882"/>
      <w:bookmarkEnd w:id="883"/>
      <w:bookmarkEnd w:id="884"/>
    </w:p>
    <w:p>
      <w:pPr>
        <w:pStyle w:val="Footnoteheading"/>
      </w:pPr>
      <w:r>
        <w:tab/>
        <w:t>[Heading inserted: Gazette 17 May 2016 p. 1440.]</w:t>
      </w:r>
    </w:p>
    <w:p>
      <w:pPr>
        <w:pStyle w:val="Heading5"/>
      </w:pPr>
      <w:bookmarkStart w:id="885" w:name="_Toc112317574"/>
      <w:r>
        <w:rPr>
          <w:rStyle w:val="CharSectno"/>
        </w:rPr>
        <w:t>508</w:t>
      </w:r>
      <w:r>
        <w:t>.</w:t>
      </w:r>
      <w:r>
        <w:tab/>
        <w:t>Recording fees</w:t>
      </w:r>
      <w:bookmarkEnd w:id="885"/>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Heading2"/>
        <w:rPr>
          <w:i/>
        </w:rPr>
      </w:pPr>
      <w:bookmarkStart w:id="886" w:name="_Toc110511836"/>
      <w:bookmarkStart w:id="887" w:name="_Toc110513660"/>
      <w:bookmarkStart w:id="888" w:name="_Toc110514826"/>
      <w:bookmarkStart w:id="889" w:name="_Toc110586393"/>
      <w:bookmarkStart w:id="890" w:name="_Toc110601619"/>
      <w:bookmarkStart w:id="891" w:name="_Toc112157309"/>
      <w:bookmarkStart w:id="892" w:name="_Toc112237757"/>
      <w:bookmarkStart w:id="893" w:name="_Toc112317575"/>
      <w:r>
        <w:rPr>
          <w:rStyle w:val="CharPartNo"/>
        </w:rPr>
        <w:lastRenderedPageBreak/>
        <w:t>Part 18</w:t>
      </w:r>
      <w:r>
        <w:t> — </w:t>
      </w:r>
      <w:r>
        <w:rPr>
          <w:rStyle w:val="CharPartText"/>
        </w:rPr>
        <w:t xml:space="preserve">Transitional provision relating to </w:t>
      </w:r>
      <w:r>
        <w:rPr>
          <w:rStyle w:val="CharPartText"/>
          <w:i/>
        </w:rPr>
        <w:t>Road Traffic (Vehicles) Amendment Regulations (No. 4) 2022</w:t>
      </w:r>
      <w:bookmarkEnd w:id="886"/>
      <w:bookmarkEnd w:id="887"/>
      <w:bookmarkEnd w:id="888"/>
      <w:bookmarkEnd w:id="889"/>
      <w:bookmarkEnd w:id="890"/>
      <w:bookmarkEnd w:id="891"/>
      <w:bookmarkEnd w:id="892"/>
      <w:bookmarkEnd w:id="893"/>
    </w:p>
    <w:p>
      <w:pPr>
        <w:pStyle w:val="Footnoteheading"/>
      </w:pPr>
      <w:r>
        <w:tab/>
        <w:t>[Heading inserted: SL 2022/149 r. 12.]</w:t>
      </w:r>
    </w:p>
    <w:p>
      <w:pPr>
        <w:pStyle w:val="Heading5"/>
      </w:pPr>
      <w:bookmarkStart w:id="894" w:name="_Toc110601620"/>
      <w:bookmarkStart w:id="895" w:name="_Toc112157310"/>
      <w:bookmarkStart w:id="896" w:name="_Toc112317576"/>
      <w:r>
        <w:rPr>
          <w:rStyle w:val="CharSectno"/>
        </w:rPr>
        <w:t>509</w:t>
      </w:r>
      <w:r>
        <w:t>.</w:t>
      </w:r>
      <w:r>
        <w:tab/>
        <w:t>Renewal by direct debit</w:t>
      </w:r>
      <w:bookmarkEnd w:id="894"/>
      <w:bookmarkEnd w:id="895"/>
      <w:bookmarkEnd w:id="896"/>
    </w:p>
    <w:p>
      <w:pPr>
        <w:pStyle w:val="Subsection"/>
      </w:pPr>
      <w:r>
        <w:tab/>
      </w:r>
      <w:r>
        <w:tab/>
        <w:t xml:space="preserve">The amendments to these regulations made by the </w:t>
      </w:r>
      <w:r>
        <w:rPr>
          <w:i/>
        </w:rPr>
        <w:t xml:space="preserve">Road Traffic (Vehicles) Amendment Regulations (No. 4) 2022 </w:t>
      </w:r>
      <w:r>
        <w:t>regulations 6, 7 and 10 do not apply in relation to a renewal of a vehicle licence, or the application for the renewal, if the application is made before 27 September 2022.</w:t>
      </w:r>
    </w:p>
    <w:p>
      <w:pPr>
        <w:pStyle w:val="Footnotesection"/>
      </w:pPr>
      <w:r>
        <w:tab/>
        <w:t>[Regulation 509 inserted: SL 2022/149 r. 12.]</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60"/>
          <w:headerReference w:type="default" r:id="rId61"/>
          <w:headerReference w:type="first" r:id="rId62"/>
          <w:pgSz w:w="11907" w:h="16840" w:code="9"/>
          <w:pgMar w:top="2376" w:right="2405" w:bottom="3542" w:left="2405" w:header="706" w:footer="3380" w:gutter="0"/>
          <w:pgNumType w:start="1"/>
          <w:cols w:space="720"/>
          <w:noEndnote/>
          <w:titlePg/>
          <w:docGrid w:linePitch="326"/>
        </w:sectPr>
      </w:pPr>
    </w:p>
    <w:p>
      <w:pPr>
        <w:pStyle w:val="nHeading2"/>
      </w:pPr>
      <w:bookmarkStart w:id="897" w:name="_Toc112235975"/>
      <w:bookmarkStart w:id="898" w:name="_Toc112237759"/>
      <w:bookmarkStart w:id="899" w:name="_Toc112317577"/>
      <w:r>
        <w:lastRenderedPageBreak/>
        <w:t>Notes</w:t>
      </w:r>
      <w:bookmarkEnd w:id="897"/>
      <w:bookmarkEnd w:id="898"/>
      <w:bookmarkEnd w:id="899"/>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w:t>
      </w:r>
    </w:p>
    <w:p>
      <w:pPr>
        <w:pStyle w:val="nHeading3"/>
      </w:pPr>
      <w:bookmarkStart w:id="900" w:name="_Toc112317578"/>
      <w:r>
        <w:t>Compilation table</w:t>
      </w:r>
      <w:bookmarkEnd w:id="90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lastRenderedPageBreak/>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lastRenderedPageBreak/>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nil"/>
              <w:right w:val="nil"/>
            </w:tcBorders>
            <w:shd w:val="clear" w:color="auto" w:fill="auto"/>
          </w:tcPr>
          <w:p>
            <w:pPr>
              <w:pStyle w:val="nTable"/>
              <w:spacing w:after="40"/>
            </w:pPr>
            <w:r>
              <w:t>SL 2021/206 3 Dec 2021</w:t>
            </w:r>
          </w:p>
        </w:tc>
        <w:tc>
          <w:tcPr>
            <w:tcW w:w="2693" w:type="dxa"/>
            <w:tcBorders>
              <w:top w:val="nil"/>
              <w:left w:val="nil"/>
              <w:bottom w:val="nil"/>
            </w:tcBorders>
            <w:shd w:val="clear" w:color="auto" w:fill="auto"/>
          </w:tcPr>
          <w:p>
            <w:pPr>
              <w:pStyle w:val="nTable"/>
              <w:spacing w:after="40"/>
            </w:pPr>
            <w:r>
              <w:t>r. 1 and 2: 3 Dec 2021 (see r. 2(a));</w:t>
            </w:r>
            <w:r>
              <w:br/>
              <w:t>Regulations other than r. 1 and 2: 4 Dec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2022</w:t>
            </w:r>
          </w:p>
        </w:tc>
        <w:tc>
          <w:tcPr>
            <w:tcW w:w="1276" w:type="dxa"/>
            <w:tcBorders>
              <w:top w:val="nil"/>
              <w:left w:val="nil"/>
              <w:bottom w:val="nil"/>
              <w:right w:val="nil"/>
            </w:tcBorders>
            <w:shd w:val="clear" w:color="auto" w:fill="auto"/>
          </w:tcPr>
          <w:p>
            <w:pPr>
              <w:pStyle w:val="nTable"/>
              <w:spacing w:after="40"/>
            </w:pPr>
            <w:r>
              <w:t>SL 2022/16 25 Feb 2022</w:t>
            </w:r>
          </w:p>
        </w:tc>
        <w:tc>
          <w:tcPr>
            <w:tcW w:w="2693" w:type="dxa"/>
            <w:tcBorders>
              <w:top w:val="nil"/>
              <w:left w:val="nil"/>
              <w:bottom w:val="nil"/>
            </w:tcBorders>
            <w:shd w:val="clear" w:color="auto" w:fill="auto"/>
          </w:tcPr>
          <w:p>
            <w:pPr>
              <w:pStyle w:val="nTable"/>
              <w:spacing w:after="40"/>
            </w:pPr>
            <w:r>
              <w:t>r. 1 and 2: 25 Feb 2022 (see r. 2(a));</w:t>
            </w:r>
            <w:r>
              <w:br/>
              <w:t>Regulations other than r. 1 and 2: 26 Feb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(Work Health and Safety) Regulations 2022</w:t>
            </w:r>
            <w:r>
              <w:t xml:space="preserve"> Pt. 3</w:t>
            </w:r>
          </w:p>
        </w:tc>
        <w:tc>
          <w:tcPr>
            <w:tcW w:w="1276" w:type="dxa"/>
            <w:tcBorders>
              <w:top w:val="nil"/>
              <w:left w:val="nil"/>
              <w:bottom w:val="nil"/>
              <w:right w:val="nil"/>
            </w:tcBorders>
            <w:shd w:val="clear" w:color="auto" w:fill="auto"/>
          </w:tcPr>
          <w:p>
            <w:pPr>
              <w:pStyle w:val="nTable"/>
              <w:spacing w:after="40"/>
            </w:pPr>
            <w:r>
              <w:t>SL 2022/23 11 Mar 2022</w:t>
            </w:r>
          </w:p>
        </w:tc>
        <w:tc>
          <w:tcPr>
            <w:tcW w:w="2693" w:type="dxa"/>
            <w:tcBorders>
              <w:top w:val="nil"/>
              <w:left w:val="nil"/>
              <w:bottom w:val="nil"/>
            </w:tcBorders>
            <w:shd w:val="clear" w:color="auto" w:fill="auto"/>
          </w:tcPr>
          <w:p>
            <w:pPr>
              <w:pStyle w:val="nTable"/>
              <w:spacing w:after="40"/>
            </w:pPr>
            <w:r>
              <w:t>31 Mar 2022 (see r. 2(b) and SL 2022/18 cl. 2)</w:t>
            </w:r>
            <w:r>
              <w:rPr>
                <w:highlight w:val="yellow"/>
              </w:rPr>
              <w:t xml:space="preserve"> </w:t>
            </w:r>
          </w:p>
        </w:tc>
      </w:tr>
      <w:tr>
        <w:trPr>
          <w:cantSplit/>
        </w:trPr>
        <w:tc>
          <w:tcPr>
            <w:tcW w:w="3118" w:type="dxa"/>
            <w:tcBorders>
              <w:top w:val="nil"/>
              <w:bottom w:val="nil"/>
              <w:right w:val="nil"/>
            </w:tcBorders>
            <w:shd w:val="clear" w:color="auto" w:fill="auto"/>
          </w:tcPr>
          <w:p>
            <w:pPr>
              <w:pStyle w:val="nTable"/>
              <w:spacing w:after="40"/>
              <w:rPr>
                <w:i/>
              </w:rPr>
            </w:pPr>
            <w:r>
              <w:rPr>
                <w:i/>
              </w:rPr>
              <w:lastRenderedPageBreak/>
              <w:t>Road Traffic (Vehicles) Amendment Regulations (No. 3) 2022</w:t>
            </w:r>
            <w:r>
              <w:rPr>
                <w:vertAlign w:val="superscript"/>
              </w:rPr>
              <w:t> 10</w:t>
            </w:r>
          </w:p>
        </w:tc>
        <w:tc>
          <w:tcPr>
            <w:tcW w:w="1276" w:type="dxa"/>
            <w:tcBorders>
              <w:top w:val="nil"/>
              <w:left w:val="nil"/>
              <w:bottom w:val="nil"/>
              <w:right w:val="nil"/>
            </w:tcBorders>
            <w:shd w:val="clear" w:color="auto" w:fill="auto"/>
          </w:tcPr>
          <w:p>
            <w:pPr>
              <w:pStyle w:val="nTable"/>
              <w:spacing w:after="40"/>
            </w:pPr>
            <w:r>
              <w:t>SL 2022/57 20 May 2022</w:t>
            </w:r>
          </w:p>
        </w:tc>
        <w:tc>
          <w:tcPr>
            <w:tcW w:w="2693" w:type="dxa"/>
            <w:tcBorders>
              <w:top w:val="nil"/>
              <w:left w:val="nil"/>
              <w:bottom w:val="nil"/>
            </w:tcBorders>
            <w:shd w:val="clear" w:color="auto" w:fill="auto"/>
          </w:tcPr>
          <w:p>
            <w:pPr>
              <w:pStyle w:val="nTable"/>
              <w:spacing w:after="40"/>
            </w:pPr>
            <w:r>
              <w:t>r. 1 and 2: 20 May 2022 (see r. 2(a));</w:t>
            </w:r>
            <w:r>
              <w:br/>
              <w:t>Regulations other than r. 1 and 2: 21 May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2022</w:t>
            </w:r>
            <w:r>
              <w:t xml:space="preserve"> Pt. 5</w:t>
            </w:r>
          </w:p>
        </w:tc>
        <w:tc>
          <w:tcPr>
            <w:tcW w:w="1276" w:type="dxa"/>
            <w:tcBorders>
              <w:top w:val="nil"/>
              <w:left w:val="nil"/>
              <w:bottom w:val="nil"/>
              <w:right w:val="nil"/>
            </w:tcBorders>
            <w:shd w:val="clear" w:color="auto" w:fill="auto"/>
          </w:tcPr>
          <w:p>
            <w:pPr>
              <w:pStyle w:val="nTable"/>
              <w:spacing w:after="40"/>
            </w:pPr>
            <w:r>
              <w:t>SL 2022/67 3 Jun 2022</w:t>
            </w:r>
          </w:p>
        </w:tc>
        <w:tc>
          <w:tcPr>
            <w:tcW w:w="2693" w:type="dxa"/>
            <w:tcBorders>
              <w:top w:val="nil"/>
              <w:left w:val="nil"/>
              <w:bottom w:val="nil"/>
            </w:tcBorders>
            <w:shd w:val="clear" w:color="auto" w:fill="auto"/>
          </w:tcPr>
          <w:p>
            <w:pPr>
              <w:pStyle w:val="nTable"/>
              <w:spacing w:after="40"/>
            </w:pPr>
            <w:r>
              <w:t>1 Jul 2022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5) 2022</w:t>
            </w:r>
          </w:p>
        </w:tc>
        <w:tc>
          <w:tcPr>
            <w:tcW w:w="1276" w:type="dxa"/>
            <w:tcBorders>
              <w:top w:val="nil"/>
              <w:left w:val="nil"/>
              <w:bottom w:val="nil"/>
              <w:right w:val="nil"/>
            </w:tcBorders>
            <w:shd w:val="clear" w:color="auto" w:fill="auto"/>
          </w:tcPr>
          <w:p>
            <w:pPr>
              <w:pStyle w:val="nTable"/>
              <w:spacing w:after="40"/>
            </w:pPr>
            <w:r>
              <w:t>SL 2022/130 5 Jul 2022</w:t>
            </w:r>
          </w:p>
        </w:tc>
        <w:tc>
          <w:tcPr>
            <w:tcW w:w="2693" w:type="dxa"/>
            <w:tcBorders>
              <w:top w:val="nil"/>
              <w:left w:val="nil"/>
              <w:bottom w:val="nil"/>
            </w:tcBorders>
            <w:shd w:val="clear" w:color="auto" w:fill="auto"/>
          </w:tcPr>
          <w:p>
            <w:pPr>
              <w:pStyle w:val="nTable"/>
              <w:spacing w:after="40"/>
            </w:pPr>
            <w:r>
              <w:t>r. 1 and 2: 5 Jul 2022 (see r. 2(a));</w:t>
            </w:r>
            <w:r>
              <w:br/>
              <w:t>Regulations other than r. 1 and 2: 6 Jul 2022 (see r. 2(b))</w:t>
            </w:r>
          </w:p>
        </w:tc>
      </w:tr>
      <w:tr>
        <w:trPr>
          <w:cantSplit/>
        </w:trPr>
        <w:tc>
          <w:tcPr>
            <w:tcW w:w="3118" w:type="dxa"/>
            <w:tcBorders>
              <w:top w:val="nil"/>
              <w:bottom w:val="single" w:sz="4" w:space="0" w:color="auto"/>
              <w:right w:val="nil"/>
            </w:tcBorders>
            <w:shd w:val="clear" w:color="auto" w:fill="auto"/>
          </w:tcPr>
          <w:p>
            <w:pPr>
              <w:pStyle w:val="nTable"/>
              <w:spacing w:after="40"/>
              <w:rPr>
                <w:i/>
              </w:rPr>
            </w:pPr>
            <w:r>
              <w:rPr>
                <w:i/>
              </w:rPr>
              <w:t>Road Traffic (Vehicles) Amendment Regulations (No. 4) 2022</w:t>
            </w:r>
            <w:r>
              <w:rPr>
                <w:vertAlign w:val="superscript"/>
              </w:rPr>
              <w:t> 11</w:t>
            </w:r>
          </w:p>
        </w:tc>
        <w:tc>
          <w:tcPr>
            <w:tcW w:w="1276" w:type="dxa"/>
            <w:tcBorders>
              <w:top w:val="nil"/>
              <w:left w:val="nil"/>
              <w:bottom w:val="single" w:sz="4" w:space="0" w:color="auto"/>
              <w:right w:val="nil"/>
            </w:tcBorders>
            <w:shd w:val="clear" w:color="auto" w:fill="auto"/>
          </w:tcPr>
          <w:p>
            <w:pPr>
              <w:pStyle w:val="nTable"/>
              <w:spacing w:after="40"/>
            </w:pPr>
            <w:r>
              <w:t>SL 2022/149 26 Aug 2022</w:t>
            </w:r>
          </w:p>
        </w:tc>
        <w:tc>
          <w:tcPr>
            <w:tcW w:w="2693" w:type="dxa"/>
            <w:tcBorders>
              <w:top w:val="nil"/>
              <w:left w:val="nil"/>
              <w:bottom w:val="single" w:sz="4" w:space="0" w:color="auto"/>
            </w:tcBorders>
            <w:shd w:val="clear" w:color="auto" w:fill="auto"/>
          </w:tcPr>
          <w:p>
            <w:pPr>
              <w:pStyle w:val="nTable"/>
              <w:spacing w:after="40"/>
            </w:pPr>
            <w:r>
              <w:t>r. 1 and 2: 26 Aug 2022 (see r. 2(a));</w:t>
            </w:r>
            <w:r>
              <w:br/>
              <w:t>Regulations other than r. 1 and 2: 27 Aug 2022 (see r. 2(b))</w:t>
            </w:r>
          </w:p>
        </w:tc>
      </w:tr>
    </w:tbl>
    <w:p>
      <w:pPr>
        <w:pStyle w:val="nHeading3"/>
      </w:pPr>
      <w:bookmarkStart w:id="901" w:name="_Toc112317579"/>
      <w:r>
        <w:t>Other notes</w:t>
      </w:r>
      <w:bookmarkEnd w:id="901"/>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lastRenderedPageBreak/>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Open"/>
      </w:pPr>
    </w:p>
    <w:p>
      <w:pPr>
        <w:pStyle w:val="nzHeading5"/>
        <w:rPr>
          <w:snapToGrid w:val="0"/>
        </w:rPr>
      </w:pPr>
      <w:r>
        <w:rPr>
          <w:rStyle w:val="CharSectno"/>
        </w:rPr>
        <w:t>6</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Open"/>
      </w:pPr>
    </w:p>
    <w:p>
      <w:pPr>
        <w:pStyle w:val="nzHeading5"/>
        <w:rPr>
          <w:snapToGrid w:val="0"/>
        </w:rPr>
      </w:pPr>
      <w:r>
        <w:rPr>
          <w:rStyle w:val="CharSectno"/>
        </w:rPr>
        <w:t>4</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lastRenderedPageBreak/>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Pr>
        <w:pStyle w:val="nNote"/>
      </w:pPr>
      <w:r>
        <w:rPr>
          <w:vertAlign w:val="superscript"/>
        </w:rPr>
        <w:t>10</w:t>
      </w:r>
      <w:r>
        <w:rPr>
          <w:vertAlign w:val="superscript"/>
        </w:rPr>
        <w:tab/>
      </w:r>
      <w:r>
        <w:t xml:space="preserve">The </w:t>
      </w:r>
      <w:r>
        <w:rPr>
          <w:i/>
        </w:rPr>
        <w:t>Road Traffic (Vehicles) Amendment Regulations (No. 3)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these regulations is 1 July 2022.</w:t>
      </w:r>
    </w:p>
    <w:p>
      <w:pPr>
        <w:pStyle w:val="BlankClose"/>
      </w:pPr>
    </w:p>
    <w:p>
      <w:pPr>
        <w:pStyle w:val="nNote"/>
      </w:pPr>
      <w:r>
        <w:rPr>
          <w:vertAlign w:val="superscript"/>
        </w:rPr>
        <w:t>11</w:t>
      </w:r>
      <w:r>
        <w:rPr>
          <w:vertAlign w:val="superscript"/>
        </w:rPr>
        <w:tab/>
      </w:r>
      <w:r>
        <w:t xml:space="preserve">The </w:t>
      </w:r>
      <w:r>
        <w:rPr>
          <w:i/>
        </w:rPr>
        <w:t>Road Traffic (Vehicles) Amendment Regulations (No. 4)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regulations 8 and 9 is 27 September 2022.</w:t>
      </w:r>
    </w:p>
    <w:p>
      <w:pPr>
        <w:pStyle w:val="BlankClose"/>
      </w:pPr>
    </w:p>
    <w:p>
      <w:pPr>
        <w:sectPr>
          <w:headerReference w:type="even" r:id="rId63"/>
          <w:headerReference w:type="default" r:id="rId64"/>
          <w:pgSz w:w="11907" w:h="16840" w:code="9"/>
          <w:pgMar w:top="2376" w:right="2404" w:bottom="3544" w:left="2404" w:header="720" w:footer="3380" w:gutter="0"/>
          <w:cols w:space="720"/>
          <w:noEndnote/>
          <w:docGrid w:linePitch="326"/>
        </w:sectPr>
      </w:pPr>
    </w:p>
    <w:p>
      <w:pPr>
        <w:pStyle w:val="nHeading2"/>
        <w:rPr>
          <w:sz w:val="28"/>
        </w:rPr>
      </w:pPr>
      <w:bookmarkStart w:id="903" w:name="_Toc112317580"/>
      <w:r>
        <w:rPr>
          <w:sz w:val="28"/>
        </w:rPr>
        <w:lastRenderedPageBreak/>
        <w:t>Defined terms</w:t>
      </w:r>
      <w:bookmarkEnd w:id="9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3, 226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Airservices Australia</w:t>
      </w:r>
      <w:r>
        <w:tab/>
        <w:t>3</w:t>
      </w:r>
    </w:p>
    <w:p>
      <w:pPr>
        <w:pStyle w:val="DefinedTerms"/>
      </w:pPr>
      <w:r>
        <w:t>Airservices Australia vehicle</w:t>
      </w:r>
      <w:r>
        <w:tab/>
        <w:t>3</w:t>
      </w:r>
    </w:p>
    <w:p>
      <w:pPr>
        <w:pStyle w:val="DefinedTerms"/>
      </w:pPr>
      <w:r>
        <w:t>air storage tank</w:t>
      </w:r>
      <w:r>
        <w:tab/>
        <w:t>3</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approved motoring organisation</w:t>
      </w:r>
      <w:r>
        <w:tab/>
        <w:t>84A(1)</w:t>
      </w:r>
    </w:p>
    <w:p>
      <w:pPr>
        <w:pStyle w:val="DefinedTerms"/>
      </w:pPr>
      <w:r>
        <w:t>articulated bus</w:t>
      </w:r>
      <w:r>
        <w:tab/>
        <w:t>3</w:t>
      </w:r>
    </w:p>
    <w:p>
      <w:pPr>
        <w:pStyle w:val="DefinedTerms"/>
      </w:pPr>
      <w:r>
        <w:t>articulated vehicle</w:t>
      </w:r>
      <w:r>
        <w:tab/>
        <w:t>418(1)</w:t>
      </w:r>
    </w:p>
    <w:p>
      <w:pPr>
        <w:pStyle w:val="DefinedTerms"/>
      </w:pPr>
      <w:r>
        <w:t>AS</w:t>
      </w:r>
      <w:r>
        <w:tab/>
        <w:t>3</w:t>
      </w:r>
    </w:p>
    <w:p>
      <w:pPr>
        <w:pStyle w:val="DefinedTerms"/>
      </w:pPr>
      <w:r>
        <w:t>assessor</w:t>
      </w:r>
      <w:r>
        <w:tab/>
        <w:t>146</w:t>
      </w:r>
    </w:p>
    <w:p>
      <w:pPr>
        <w:pStyle w:val="DefinedTerms"/>
      </w:pPr>
      <w:r>
        <w:t>Australian Border Force</w:t>
      </w:r>
      <w:r>
        <w:tab/>
        <w:t>3</w:t>
      </w:r>
    </w:p>
    <w:p>
      <w:pPr>
        <w:pStyle w:val="DefinedTerms"/>
      </w:pPr>
      <w:r>
        <w:t>Australian Border Force vehicle</w:t>
      </w:r>
      <w:r>
        <w:tab/>
        <w:t>3</w:t>
      </w:r>
    </w:p>
    <w:p>
      <w:pPr>
        <w:pStyle w:val="DefinedTerms"/>
      </w:pPr>
      <w:r>
        <w:t>Australian Design Rule</w:t>
      </w:r>
      <w:r>
        <w:tab/>
        <w:t>3, 226</w:t>
      </w:r>
    </w:p>
    <w:p>
      <w:pPr>
        <w:pStyle w:val="DefinedTerms"/>
      </w:pPr>
      <w:r>
        <w:t>Australian Standard</w:t>
      </w:r>
      <w:r>
        <w:tab/>
        <w:t>3</w:t>
      </w:r>
    </w:p>
    <w:p>
      <w:pPr>
        <w:pStyle w:val="DefinedTerms"/>
      </w:pPr>
      <w:r>
        <w:t>authorised on-demand rank or hail vehicle</w:t>
      </w:r>
      <w:r>
        <w:tab/>
        <w:t>109</w:t>
      </w:r>
    </w:p>
    <w:p>
      <w:pPr>
        <w:pStyle w:val="DefinedTerms"/>
      </w:pPr>
      <w:r>
        <w:t>authorised passenger transport vehicle</w:t>
      </w:r>
      <w:r>
        <w:tab/>
        <w:t>109</w:t>
      </w:r>
    </w:p>
    <w:p>
      <w:pPr>
        <w:pStyle w:val="DefinedTerms"/>
      </w:pPr>
      <w:r>
        <w:t>B-double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lastRenderedPageBreak/>
        <w:t>British Standard</w:t>
      </w:r>
      <w:r>
        <w:tab/>
        <w:t>226</w:t>
      </w:r>
    </w:p>
    <w:p>
      <w:pPr>
        <w:pStyle w:val="DefinedTerms"/>
      </w:pPr>
      <w:r>
        <w:t>built-up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car-type vehicle</w:t>
      </w:r>
      <w:r>
        <w:tab/>
        <w:t>359(1)</w:t>
      </w:r>
    </w:p>
    <w:p>
      <w:pPr>
        <w:pStyle w:val="DefinedTerms"/>
      </w:pPr>
      <w:r>
        <w:t>centre line</w:t>
      </w:r>
      <w:r>
        <w:tab/>
        <w:t>3, 3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certified to ADR 83/00</w:t>
      </w:r>
      <w:r>
        <w:tab/>
        <w:t>357A</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classic vehicle</w:t>
      </w:r>
      <w:r>
        <w:tab/>
        <w:t>84A(1)</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Commission</w:t>
      </w:r>
      <w:r>
        <w:tab/>
        <w:t>357(1)</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compressed air reserve</w:t>
      </w:r>
      <w:r>
        <w:tab/>
        <w:t>334(1A)</w:t>
      </w:r>
    </w:p>
    <w:p>
      <w:pPr>
        <w:pStyle w:val="DefinedTerms"/>
      </w:pPr>
      <w:r>
        <w:t>condensate drain valve</w:t>
      </w:r>
      <w:r>
        <w:tab/>
        <w:t>334(1A)</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diesel engine</w:t>
      </w:r>
      <w:r>
        <w:tab/>
        <w:t>3</w:t>
      </w:r>
    </w:p>
    <w:p>
      <w:pPr>
        <w:pStyle w:val="DefinedTerms"/>
      </w:pPr>
      <w:r>
        <w:t>direct debit agreement</w:t>
      </w:r>
      <w:r>
        <w:tab/>
        <w:t>31A(1)</w:t>
      </w:r>
    </w:p>
    <w:p>
      <w:pPr>
        <w:pStyle w:val="DefinedTerms"/>
      </w:pPr>
      <w:r>
        <w:t>direction indicator light</w:t>
      </w:r>
      <w:r>
        <w:tab/>
        <w:t>312(1), 313(1)</w:t>
      </w:r>
    </w:p>
    <w:p>
      <w:pPr>
        <w:pStyle w:val="DefinedTerms"/>
      </w:pPr>
      <w:r>
        <w:t>discount period</w:t>
      </w:r>
      <w:r>
        <w:tab/>
        <w:t>84A(1)</w:t>
      </w:r>
    </w:p>
    <w:p>
      <w:pPr>
        <w:pStyle w:val="DefinedTerms"/>
      </w:pPr>
      <w:r>
        <w:t>dog trailer</w:t>
      </w:r>
      <w:r>
        <w:tab/>
        <w:t>3</w:t>
      </w:r>
    </w:p>
    <w:p>
      <w:pPr>
        <w:pStyle w:val="DefinedTerms"/>
      </w:pPr>
      <w:r>
        <w:lastRenderedPageBreak/>
        <w:t>drawbar</w:t>
      </w:r>
      <w:r>
        <w:tab/>
        <w:t>3</w:t>
      </w:r>
    </w:p>
    <w:p>
      <w:pPr>
        <w:pStyle w:val="DefinedTerms"/>
      </w:pPr>
      <w:r>
        <w:t>driver’s licence</w:t>
      </w:r>
      <w:r>
        <w:tab/>
        <w:t>454A</w:t>
      </w:r>
    </w:p>
    <w:p>
      <w:pPr>
        <w:pStyle w:val="DefinedTerms"/>
      </w:pPr>
      <w:r>
        <w:t>electric rideable device</w:t>
      </w:r>
      <w:r>
        <w:tab/>
        <w:t>3</w:t>
      </w:r>
    </w:p>
    <w:p>
      <w:pPr>
        <w:pStyle w:val="DefinedTerms"/>
      </w:pPr>
      <w:r>
        <w:t>eligible vehicle</w:t>
      </w:r>
      <w:r>
        <w:tab/>
        <w:t>109</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financial member</w:t>
      </w:r>
      <w:r>
        <w:tab/>
        <w:t>84A(1)</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governor cut-out pressure</w:t>
      </w:r>
      <w:r>
        <w:tab/>
        <w:t>334(1A)</w:t>
      </w:r>
    </w:p>
    <w:p>
      <w:pPr>
        <w:pStyle w:val="DefinedTerms"/>
      </w:pPr>
      <w:r>
        <w:t>gross trailer mass</w:t>
      </w:r>
      <w:r>
        <w:tab/>
        <w:t>3</w:t>
      </w:r>
    </w:p>
    <w:p>
      <w:pPr>
        <w:pStyle w:val="DefinedTerms"/>
      </w:pPr>
      <w:r>
        <w:t>ground clearance</w:t>
      </w:r>
      <w:r>
        <w:tab/>
        <w:t>178(1)</w:t>
      </w:r>
    </w:p>
    <w:p>
      <w:pPr>
        <w:pStyle w:val="DefinedTerms"/>
      </w:pPr>
      <w:r>
        <w:t>GTM</w:t>
      </w:r>
      <w:r>
        <w:tab/>
        <w:t>3</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high-beam</w:t>
      </w:r>
      <w:r>
        <w:tab/>
        <w:t>3</w:t>
      </w:r>
    </w:p>
    <w:p>
      <w:pPr>
        <w:pStyle w:val="DefinedTerms"/>
      </w:pPr>
      <w:r>
        <w:t>holder</w:t>
      </w:r>
      <w:r>
        <w:tab/>
        <w:t>138</w:t>
      </w:r>
    </w:p>
    <w:p>
      <w:pPr>
        <w:pStyle w:val="DefinedTerms"/>
      </w:pPr>
      <w:r>
        <w:t>HVNL</w:t>
      </w:r>
      <w:r>
        <w:tab/>
        <w:t>224(1)</w:t>
      </w:r>
    </w:p>
    <w:p>
      <w:pPr>
        <w:pStyle w:val="DefinedTerms"/>
      </w:pPr>
      <w:r>
        <w:t>identifier</w:t>
      </w:r>
      <w:r>
        <w:tab/>
        <w:t>3</w:t>
      </w:r>
    </w:p>
    <w:p>
      <w:pPr>
        <w:pStyle w:val="DefinedTerms"/>
      </w:pPr>
      <w:r>
        <w:t>ID prevention state</w:t>
      </w:r>
      <w:r>
        <w:tab/>
        <w:t>120(1)</w:t>
      </w:r>
    </w:p>
    <w:p>
      <w:pPr>
        <w:pStyle w:val="DefinedTerms"/>
      </w:pPr>
      <w:r>
        <w:t>imitation plate</w:t>
      </w:r>
      <w:r>
        <w:tab/>
        <w:t>109</w:t>
      </w:r>
    </w:p>
    <w:p>
      <w:pPr>
        <w:pStyle w:val="DefinedTerms"/>
      </w:pPr>
      <w:r>
        <w:t>Immigration and Border Protection worker</w:t>
      </w:r>
      <w:r>
        <w:tab/>
        <w:t>3</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lastRenderedPageBreak/>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loaded mass</w:t>
      </w:r>
      <w:r>
        <w:tab/>
        <w:t>3</w:t>
      </w:r>
    </w:p>
    <w:p>
      <w:pPr>
        <w:pStyle w:val="DefinedTerms"/>
      </w:pPr>
      <w:r>
        <w:t>Load Restraint Guide</w:t>
      </w:r>
      <w:r>
        <w:tab/>
        <w:t>187(1)</w:t>
      </w:r>
    </w:p>
    <w:p>
      <w:pPr>
        <w:pStyle w:val="DefinedTerms"/>
      </w:pPr>
      <w:r>
        <w:t>load-sharing suspension system</w:t>
      </w:r>
      <w:r>
        <w:tab/>
        <w:t>3</w:t>
      </w:r>
    </w:p>
    <w:p>
      <w:pPr>
        <w:pStyle w:val="DefinedTerms"/>
      </w:pPr>
      <w:r>
        <w:t>low-beam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motoring event</w:t>
      </w:r>
      <w:r>
        <w:tab/>
        <w:t>84A(1)</w:t>
      </w:r>
    </w:p>
    <w:p>
      <w:pPr>
        <w:pStyle w:val="DefinedTerms"/>
      </w:pPr>
      <w:r>
        <w:t>motorised scooter</w:t>
      </w:r>
      <w:r>
        <w:tab/>
        <w:t>3</w:t>
      </w:r>
    </w:p>
    <w:p>
      <w:pPr>
        <w:pStyle w:val="DefinedTerms"/>
      </w:pPr>
      <w:r>
        <w:t>motorised wheelchair</w:t>
      </w:r>
      <w:r>
        <w:tab/>
        <w:t>3</w:t>
      </w:r>
    </w:p>
    <w:p>
      <w:pPr>
        <w:pStyle w:val="DefinedTerms"/>
      </w:pPr>
      <w:r>
        <w:t>motor tricycle</w:t>
      </w:r>
      <w:r>
        <w:tab/>
        <w:t>3</w:t>
      </w:r>
    </w:p>
    <w:p>
      <w:pPr>
        <w:pStyle w:val="DefinedTerms"/>
      </w:pPr>
      <w:r>
        <w:t>motor vehicle</w:t>
      </w:r>
      <w:r>
        <w:tab/>
        <w:t>3, 167(1), 168(1), 244(1)</w:t>
      </w:r>
    </w:p>
    <w:p>
      <w:pPr>
        <w:pStyle w:val="DefinedTerms"/>
      </w:pPr>
      <w:r>
        <w:t>MRC</w:t>
      </w:r>
      <w:r>
        <w:tab/>
        <w:t>3</w:t>
      </w:r>
    </w:p>
    <w:p>
      <w:pPr>
        <w:pStyle w:val="DefinedTerms"/>
      </w:pPr>
      <w:r>
        <w:t>mudguard</w:t>
      </w:r>
      <w:r>
        <w:tab/>
        <w:t>3</w:t>
      </w:r>
    </w:p>
    <w:p>
      <w:pPr>
        <w:pStyle w:val="DefinedTerms"/>
      </w:pPr>
      <w:r>
        <w:t>name plate</w:t>
      </w:r>
      <w:r>
        <w:tab/>
        <w:t>109</w:t>
      </w:r>
    </w:p>
    <w:p>
      <w:pPr>
        <w:pStyle w:val="DefinedTerms"/>
      </w:pPr>
      <w:r>
        <w:t>nearer side of the vehicle</w:t>
      </w:r>
      <w:r>
        <w:tab/>
        <w:t>3</w:t>
      </w:r>
    </w:p>
    <w:p>
      <w:pPr>
        <w:pStyle w:val="DefinedTerms"/>
      </w:pPr>
      <w:r>
        <w:t>new owner</w:t>
      </w:r>
      <w:r>
        <w:tab/>
        <w:t>51(1)</w:t>
      </w:r>
    </w:p>
    <w:p>
      <w:pPr>
        <w:pStyle w:val="DefinedTerms"/>
      </w:pPr>
      <w:r>
        <w:t>notifiable</w:t>
      </w:r>
      <w:r>
        <w:tab/>
        <w:t>146</w:t>
      </w:r>
    </w:p>
    <w:p>
      <w:pPr>
        <w:pStyle w:val="DefinedTerms"/>
      </w:pPr>
      <w:r>
        <w:t>NSW WOHVR</w:t>
      </w:r>
      <w:r>
        <w:tab/>
        <w:t>158A(2)</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on-demand charter vehicle</w:t>
      </w:r>
      <w:r>
        <w:tab/>
        <w:t>109</w:t>
      </w:r>
    </w:p>
    <w:p>
      <w:pPr>
        <w:pStyle w:val="DefinedTerms"/>
      </w:pPr>
      <w:r>
        <w:t>on-demand rank or hail vehicle</w:t>
      </w:r>
      <w:r>
        <w:tab/>
        <w:t>109</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lastRenderedPageBreak/>
        <w:t>over-mass</w:t>
      </w:r>
      <w:r>
        <w:tab/>
        <w:t>3</w:t>
      </w:r>
    </w:p>
    <w:p>
      <w:pPr>
        <w:pStyle w:val="DefinedTerms"/>
      </w:pPr>
      <w:r>
        <w:t>overseas vehicle</w:t>
      </w:r>
      <w:r>
        <w:tab/>
        <w:t>103</w:t>
      </w:r>
    </w:p>
    <w:p>
      <w:pPr>
        <w:pStyle w:val="DefinedTerms"/>
      </w:pPr>
      <w:r>
        <w:t>oversize</w:t>
      </w:r>
      <w:r>
        <w:tab/>
        <w:t>3</w:t>
      </w:r>
    </w:p>
    <w:p>
      <w:pPr>
        <w:pStyle w:val="DefinedTerms"/>
      </w:pPr>
      <w:r>
        <w:t>parking brake</w:t>
      </w:r>
      <w:r>
        <w:tab/>
        <w:t>3</w:t>
      </w:r>
    </w:p>
    <w:p>
      <w:pPr>
        <w:pStyle w:val="DefinedTerms"/>
      </w:pPr>
      <w:r>
        <w:t>passenger transport service</w:t>
      </w:r>
      <w:r>
        <w:tab/>
        <w:t>109</w:t>
      </w:r>
    </w:p>
    <w:p>
      <w:pPr>
        <w:pStyle w:val="DefinedTerms"/>
      </w:pPr>
      <w:r>
        <w:t>passenger transport vehicle</w:t>
      </w:r>
      <w:r>
        <w:tab/>
        <w:t>109</w:t>
      </w:r>
    </w:p>
    <w:p>
      <w:pPr>
        <w:pStyle w:val="DefinedTerms"/>
      </w:pPr>
      <w:r>
        <w:t>passenger transport vehicle authorisation</w:t>
      </w:r>
      <w:r>
        <w:tab/>
        <w:t>109</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radial ply tyre</w:t>
      </w:r>
      <w:r>
        <w:tab/>
        <w:t>266(1)</w:t>
      </w:r>
    </w:p>
    <w:p>
      <w:pPr>
        <w:pStyle w:val="DefinedTerms"/>
      </w:pPr>
      <w:r>
        <w:t>RAV</w:t>
      </w:r>
      <w:r>
        <w:tab/>
        <w:t>3</w:t>
      </w:r>
    </w:p>
    <w:p>
      <w:pPr>
        <w:pStyle w:val="DefinedTerms"/>
      </w:pPr>
      <w:r>
        <w:t>read</w:t>
      </w:r>
      <w:r>
        <w:tab/>
        <w:t>120(1)</w:t>
      </w:r>
    </w:p>
    <w:p>
      <w:pPr>
        <w:pStyle w:val="DefinedTerms"/>
      </w:pPr>
      <w:r>
        <w:t>rear fog light</w:t>
      </w:r>
      <w:r>
        <w:tab/>
        <w:t>226, 315(1A)</w:t>
      </w:r>
    </w:p>
    <w:p>
      <w:pPr>
        <w:pStyle w:val="DefinedTerms"/>
      </w:pPr>
      <w:r>
        <w:t>rear glazing</w:t>
      </w:r>
      <w:r>
        <w:tab/>
        <w:t>260(1)</w:t>
      </w:r>
    </w:p>
    <w:p>
      <w:pPr>
        <w:pStyle w:val="DefinedTerms"/>
      </w:pPr>
      <w:r>
        <w:t>rear marking plate</w:t>
      </w:r>
      <w:r>
        <w:tab/>
        <w:t>328(1)</w:t>
      </w:r>
    </w:p>
    <w:p>
      <w:pPr>
        <w:pStyle w:val="DefinedTerms"/>
      </w:pPr>
      <w:r>
        <w:t>rear overhang</w:t>
      </w:r>
      <w:r>
        <w:tab/>
        <w:t>3</w:t>
      </w:r>
    </w:p>
    <w:p>
      <w:pPr>
        <w:pStyle w:val="DefinedTerms"/>
      </w:pPr>
      <w:r>
        <w:t>reduced charge</w:t>
      </w:r>
      <w:r>
        <w:tab/>
        <w:t>84A(1)</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relevant information</w:t>
      </w:r>
      <w:r>
        <w:tab/>
        <w:t>158A(1)</w:t>
      </w:r>
    </w:p>
    <w:p>
      <w:pPr>
        <w:pStyle w:val="DefinedTerms"/>
      </w:pPr>
      <w:r>
        <w:t>renewal application</w:t>
      </w:r>
      <w:r>
        <w:tab/>
        <w:t>454A</w:t>
      </w:r>
    </w:p>
    <w:p>
      <w:pPr>
        <w:pStyle w:val="DefinedTerms"/>
      </w:pPr>
      <w:r>
        <w:t>renewal charge</w:t>
      </w:r>
      <w:r>
        <w:tab/>
        <w:t>31A(1)</w:t>
      </w:r>
    </w:p>
    <w:p>
      <w:pPr>
        <w:pStyle w:val="DefinedTerms"/>
      </w:pPr>
      <w:r>
        <w:t>renewal period</w:t>
      </w:r>
      <w:r>
        <w:tab/>
        <w:t>30(1)</w:t>
      </w:r>
    </w:p>
    <w:p>
      <w:pPr>
        <w:pStyle w:val="DefinedTerms"/>
      </w:pPr>
      <w:r>
        <w:t>repair</w:t>
      </w:r>
      <w:r>
        <w:tab/>
        <w:t>146</w:t>
      </w:r>
    </w:p>
    <w:p>
      <w:pPr>
        <w:pStyle w:val="DefinedTerms"/>
      </w:pPr>
      <w:r>
        <w:t>repairable write-off</w:t>
      </w:r>
      <w:r>
        <w:tab/>
        <w:t>3</w:t>
      </w:r>
    </w:p>
    <w:p>
      <w:pPr>
        <w:pStyle w:val="DefinedTerms"/>
      </w:pPr>
      <w:r>
        <w:t>reserved plate</w:t>
      </w:r>
      <w:r>
        <w:tab/>
        <w:t>109</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lastRenderedPageBreak/>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semi-trailer</w:t>
      </w:r>
      <w:r>
        <w:tab/>
        <w:t>3</w:t>
      </w:r>
    </w:p>
    <w:p>
      <w:pPr>
        <w:pStyle w:val="DefinedTerms"/>
      </w:pPr>
      <w:r>
        <w:t>service brake</w:t>
      </w:r>
      <w:r>
        <w:tab/>
        <w:t>3</w:t>
      </w:r>
    </w:p>
    <w:p>
      <w:pPr>
        <w:pStyle w:val="DefinedTerms"/>
      </w:pPr>
      <w:r>
        <w:t>set</w:t>
      </w:r>
      <w:r>
        <w:tab/>
        <w:t>3</w:t>
      </w:r>
    </w:p>
    <w:p>
      <w:pPr>
        <w:pStyle w:val="DefinedTerms"/>
      </w:pPr>
      <w:r>
        <w:t>side marker light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334(1A)</w:t>
      </w:r>
    </w:p>
    <w:p>
      <w:pPr>
        <w:pStyle w:val="DefinedTerms"/>
      </w:pPr>
      <w:r>
        <w:t>Statement of Attainment</w:t>
      </w:r>
      <w:r>
        <w:tab/>
        <w:t>454E(1)</w:t>
      </w:r>
    </w:p>
    <w:p>
      <w:pPr>
        <w:pStyle w:val="DefinedTerms"/>
      </w:pPr>
      <w:r>
        <w:t>statutory write-off</w:t>
      </w:r>
      <w:r>
        <w:tab/>
        <w:t>3</w:t>
      </w:r>
    </w:p>
    <w:p>
      <w:pPr>
        <w:pStyle w:val="DefinedTerms"/>
      </w:pPr>
      <w:r>
        <w:t>stock</w:t>
      </w:r>
      <w:r>
        <w:tab/>
        <w:t>52(1)</w:t>
      </w:r>
    </w:p>
    <w:p>
      <w:pPr>
        <w:pStyle w:val="DefinedTerms"/>
      </w:pPr>
      <w:r>
        <w:t>street rod vehicle</w:t>
      </w:r>
      <w:r>
        <w:tab/>
        <w:t>3</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towed vehicle</w:t>
      </w:r>
      <w:r>
        <w:tab/>
        <w:t>423(1)</w:t>
      </w:r>
    </w:p>
    <w:p>
      <w:pPr>
        <w:pStyle w:val="DefinedTerms"/>
      </w:pPr>
      <w:r>
        <w:t>towing vehicle</w:t>
      </w:r>
      <w:r>
        <w:tab/>
        <w:t>423(1)</w:t>
      </w:r>
    </w:p>
    <w:p>
      <w:pPr>
        <w:pStyle w:val="DefinedTerms"/>
      </w:pPr>
      <w:r>
        <w:t>tow truck</w:t>
      </w:r>
      <w:r>
        <w:tab/>
        <w:t>3</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vacuum reserve</w:t>
      </w:r>
      <w:r>
        <w:tab/>
        <w:t>334(1A)</w:t>
      </w:r>
    </w:p>
    <w:p>
      <w:pPr>
        <w:pStyle w:val="DefinedTerms"/>
      </w:pPr>
      <w:r>
        <w:t>vacuum storage tank</w:t>
      </w:r>
      <w:r>
        <w:tab/>
        <w:t>3</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w:t>
      </w:r>
      <w:r>
        <w:tab/>
        <w:t>3</w:t>
      </w:r>
    </w:p>
    <w:p>
      <w:pPr>
        <w:pStyle w:val="DefinedTerms"/>
      </w:pPr>
      <w:r>
        <w:t>vehicle licensing reviewable decision</w:t>
      </w:r>
      <w:r>
        <w:tab/>
        <w:t>478</w:t>
      </w:r>
    </w:p>
    <w:p>
      <w:pPr>
        <w:pStyle w:val="DefinedTerms"/>
      </w:pPr>
      <w:r>
        <w:t>vehicle standard regulation</w:t>
      </w:r>
      <w:r>
        <w:tab/>
        <w:t>460</w:t>
      </w:r>
    </w:p>
    <w:p>
      <w:pPr>
        <w:pStyle w:val="DefinedTerms"/>
      </w:pPr>
      <w:r>
        <w:lastRenderedPageBreak/>
        <w:t>VIN</w:t>
      </w:r>
      <w:r>
        <w:tab/>
        <w:t>3</w:t>
      </w:r>
    </w:p>
    <w:p>
      <w:pPr>
        <w:pStyle w:val="DefinedTerms"/>
      </w:pPr>
      <w:r>
        <w:t>WOVR</w:t>
      </w:r>
      <w:r>
        <w:tab/>
        <w:t>3</w:t>
      </w:r>
    </w:p>
    <w:p>
      <w:pPr>
        <w:pStyle w:val="DefinedTerms"/>
      </w:pPr>
      <w:r>
        <w:t>wrecker</w:t>
      </w:r>
      <w:r>
        <w:tab/>
        <w:t>146</w:t>
      </w:r>
    </w:p>
    <w:p>
      <w:pPr>
        <w:pStyle w:val="DefinedTerms"/>
      </w:pPr>
      <w:r>
        <w:t>written-off</w:t>
      </w:r>
      <w:r>
        <w:tab/>
        <w:t>146</w:t>
      </w:r>
    </w:p>
    <w:p>
      <w:pPr>
        <w:pStyle w:val="DefinedTerms"/>
      </w:pPr>
      <w:r>
        <w:t>written-off vehicle notice</w:t>
      </w:r>
      <w:r>
        <w:tab/>
        <w:t>157(1)</w:t>
      </w:r>
    </w:p>
    <w:p>
      <w:pPr>
        <w:pStyle w:val="DefinedTerms"/>
      </w:pPr>
      <w:r>
        <w:t>Written-Off Vehicle Register</w:t>
      </w:r>
      <w:r>
        <w:tab/>
        <w:t>3</w:t>
      </w:r>
    </w:p>
    <w:p>
      <w:pPr>
        <w:pStyle w:val="DefinedTerms"/>
      </w:pPr>
      <w:r>
        <w:t>yellow</w:t>
      </w:r>
      <w:r>
        <w:tab/>
        <w:t>3</w:t>
      </w:r>
    </w:p>
    <w:p/>
    <w:p>
      <w:pPr>
        <w:sectPr>
          <w:headerReference w:type="even" r:id="rId65"/>
          <w:headerReference w:type="default" r:id="rId66"/>
          <w:pgSz w:w="11907" w:h="16840" w:code="9"/>
          <w:pgMar w:top="2381" w:right="2409" w:bottom="3543" w:left="2409" w:header="720" w:footer="3380" w:gutter="0"/>
          <w:cols w:space="720"/>
          <w:noEndnote/>
          <w:docGrid w:linePitch="326"/>
        </w:sectPr>
      </w:pPr>
    </w:p>
    <w:p/>
    <w:sectPr>
      <w:headerReference w:type="even" r:id="rId67"/>
      <w:headerReference w:type="default" r:id="rId68"/>
      <w:footerReference w:type="even" r:id="rId69"/>
      <w:footerReference w:type="default" r:id="rId70"/>
      <w:headerReference w:type="first" r:id="rId71"/>
      <w:footerReference w:type="first" r:id="rId7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02" w:name="Compilation"/>
    <w:bookmarkEnd w:id="9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904" w:name="DefinedTerms"/>
    <w:bookmarkEnd w:id="90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5" w:name="Coversheet"/>
    <w:bookmarkEnd w:id="9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529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4120722"/>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 w:name="WAFER_20220222160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457_GUID" w:val="f9029a51-32bb-4af9-8b0b-f293d828eea8"/>
    <w:docVar w:name="WAFER_20220222160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606_GUID" w:val="58999f8d-6ca8-44fd-a3b7-2bd9925e4159"/>
    <w:docVar w:name="WAFER_202203081444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44417_GUID" w:val="02e3c4ea-9673-4272-a1e0-93df26442f6d"/>
    <w:docVar w:name="WAFER_20220318140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716_GUID" w:val="4ccf3a22-0f24-4a47-b445-d2df2db2c134"/>
    <w:docVar w:name="WAFER_20220517125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5609_GUID" w:val="bd429c34-3c2f-408f-8db6-3f924d8f7b9d"/>
    <w:docVar w:name="WAFER_20220601112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45_GUID" w:val="183ab11f-f804-48a2-bbe1-e93a5cd4ffba"/>
    <w:docVar w:name="WAFER_202206241222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45_GUID" w:val="53bdb381-8996-41e3-a311-1d9ccced429c"/>
    <w:docVar w:name="WAFER_20220704114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51_GUID" w:val="2f77d50a-584d-4fa3-bbe3-500fd54219c6"/>
    <w:docVar w:name="WAFER_20220824120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20722_GUID" w:val="90eda669-192f-487a-94ea-8e67485e0d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302">
      <w:bodyDiv w:val="1"/>
      <w:marLeft w:val="0"/>
      <w:marRight w:val="0"/>
      <w:marTop w:val="0"/>
      <w:marBottom w:val="0"/>
      <w:divBdr>
        <w:top w:val="none" w:sz="0" w:space="0" w:color="auto"/>
        <w:left w:val="none" w:sz="0" w:space="0" w:color="auto"/>
        <w:bottom w:val="none" w:sz="0" w:space="0" w:color="auto"/>
        <w:right w:val="none" w:sz="0" w:space="0" w:color="auto"/>
      </w:divBdr>
    </w:div>
    <w:div w:id="448815654">
      <w:bodyDiv w:val="1"/>
      <w:marLeft w:val="0"/>
      <w:marRight w:val="0"/>
      <w:marTop w:val="0"/>
      <w:marBottom w:val="0"/>
      <w:divBdr>
        <w:top w:val="none" w:sz="0" w:space="0" w:color="auto"/>
        <w:left w:val="none" w:sz="0" w:space="0" w:color="auto"/>
        <w:bottom w:val="none" w:sz="0" w:space="0" w:color="auto"/>
        <w:right w:val="none" w:sz="0" w:space="0" w:color="auto"/>
      </w:divBdr>
    </w:div>
    <w:div w:id="1131636353">
      <w:bodyDiv w:val="1"/>
      <w:marLeft w:val="0"/>
      <w:marRight w:val="0"/>
      <w:marTop w:val="0"/>
      <w:marBottom w:val="0"/>
      <w:divBdr>
        <w:top w:val="none" w:sz="0" w:space="0" w:color="auto"/>
        <w:left w:val="none" w:sz="0" w:space="0" w:color="auto"/>
        <w:bottom w:val="none" w:sz="0" w:space="0" w:color="auto"/>
        <w:right w:val="none" w:sz="0" w:space="0" w:color="auto"/>
      </w:divBdr>
    </w:div>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2.png"/><Relationship Id="rId42" Type="http://schemas.openxmlformats.org/officeDocument/2006/relationships/image" Target="media/image23.jpeg"/><Relationship Id="rId47" Type="http://schemas.openxmlformats.org/officeDocument/2006/relationships/image" Target="media/image28.png"/><Relationship Id="rId63" Type="http://schemas.openxmlformats.org/officeDocument/2006/relationships/header" Target="header10.xml"/><Relationship Id="rId6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wmf"/><Relationship Id="rId53" Type="http://schemas.openxmlformats.org/officeDocument/2006/relationships/image" Target="media/image34.wmf"/><Relationship Id="rId58" Type="http://schemas.openxmlformats.org/officeDocument/2006/relationships/image" Target="media/image39.wmf"/><Relationship Id="rId66" Type="http://schemas.openxmlformats.org/officeDocument/2006/relationships/header" Target="header13.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jpeg"/><Relationship Id="rId43" Type="http://schemas.openxmlformats.org/officeDocument/2006/relationships/image" Target="media/image24.jpe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header" Target="header11.xml"/><Relationship Id="rId69"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header" Target="header14.xml"/><Relationship Id="rId20" Type="http://schemas.openxmlformats.org/officeDocument/2006/relationships/footer" Target="footer6.xml"/><Relationship Id="rId41" Type="http://schemas.openxmlformats.org/officeDocument/2006/relationships/image" Target="media/image22.png"/><Relationship Id="rId54" Type="http://schemas.openxmlformats.org/officeDocument/2006/relationships/image" Target="media/image35.wmf"/><Relationship Id="rId62" Type="http://schemas.openxmlformats.org/officeDocument/2006/relationships/header" Target="header9.xm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png"/><Relationship Id="rId36" Type="http://schemas.openxmlformats.org/officeDocument/2006/relationships/image" Target="media/image17.wmf"/><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header" Target="header7.xml"/><Relationship Id="rId65" Type="http://schemas.openxmlformats.org/officeDocument/2006/relationships/header" Target="header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20.png"/><Relationship Id="rId34" Type="http://schemas.openxmlformats.org/officeDocument/2006/relationships/image" Target="media/image15.wmf"/><Relationship Id="rId50" Type="http://schemas.openxmlformats.org/officeDocument/2006/relationships/image" Target="media/image31.png"/><Relationship Id="rId55" Type="http://schemas.openxmlformats.org/officeDocument/2006/relationships/image" Target="media/image36.png"/><Relationship Id="rId7" Type="http://schemas.openxmlformats.org/officeDocument/2006/relationships/endnotes" Target="endnotes.xml"/><Relationship Id="rId7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3EE5D-827A-4115-9423-9018FD90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90758</Words>
  <Characters>427471</Characters>
  <Application>Microsoft Office Word</Application>
  <DocSecurity>0</DocSecurity>
  <Lines>12572</Lines>
  <Paragraphs>8097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2014 - 01-aa0-00</dc:title>
  <dc:subject/>
  <dc:creator/>
  <cp:keywords/>
  <dc:description/>
  <cp:lastModifiedBy>Master Repository Process</cp:lastModifiedBy>
  <cp:revision>4</cp:revision>
  <cp:lastPrinted>2019-06-21T02:58:00Z</cp:lastPrinted>
  <dcterms:created xsi:type="dcterms:W3CDTF">2022-08-25T08:05:00Z</dcterms:created>
  <dcterms:modified xsi:type="dcterms:W3CDTF">2022-08-25T08:06:00Z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27 Aug 2022</vt:lpwstr>
  </property>
  <property fmtid="{D5CDD505-2E9C-101B-9397-08002B2CF9AE}" pid="7" name="Suffix">
    <vt:lpwstr>01-aa0-00</vt:lpwstr>
  </property>
  <property fmtid="{D5CDD505-2E9C-101B-9397-08002B2CF9AE}" pid="8" name="CommencementDate">
    <vt:lpwstr>20220827</vt:lpwstr>
  </property>
</Properties>
</file>