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_Toc114580744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False information in applications etc., offence</w:t>
      </w:r>
      <w:r>
        <w:tab/>
      </w:r>
      <w:r>
        <w:fldChar w:fldCharType="begin"/>
      </w:r>
      <w:r>
        <w:instrText xml:space="preserve"> PAGEREF _Toc114580745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Period prescribed (Act s. 19(1))</w:t>
      </w:r>
      <w:r>
        <w:tab/>
      </w:r>
      <w:r>
        <w:fldChar w:fldCharType="begin"/>
      </w:r>
      <w:r>
        <w:instrText xml:space="preserve"> PAGEREF _Toc114580746 \h </w:instrText>
      </w:r>
      <w:r>
        <w:fldChar w:fldCharType="separate"/>
      </w:r>
      <w:r>
        <w:t>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Penalty for late application prescribed (Act s. 19(3))</w:t>
      </w:r>
      <w:r>
        <w:tab/>
      </w:r>
      <w:r>
        <w:fldChar w:fldCharType="begin"/>
      </w:r>
      <w:r>
        <w:instrText xml:space="preserve"> PAGEREF _Toc114580747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w:t>
      </w:r>
      <w:r>
        <w:tab/>
      </w:r>
      <w:r>
        <w:fldChar w:fldCharType="begin"/>
      </w:r>
      <w:r>
        <w:instrText xml:space="preserve"> PAGEREF _Toc114580748 \h </w:instrText>
      </w:r>
      <w:r>
        <w:fldChar w:fldCharType="separate"/>
      </w:r>
      <w:r>
        <w:t>2</w:t>
      </w:r>
      <w:r>
        <w:fldChar w:fldCharType="end"/>
      </w:r>
    </w:p>
    <w:p>
      <w:pPr>
        <w:pStyle w:val="TOC8"/>
        <w:rPr>
          <w:rFonts w:asciiTheme="minorHAnsi" w:eastAsiaTheme="minorEastAsia" w:hAnsiTheme="minorHAnsi" w:cstheme="minorBidi"/>
          <w:szCs w:val="22"/>
        </w:rPr>
      </w:pPr>
      <w:r>
        <w:t>7A.</w:t>
      </w:r>
      <w:r>
        <w:tab/>
        <w:t>Prescribed particulars for register of authorisations</w:t>
      </w:r>
      <w:r>
        <w:tab/>
      </w:r>
      <w:r>
        <w:fldChar w:fldCharType="begin"/>
      </w:r>
      <w:r>
        <w:instrText xml:space="preserve"> PAGEREF _Toc114580749 \h </w:instrText>
      </w:r>
      <w:r>
        <w:fldChar w:fldCharType="separate"/>
      </w:r>
      <w:r>
        <w:t>2</w:t>
      </w:r>
      <w:r>
        <w:fldChar w:fldCharType="end"/>
      </w:r>
    </w:p>
    <w:p>
      <w:pPr>
        <w:pStyle w:val="TOC8"/>
        <w:rPr>
          <w:rFonts w:asciiTheme="minorHAnsi" w:eastAsiaTheme="minorEastAsia" w:hAnsiTheme="minorHAnsi" w:cstheme="minorBidi"/>
          <w:szCs w:val="22"/>
        </w:rPr>
      </w:pPr>
      <w:r>
        <w:t>7B.</w:t>
      </w:r>
      <w:r>
        <w:tab/>
        <w:t>Changes in employment of yard managers and salespersons must be notified to Commissioner</w:t>
      </w:r>
      <w:r>
        <w:tab/>
      </w:r>
      <w:r>
        <w:fldChar w:fldCharType="begin"/>
      </w:r>
      <w:r>
        <w:instrText xml:space="preserve"> PAGEREF _Toc114580750 \h </w:instrText>
      </w:r>
      <w:r>
        <w:fldChar w:fldCharType="separate"/>
      </w:r>
      <w:r>
        <w:t>4</w:t>
      </w:r>
      <w:r>
        <w:fldChar w:fldCharType="end"/>
      </w:r>
    </w:p>
    <w:p>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_Toc114580751 \h </w:instrText>
      </w:r>
      <w:r>
        <w:fldChar w:fldCharType="separate"/>
      </w:r>
      <w:r>
        <w:t>4</w:t>
      </w:r>
      <w:r>
        <w:fldChar w:fldCharType="end"/>
      </w:r>
    </w:p>
    <w:p>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_Toc114580752 \h </w:instrText>
      </w:r>
      <w:r>
        <w:fldChar w:fldCharType="separate"/>
      </w:r>
      <w:r>
        <w:t>4</w:t>
      </w:r>
      <w:r>
        <w:fldChar w:fldCharType="end"/>
      </w:r>
    </w:p>
    <w:p>
      <w:pPr>
        <w:pStyle w:val="TOC8"/>
        <w:rPr>
          <w:rFonts w:asciiTheme="minorHAnsi" w:eastAsiaTheme="minorEastAsia" w:hAnsiTheme="minorHAnsi" w:cstheme="minorBidi"/>
          <w:szCs w:val="22"/>
        </w:rPr>
      </w:pPr>
      <w:r>
        <w:t>10.</w:t>
      </w:r>
      <w:r>
        <w:tab/>
        <w:t>Transitional</w:t>
      </w:r>
      <w:r>
        <w:tab/>
      </w:r>
      <w:r>
        <w:fldChar w:fldCharType="begin"/>
      </w:r>
      <w:r>
        <w:instrText xml:space="preserve"> PAGEREF _Toc114580753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Classes and descriptions of business and categories of dealer’s licence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_Toc114580757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_Toc114580758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Motor Vehicle Dealers Act 1973</w:t>
      </w:r>
    </w:p>
    <w:p>
      <w:pPr>
        <w:pStyle w:val="NameofActReg"/>
        <w:ind w:left="567" w:right="575"/>
      </w:pPr>
      <w:r>
        <w:t>Motor Vehicle Dealers (Licensing) Regulations 1974</w:t>
      </w:r>
    </w:p>
    <w:p>
      <w:pPr>
        <w:pStyle w:val="Heading5"/>
        <w:rPr>
          <w:snapToGrid w:val="0"/>
        </w:rPr>
      </w:pPr>
      <w:bookmarkStart w:id="3" w:name="_Toc11458074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Ednotesection"/>
      </w:pPr>
      <w:r>
        <w:t>[</w:t>
      </w:r>
      <w:r>
        <w:rPr>
          <w:b/>
        </w:rPr>
        <w:t>2.</w:t>
      </w:r>
      <w:r>
        <w:tab/>
        <w:t>Deleted: SL 2021/86 r. 46.]</w:t>
      </w:r>
    </w:p>
    <w:p>
      <w:pPr>
        <w:pStyle w:val="Ednotesection"/>
      </w:pPr>
      <w:r>
        <w:t>[</w:t>
      </w:r>
      <w:r>
        <w:rPr>
          <w:b/>
        </w:rPr>
        <w:t>3</w:t>
      </w:r>
      <w:r>
        <w:rPr>
          <w:b/>
        </w:rPr>
        <w:noBreakHyphen/>
        <w:t>5.</w:t>
      </w:r>
      <w:r>
        <w:tab/>
        <w:t>Deleted: Gazette 27 Jun 2017 p. 3413.]</w:t>
      </w:r>
    </w:p>
    <w:p>
      <w:pPr>
        <w:pStyle w:val="Heading5"/>
        <w:rPr>
          <w:snapToGrid w:val="0"/>
        </w:rPr>
      </w:pPr>
      <w:bookmarkStart w:id="4" w:name="_Toc114580745"/>
      <w:r>
        <w:rPr>
          <w:rStyle w:val="CharSectno"/>
        </w:rPr>
        <w:t>6</w:t>
      </w:r>
      <w:r>
        <w:rPr>
          <w:snapToGrid w:val="0"/>
        </w:rPr>
        <w:t>.</w:t>
      </w:r>
      <w:r>
        <w:rPr>
          <w:snapToGrid w:val="0"/>
        </w:rPr>
        <w:tab/>
        <w:t>False information in applications etc., offence</w:t>
      </w:r>
      <w:bookmarkEnd w:id="4"/>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Gazette 13 Aug 2002 p. 4156.]</w:t>
      </w:r>
    </w:p>
    <w:p>
      <w:pPr>
        <w:pStyle w:val="Heading5"/>
        <w:rPr>
          <w:snapToGrid w:val="0"/>
        </w:rPr>
      </w:pPr>
      <w:bookmarkStart w:id="5" w:name="_Toc114580746"/>
      <w:r>
        <w:rPr>
          <w:rStyle w:val="CharSectno"/>
        </w:rPr>
        <w:t>6A</w:t>
      </w:r>
      <w:r>
        <w:rPr>
          <w:snapToGrid w:val="0"/>
        </w:rPr>
        <w:t xml:space="preserve">. </w:t>
      </w:r>
      <w:r>
        <w:rPr>
          <w:snapToGrid w:val="0"/>
        </w:rPr>
        <w:tab/>
        <w:t>Period prescribed (Act s. 19(1))</w:t>
      </w:r>
      <w:bookmarkEnd w:id="5"/>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Gazette 29 Dec 1995 p. 6343.] </w:t>
      </w:r>
    </w:p>
    <w:p>
      <w:pPr>
        <w:pStyle w:val="Heading5"/>
        <w:rPr>
          <w:snapToGrid w:val="0"/>
        </w:rPr>
      </w:pPr>
      <w:bookmarkStart w:id="6" w:name="_Toc114580747"/>
      <w:r>
        <w:rPr>
          <w:rStyle w:val="CharSectno"/>
        </w:rPr>
        <w:t>6B</w:t>
      </w:r>
      <w:r>
        <w:rPr>
          <w:snapToGrid w:val="0"/>
        </w:rPr>
        <w:t>.</w:t>
      </w:r>
      <w:r>
        <w:rPr>
          <w:snapToGrid w:val="0"/>
        </w:rPr>
        <w:tab/>
        <w:t>Penalty for late application prescribed (Act s. 19(3))</w:t>
      </w:r>
      <w:bookmarkEnd w:id="6"/>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Gazette 29 Dec 1995 p. 6343.] </w:t>
      </w:r>
    </w:p>
    <w:p>
      <w:pPr>
        <w:pStyle w:val="Heading5"/>
        <w:rPr>
          <w:snapToGrid w:val="0"/>
        </w:rPr>
      </w:pPr>
      <w:bookmarkStart w:id="7" w:name="_Toc114580748"/>
      <w:r>
        <w:rPr>
          <w:rStyle w:val="CharSectno"/>
        </w:rPr>
        <w:lastRenderedPageBreak/>
        <w:t>7</w:t>
      </w:r>
      <w:r>
        <w:rPr>
          <w:snapToGrid w:val="0"/>
        </w:rPr>
        <w:t>.</w:t>
      </w:r>
      <w:r>
        <w:rPr>
          <w:snapToGrid w:val="0"/>
        </w:rPr>
        <w:tab/>
        <w:t>Fees</w:t>
      </w:r>
      <w:bookmarkEnd w:id="7"/>
    </w:p>
    <w:p>
      <w:pPr>
        <w:pStyle w:val="Subsection"/>
        <w:rPr>
          <w:snapToGrid w:val="0"/>
        </w:rPr>
      </w:pPr>
      <w:r>
        <w:rPr>
          <w:snapToGrid w:val="0"/>
        </w:rPr>
        <w:tab/>
      </w:r>
      <w:r>
        <w:rPr>
          <w:snapToGrid w:val="0"/>
        </w:rPr>
        <w:tab/>
        <w:t xml:space="preserve">The </w:t>
      </w:r>
      <w:r>
        <w:t>fees</w:t>
      </w:r>
      <w:r>
        <w:rPr>
          <w:snapToGrid w:val="0"/>
        </w:rPr>
        <w:t xml:space="preserve"> set out in Schedule 3 are the fees to be paid in respect of the matters to which they are applicable.</w:t>
      </w:r>
    </w:p>
    <w:p>
      <w:pPr>
        <w:pStyle w:val="Footnotesection"/>
      </w:pPr>
      <w:r>
        <w:tab/>
        <w:t xml:space="preserve">[Regulation 7 inserted: SL 2021/86 r. 47.] </w:t>
      </w:r>
    </w:p>
    <w:p>
      <w:pPr>
        <w:pStyle w:val="Ednotesection"/>
      </w:pPr>
      <w:r>
        <w:t>[</w:t>
      </w:r>
      <w:r>
        <w:rPr>
          <w:b/>
        </w:rPr>
        <w:t>7AA.</w:t>
      </w:r>
      <w:r>
        <w:tab/>
        <w:t>Deleted: SL 2021/86 r. 47.]</w:t>
      </w:r>
    </w:p>
    <w:p>
      <w:pPr>
        <w:pStyle w:val="Heading5"/>
      </w:pPr>
      <w:bookmarkStart w:id="8" w:name="_Toc114580749"/>
      <w:r>
        <w:rPr>
          <w:rStyle w:val="CharSectno"/>
        </w:rPr>
        <w:t>7A</w:t>
      </w:r>
      <w:r>
        <w:t>.</w:t>
      </w:r>
      <w:r>
        <w:tab/>
        <w:t>Prescribed particulars for register of authorisations</w:t>
      </w:r>
      <w:bookmarkEnd w:id="8"/>
    </w:p>
    <w:p>
      <w:pPr>
        <w:pStyle w:val="Subsection"/>
      </w:pPr>
      <w:r>
        <w:tab/>
        <w:t>(1)</w:t>
      </w:r>
      <w:r>
        <w:tab/>
        <w:t>The particulars set out in subregulations (2) to (4) are prescribed for the purposes of the register of authorisations to be kept under section 24(1) of the Act.</w:t>
      </w:r>
    </w:p>
    <w:p>
      <w:pPr>
        <w:pStyle w:val="Subsection"/>
      </w:pPr>
      <w:r>
        <w:tab/>
        <w:t>(2)</w:t>
      </w:r>
      <w:r>
        <w:tab/>
        <w:t xml:space="preserve">For each holder of a vehicle dealer’s licence, the particulars are — </w:t>
      </w:r>
    </w:p>
    <w:p>
      <w:pPr>
        <w:pStyle w:val="Indenta"/>
      </w:pPr>
      <w:r>
        <w:tab/>
        <w:t>(a)</w:t>
      </w:r>
      <w:r>
        <w:tab/>
        <w:t>the name of the licensee;</w:t>
      </w:r>
    </w:p>
    <w:p>
      <w:pPr>
        <w:pStyle w:val="Indenta"/>
      </w:pPr>
      <w:r>
        <w:tab/>
        <w:t>(b)</w:t>
      </w:r>
      <w:r>
        <w:tab/>
        <w:t>the registered office of the licensee;</w:t>
      </w:r>
    </w:p>
    <w:p>
      <w:pPr>
        <w:pStyle w:val="Indenta"/>
      </w:pPr>
      <w:r>
        <w:tab/>
        <w:t>(c)</w:t>
      </w:r>
      <w:r>
        <w:tab/>
        <w:t>the licence number of the licensee;</w:t>
      </w:r>
    </w:p>
    <w:p>
      <w:pPr>
        <w:pStyle w:val="Indenta"/>
      </w:pPr>
      <w:r>
        <w:tab/>
        <w:t>(d)</w:t>
      </w:r>
      <w:r>
        <w:tab/>
        <w:t>whether the licensee is a natural person, a firm or a body corporate;</w:t>
      </w:r>
    </w:p>
    <w:p>
      <w:pPr>
        <w:pStyle w:val="Indenta"/>
      </w:pPr>
      <w:r>
        <w:tab/>
        <w:t>(e)</w:t>
      </w:r>
      <w:r>
        <w:tab/>
        <w:t>the date the application for the licence was lodged;</w:t>
      </w:r>
    </w:p>
    <w:p>
      <w:pPr>
        <w:pStyle w:val="Indenta"/>
      </w:pPr>
      <w:r>
        <w:tab/>
        <w:t>(f)</w:t>
      </w:r>
      <w:r>
        <w:tab/>
        <w:t>the date any application for the renewal of the licence was lodged;</w:t>
      </w:r>
    </w:p>
    <w:p>
      <w:pPr>
        <w:pStyle w:val="Indenta"/>
      </w:pPr>
      <w:r>
        <w:tab/>
        <w:t>(g)</w:t>
      </w:r>
      <w:r>
        <w:tab/>
        <w:t>the date on which the licence was granted;</w:t>
      </w:r>
    </w:p>
    <w:p>
      <w:pPr>
        <w:pStyle w:val="Indenta"/>
      </w:pPr>
      <w:r>
        <w:tab/>
        <w:t>(h)</w:t>
      </w:r>
      <w:r>
        <w:tab/>
        <w:t>if applicable — the date on which the licence was renewed;</w:t>
      </w:r>
    </w:p>
    <w:p>
      <w:pPr>
        <w:pStyle w:val="Indenta"/>
      </w:pPr>
      <w:r>
        <w:tab/>
        <w:t>(i)</w:t>
      </w:r>
      <w:r>
        <w:tab/>
        <w:t>the business names listed in the application for the licence or the application for the renewal of the licence;</w:t>
      </w:r>
    </w:p>
    <w:p>
      <w:pPr>
        <w:pStyle w:val="Indenta"/>
      </w:pPr>
      <w:r>
        <w:tab/>
        <w:t>(j)</w:t>
      </w:r>
      <w:r>
        <w:tab/>
        <w:t>if the licensee is a body corporate — the names of the directors and secretary of the licensee;</w:t>
      </w:r>
    </w:p>
    <w:p>
      <w:pPr>
        <w:pStyle w:val="Indenta"/>
      </w:pPr>
      <w:r>
        <w:tab/>
        <w:t>(k)</w:t>
      </w:r>
      <w:r>
        <w:tab/>
        <w:t>the names of the managers of the licensee;</w:t>
      </w:r>
    </w:p>
    <w:p>
      <w:pPr>
        <w:pStyle w:val="Indenta"/>
      </w:pPr>
      <w:r>
        <w:tab/>
        <w:t>(l)</w:t>
      </w:r>
      <w:r>
        <w:tab/>
        <w:t>the authorised premises of the licensee;</w:t>
      </w:r>
    </w:p>
    <w:p>
      <w:pPr>
        <w:pStyle w:val="Indenta"/>
      </w:pPr>
      <w:r>
        <w:tab/>
        <w:t>(m)</w:t>
      </w:r>
      <w:r>
        <w:tab/>
        <w:t>the names of the yard manager for the authorised premises.</w:t>
      </w:r>
    </w:p>
    <w:p>
      <w:pPr>
        <w:pStyle w:val="Subsection"/>
      </w:pPr>
      <w:r>
        <w:lastRenderedPageBreak/>
        <w:tab/>
        <w:t>(3)</w:t>
      </w:r>
      <w:r>
        <w:tab/>
        <w:t xml:space="preserve">For each holder of a yard manager’s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Subsection"/>
      </w:pPr>
      <w:r>
        <w:tab/>
        <w:t>(4)</w:t>
      </w:r>
      <w:r>
        <w:tab/>
        <w:t xml:space="preserve">For each holder of a salespersons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Footnotesection"/>
      </w:pPr>
      <w:r>
        <w:tab/>
        <w:t>[Regulation 7A inserted: Gazette 27 Jun 2017 p. 3413</w:t>
      </w:r>
      <w:r>
        <w:noBreakHyphen/>
        <w:t xml:space="preserve">14.] </w:t>
      </w:r>
    </w:p>
    <w:p>
      <w:pPr>
        <w:pStyle w:val="Heading5"/>
      </w:pPr>
      <w:bookmarkStart w:id="9" w:name="_Toc114580750"/>
      <w:r>
        <w:rPr>
          <w:rStyle w:val="CharSectno"/>
        </w:rPr>
        <w:lastRenderedPageBreak/>
        <w:t>7B</w:t>
      </w:r>
      <w:r>
        <w:t>.</w:t>
      </w:r>
      <w:r>
        <w:tab/>
        <w:t>Changes in employment of yard managers and salespersons must be notified to Commissioner</w:t>
      </w:r>
      <w:bookmarkEnd w:id="9"/>
    </w:p>
    <w:p>
      <w:pPr>
        <w:pStyle w:val="Subsection"/>
      </w:pPr>
      <w:r>
        <w:tab/>
        <w:t>(1)</w:t>
      </w:r>
      <w:r>
        <w:tab/>
        <w:t>A yard manager or salesperson must give a notice in the approved form to the Commissioner if there is a change in any of the information relating to the employment or place of employment of the yard manager or salesperson.</w:t>
      </w:r>
    </w:p>
    <w:p>
      <w:pPr>
        <w:pStyle w:val="Subsection"/>
      </w:pPr>
      <w:r>
        <w:tab/>
        <w:t>(2)</w:t>
      </w:r>
      <w:r>
        <w:tab/>
        <w:t>The notice must be given within 14 days after the change in the information relating to the yard manager or salesperson.</w:t>
      </w:r>
    </w:p>
    <w:p>
      <w:pPr>
        <w:pStyle w:val="Footnotesection"/>
      </w:pPr>
      <w:r>
        <w:tab/>
        <w:t xml:space="preserve">[Regulation 7B inserted: Gazette 27 Jun 2017 p. 3414.] </w:t>
      </w:r>
    </w:p>
    <w:p>
      <w:pPr>
        <w:pStyle w:val="Heading5"/>
      </w:pPr>
      <w:bookmarkStart w:id="10" w:name="_Toc114580751"/>
      <w:r>
        <w:rPr>
          <w:rStyle w:val="CharSectno"/>
        </w:rPr>
        <w:t>8</w:t>
      </w:r>
      <w:r>
        <w:t>.</w:t>
      </w:r>
      <w:r>
        <w:tab/>
        <w:t>Classes of business and categories of licence prescribed (Act s. 5A)</w:t>
      </w:r>
      <w:bookmarkEnd w:id="10"/>
    </w:p>
    <w:p>
      <w:pPr>
        <w:pStyle w:val="Subsection"/>
        <w:spacing w:before="120"/>
      </w:pPr>
      <w:r>
        <w:tab/>
        <w:t>(1)</w:t>
      </w:r>
      <w:r>
        <w:tab/>
        <w:t>A business described in Schedule 4 column 2 is prescribed for the purposes of section 5A.</w:t>
      </w:r>
    </w:p>
    <w:p>
      <w:pPr>
        <w:pStyle w:val="Subsection"/>
        <w:spacing w:before="120"/>
      </w:pPr>
      <w:r>
        <w:tab/>
        <w:t>(2)</w:t>
      </w:r>
      <w:r>
        <w:tab/>
        <w:t>A category of dealer’s licence listed in Schedule 4 column 1 is prescribed for the description of business opposite that category in column 2.</w:t>
      </w:r>
    </w:p>
    <w:p>
      <w:pPr>
        <w:pStyle w:val="Footnotesection"/>
      </w:pPr>
      <w:r>
        <w:tab/>
        <w:t>[Regulation 8 inserted: Gazette 13 Aug 2002 p. 4156; amended: SL 2021/164 r. 8.]</w:t>
      </w:r>
    </w:p>
    <w:p>
      <w:pPr>
        <w:pStyle w:val="Heading5"/>
        <w:spacing w:before="160"/>
      </w:pPr>
      <w:bookmarkStart w:id="11" w:name="_Toc114580752"/>
      <w:r>
        <w:rPr>
          <w:rStyle w:val="CharSectno"/>
        </w:rPr>
        <w:t>9</w:t>
      </w:r>
      <w:r>
        <w:t>.</w:t>
      </w:r>
      <w:r>
        <w:tab/>
        <w:t>Exempt sales and exempt exchanges prescribed (Act s. 5B(4))</w:t>
      </w:r>
      <w:bookmarkEnd w:id="11"/>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lastRenderedPageBreak/>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keepNext/>
      </w:pPr>
      <w:r>
        <w:lastRenderedPageBreak/>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Gazette 10 Jan 2012 p. 409</w:t>
      </w:r>
      <w:r>
        <w:noBreakHyphen/>
        <w:t>11; amended: Gazette 8 Jan 2015 p. 86.]</w:t>
      </w:r>
    </w:p>
    <w:p>
      <w:pPr>
        <w:pStyle w:val="Heading5"/>
      </w:pPr>
      <w:bookmarkStart w:id="12" w:name="_Toc114580753"/>
      <w:r>
        <w:rPr>
          <w:rStyle w:val="CharSectno"/>
        </w:rPr>
        <w:t>10</w:t>
      </w:r>
      <w:r>
        <w:t>.</w:t>
      </w:r>
      <w:r>
        <w:tab/>
        <w:t>Transitional</w:t>
      </w:r>
      <w:bookmarkEnd w:id="12"/>
    </w:p>
    <w:p>
      <w:pPr>
        <w:pStyle w:val="Subsection"/>
      </w:pPr>
      <w:r>
        <w:tab/>
        <w:t>(1)</w:t>
      </w:r>
      <w:r>
        <w:tab/>
        <w:t xml:space="preserve">A dealer’s licence that is in force immediately before the commencement of the </w:t>
      </w:r>
      <w:r>
        <w:rPr>
          <w:i/>
        </w:rPr>
        <w:t>Commerce Regulations Amendment (Motor Vehicle Dealers and Repairers) Regulations 2021</w:t>
      </w:r>
      <w:r>
        <w:t xml:space="preserve"> regulation 10 continues to have effect, on and after that commencement, as if those regulations had not come into operation.</w:t>
      </w:r>
    </w:p>
    <w:p>
      <w:pPr>
        <w:pStyle w:val="Subsection"/>
      </w:pPr>
      <w:r>
        <w:tab/>
        <w:t>(2)</w:t>
      </w:r>
      <w:r>
        <w:tab/>
        <w:t xml:space="preserve">Subregulation (1) ceases to operate in relation to a dealer’s licence on the day on which — </w:t>
      </w:r>
    </w:p>
    <w:p>
      <w:pPr>
        <w:pStyle w:val="Indenta"/>
      </w:pPr>
      <w:r>
        <w:tab/>
        <w:t>(a)</w:t>
      </w:r>
      <w:r>
        <w:tab/>
        <w:t>the licence expires; or</w:t>
      </w:r>
    </w:p>
    <w:p>
      <w:pPr>
        <w:pStyle w:val="Indenta"/>
      </w:pPr>
      <w:r>
        <w:tab/>
        <w:t>(b)</w:t>
      </w:r>
      <w:r>
        <w:tab/>
        <w:t>if the licence is to be renewed — the licence would have expired.</w:t>
      </w:r>
    </w:p>
    <w:p>
      <w:pPr>
        <w:pStyle w:val="Footnotesection"/>
      </w:pPr>
      <w:r>
        <w:tab/>
        <w:t>[Regulation 10 inserted: SL 2021/164 r. 9.]</w:t>
      </w:r>
    </w:p>
    <w:p>
      <w:pPr>
        <w:pStyle w:val="yEdnoteschedule"/>
      </w:pPr>
      <w:r>
        <w:t>[First and Second Schedule deleted: Gazette 27 Jun 2017 p. 3414.]</w:t>
      </w:r>
    </w:p>
    <w:p>
      <w:pPr>
        <w:pStyle w:val="yEdnoteschedule"/>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3" w:name="_Toc114569049"/>
      <w:bookmarkStart w:id="14" w:name="_Toc114569206"/>
      <w:bookmarkStart w:id="15" w:name="_Toc114580595"/>
      <w:bookmarkStart w:id="16" w:name="_Toc114580754"/>
      <w:r>
        <w:rPr>
          <w:rStyle w:val="CharSchNo"/>
        </w:rPr>
        <w:lastRenderedPageBreak/>
        <w:t>Schedule 3</w:t>
      </w:r>
      <w:r>
        <w:t> — </w:t>
      </w:r>
      <w:r>
        <w:rPr>
          <w:rStyle w:val="CharSchText"/>
        </w:rPr>
        <w:t>Fees</w:t>
      </w:r>
      <w:bookmarkEnd w:id="13"/>
      <w:bookmarkEnd w:id="14"/>
      <w:bookmarkEnd w:id="15"/>
      <w:bookmarkEnd w:id="16"/>
    </w:p>
    <w:p>
      <w:pPr>
        <w:pStyle w:val="yShoulderClause"/>
      </w:pPr>
      <w:r>
        <w:t>[r. 7]</w:t>
      </w:r>
    </w:p>
    <w:p>
      <w:pPr>
        <w:pStyle w:val="yFootnoteheading"/>
        <w:spacing w:after="60"/>
      </w:pPr>
      <w:r>
        <w:tab/>
        <w:t>[Heading inserted: SL 2022/59 r. 26.]</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402"/>
        <w:gridCol w:w="1559"/>
      </w:tblGrid>
      <w:tr>
        <w:trPr>
          <w:cantSplit/>
          <w:tblHeader/>
          <w:jc w:val="center"/>
        </w:trPr>
        <w:tc>
          <w:tcPr>
            <w:tcW w:w="709" w:type="dxa"/>
            <w:tcBorders>
              <w:left w:val="nil"/>
              <w:bottom w:val="single" w:sz="4" w:space="0" w:color="auto"/>
              <w:right w:val="nil"/>
            </w:tcBorders>
            <w:noWrap/>
          </w:tcPr>
          <w:p>
            <w:pPr>
              <w:pStyle w:val="yTableNAm"/>
              <w:jc w:val="center"/>
              <w:rPr>
                <w:b/>
              </w:rPr>
            </w:pPr>
            <w:r>
              <w:rPr>
                <w:b/>
              </w:rPr>
              <w:t>Item</w:t>
            </w:r>
          </w:p>
        </w:tc>
        <w:tc>
          <w:tcPr>
            <w:tcW w:w="3402" w:type="dxa"/>
            <w:tcBorders>
              <w:left w:val="nil"/>
              <w:bottom w:val="single" w:sz="4" w:space="0" w:color="auto"/>
              <w:right w:val="nil"/>
            </w:tcBorders>
            <w:noWrap/>
          </w:tcPr>
          <w:p>
            <w:pPr>
              <w:pStyle w:val="yTableNAm"/>
              <w:jc w:val="center"/>
              <w:rPr>
                <w:b/>
              </w:rPr>
            </w:pPr>
            <w:r>
              <w:rPr>
                <w:b/>
              </w:rPr>
              <w:t>Column 1</w:t>
            </w:r>
          </w:p>
          <w:p>
            <w:pPr>
              <w:pStyle w:val="yTableNAm"/>
              <w:jc w:val="center"/>
              <w:rPr>
                <w:b/>
              </w:rPr>
            </w:pPr>
            <w:r>
              <w:rPr>
                <w:b/>
              </w:rPr>
              <w:t>Matter</w:t>
            </w:r>
          </w:p>
        </w:tc>
        <w:tc>
          <w:tcPr>
            <w:tcW w:w="1559" w:type="dxa"/>
            <w:tcBorders>
              <w:left w:val="nil"/>
              <w:bottom w:val="single" w:sz="4" w:space="0" w:color="auto"/>
              <w:right w:val="nil"/>
            </w:tcBorders>
            <w:noWrap/>
          </w:tcPr>
          <w:p>
            <w:pPr>
              <w:pStyle w:val="yTableNAm"/>
              <w:jc w:val="center"/>
              <w:rPr>
                <w:b/>
              </w:rPr>
            </w:pPr>
            <w:r>
              <w:rPr>
                <w:b/>
              </w:rPr>
              <w:t>Column 2</w:t>
            </w:r>
          </w:p>
          <w:p>
            <w:pPr>
              <w:pStyle w:val="yTableNAm"/>
              <w:jc w:val="center"/>
              <w:rPr>
                <w:b/>
              </w:rPr>
            </w:pPr>
            <w:r>
              <w:rPr>
                <w:b/>
              </w:rPr>
              <w:t>Fee ($)</w:t>
            </w:r>
          </w:p>
        </w:tc>
      </w:tr>
      <w:tr>
        <w:trPr>
          <w:cantSplit/>
          <w:trHeight w:val="897"/>
          <w:jc w:val="center"/>
        </w:trPr>
        <w:tc>
          <w:tcPr>
            <w:tcW w:w="709" w:type="dxa"/>
            <w:tcBorders>
              <w:left w:val="nil"/>
              <w:bottom w:val="nil"/>
              <w:right w:val="nil"/>
            </w:tcBorders>
            <w:noWrap/>
          </w:tcPr>
          <w:p>
            <w:pPr>
              <w:pStyle w:val="yTableNAm"/>
            </w:pPr>
            <w:r>
              <w:t>1.</w:t>
            </w:r>
          </w:p>
        </w:tc>
        <w:tc>
          <w:tcPr>
            <w:tcW w:w="3402" w:type="dxa"/>
            <w:tcBorders>
              <w:left w:val="nil"/>
              <w:bottom w:val="nil"/>
              <w:right w:val="nil"/>
            </w:tcBorders>
            <w:noWrap/>
          </w:tcPr>
          <w:p>
            <w:pPr>
              <w:pStyle w:val="yTableNAm"/>
            </w:pPr>
            <w:r>
              <w:t xml:space="preserve">Application for a dealer’s licence or renewal of a dealer’s licence for the period prescribed by regulation 6A </w:t>
            </w:r>
          </w:p>
        </w:tc>
        <w:tc>
          <w:tcPr>
            <w:tcW w:w="1559" w:type="dxa"/>
            <w:tcBorders>
              <w:left w:val="nil"/>
              <w:bottom w:val="nil"/>
              <w:right w:val="nil"/>
            </w:tcBorders>
            <w:noWrap/>
            <w:vAlign w:val="bottom"/>
          </w:tcPr>
          <w:p>
            <w:pPr>
              <w:pStyle w:val="yTableNAm"/>
              <w:ind w:left="-107"/>
              <w:jc w:val="right"/>
            </w:pPr>
            <w:r>
              <w:br/>
            </w:r>
            <w:r>
              <w:br/>
              <w:t>1 010.00 plus 1 003.00 for each premises to be authorised under section 20E(3) of the Act in relation to the licence</w:t>
            </w:r>
          </w:p>
        </w:tc>
      </w:tr>
      <w:tr>
        <w:trPr>
          <w:cantSplit/>
          <w:jc w:val="center"/>
        </w:trPr>
        <w:tc>
          <w:tcPr>
            <w:tcW w:w="709" w:type="dxa"/>
            <w:tcBorders>
              <w:top w:val="nil"/>
              <w:left w:val="nil"/>
              <w:bottom w:val="nil"/>
              <w:right w:val="nil"/>
            </w:tcBorders>
            <w:noWrap/>
          </w:tcPr>
          <w:p>
            <w:pPr>
              <w:pStyle w:val="yTableNAm"/>
            </w:pPr>
            <w:r>
              <w:t>2.</w:t>
            </w:r>
          </w:p>
        </w:tc>
        <w:tc>
          <w:tcPr>
            <w:tcW w:w="3402" w:type="dxa"/>
            <w:tcBorders>
              <w:top w:val="nil"/>
              <w:left w:val="nil"/>
              <w:bottom w:val="nil"/>
              <w:right w:val="nil"/>
            </w:tcBorders>
            <w:noWrap/>
          </w:tcPr>
          <w:p>
            <w:pPr>
              <w:pStyle w:val="yTableNAm"/>
            </w:pPr>
            <w:r>
              <w:t>Application under section 20F of the Act to alter particulars of premises</w:t>
            </w:r>
          </w:p>
        </w:tc>
        <w:tc>
          <w:tcPr>
            <w:tcW w:w="1559" w:type="dxa"/>
            <w:tcBorders>
              <w:top w:val="nil"/>
              <w:left w:val="nil"/>
              <w:bottom w:val="nil"/>
              <w:right w:val="nil"/>
            </w:tcBorders>
            <w:noWrap/>
            <w:vAlign w:val="bottom"/>
          </w:tcPr>
          <w:p>
            <w:pPr>
              <w:pStyle w:val="yTableNAm"/>
              <w:ind w:left="-107"/>
              <w:jc w:val="right"/>
            </w:pPr>
            <w:r>
              <w:t>173.00</w:t>
            </w:r>
          </w:p>
        </w:tc>
      </w:tr>
      <w:tr>
        <w:trPr>
          <w:cantSplit/>
          <w:jc w:val="center"/>
        </w:trPr>
        <w:tc>
          <w:tcPr>
            <w:tcW w:w="709" w:type="dxa"/>
            <w:tcBorders>
              <w:top w:val="nil"/>
              <w:left w:val="nil"/>
              <w:bottom w:val="nil"/>
              <w:right w:val="nil"/>
            </w:tcBorders>
            <w:noWrap/>
          </w:tcPr>
          <w:p>
            <w:pPr>
              <w:pStyle w:val="yTableNAm"/>
            </w:pPr>
            <w:r>
              <w:t>3.</w:t>
            </w:r>
          </w:p>
        </w:tc>
        <w:tc>
          <w:tcPr>
            <w:tcW w:w="3402" w:type="dxa"/>
            <w:tcBorders>
              <w:top w:val="nil"/>
              <w:left w:val="nil"/>
              <w:bottom w:val="nil"/>
              <w:right w:val="nil"/>
            </w:tcBorders>
            <w:noWrap/>
          </w:tcPr>
          <w:p>
            <w:pPr>
              <w:pStyle w:val="yTableNAm"/>
            </w:pPr>
            <w:r>
              <w:t>Application under section 20F of the Act to add to particulars of premises</w:t>
            </w:r>
          </w:p>
        </w:tc>
        <w:tc>
          <w:tcPr>
            <w:tcW w:w="1559" w:type="dxa"/>
            <w:tcBorders>
              <w:top w:val="nil"/>
              <w:left w:val="nil"/>
              <w:bottom w:val="nil"/>
              <w:right w:val="nil"/>
            </w:tcBorders>
            <w:noWrap/>
            <w:vAlign w:val="bottom"/>
          </w:tcPr>
          <w:p>
            <w:pPr>
              <w:pStyle w:val="yTableNAm"/>
              <w:ind w:left="-107"/>
              <w:jc w:val="right"/>
            </w:pPr>
            <w:r>
              <w:br/>
            </w:r>
            <w:r>
              <w:br/>
            </w:r>
            <w:r>
              <w:rPr>
                <w:szCs w:val="22"/>
              </w:rPr>
              <w:t>165.00</w:t>
            </w:r>
            <w:r>
              <w:t xml:space="preserve"> for each addition</w:t>
            </w:r>
          </w:p>
        </w:tc>
      </w:tr>
      <w:tr>
        <w:trPr>
          <w:cantSplit/>
          <w:jc w:val="center"/>
        </w:trPr>
        <w:tc>
          <w:tcPr>
            <w:tcW w:w="709" w:type="dxa"/>
            <w:tcBorders>
              <w:top w:val="nil"/>
              <w:left w:val="nil"/>
              <w:bottom w:val="nil"/>
              <w:right w:val="nil"/>
            </w:tcBorders>
            <w:noWrap/>
          </w:tcPr>
          <w:p>
            <w:pPr>
              <w:pStyle w:val="yTableNAm"/>
            </w:pPr>
            <w:r>
              <w:t>4.</w:t>
            </w:r>
          </w:p>
        </w:tc>
        <w:tc>
          <w:tcPr>
            <w:tcW w:w="3402" w:type="dxa"/>
            <w:tcBorders>
              <w:top w:val="nil"/>
              <w:left w:val="nil"/>
              <w:bottom w:val="nil"/>
              <w:right w:val="nil"/>
            </w:tcBorders>
            <w:noWrap/>
          </w:tcPr>
          <w:p>
            <w:pPr>
              <w:pStyle w:val="yTableNAm"/>
            </w:pPr>
            <w:r>
              <w:t>Application for a temporary permit under section 20H of the Act</w:t>
            </w:r>
          </w:p>
        </w:tc>
        <w:tc>
          <w:tcPr>
            <w:tcW w:w="1559" w:type="dxa"/>
            <w:tcBorders>
              <w:top w:val="nil"/>
              <w:left w:val="nil"/>
              <w:bottom w:val="nil"/>
              <w:right w:val="nil"/>
            </w:tcBorders>
            <w:noWrap/>
            <w:vAlign w:val="bottom"/>
          </w:tcPr>
          <w:p>
            <w:pPr>
              <w:pStyle w:val="yTableNAm"/>
              <w:ind w:left="-107"/>
              <w:jc w:val="right"/>
            </w:pPr>
            <w:r>
              <w:t>222.00</w:t>
            </w:r>
          </w:p>
        </w:tc>
      </w:tr>
      <w:tr>
        <w:trPr>
          <w:cantSplit/>
          <w:jc w:val="center"/>
        </w:trPr>
        <w:tc>
          <w:tcPr>
            <w:tcW w:w="709" w:type="dxa"/>
            <w:tcBorders>
              <w:top w:val="nil"/>
              <w:left w:val="nil"/>
              <w:bottom w:val="nil"/>
              <w:right w:val="nil"/>
            </w:tcBorders>
            <w:noWrap/>
          </w:tcPr>
          <w:p>
            <w:pPr>
              <w:pStyle w:val="yTableNAm"/>
            </w:pPr>
            <w:r>
              <w:t>5.</w:t>
            </w:r>
          </w:p>
        </w:tc>
        <w:tc>
          <w:tcPr>
            <w:tcW w:w="3402" w:type="dxa"/>
            <w:tcBorders>
              <w:top w:val="nil"/>
              <w:left w:val="nil"/>
              <w:bottom w:val="nil"/>
              <w:right w:val="nil"/>
            </w:tcBorders>
            <w:noWrap/>
          </w:tcPr>
          <w:p>
            <w:pPr>
              <w:pStyle w:val="yTableNAm"/>
            </w:pPr>
            <w:r>
              <w:t>Application for yard manager’s licence or renewal of yard manager’s licence for the period prescribed by regulation 6A</w:t>
            </w:r>
          </w:p>
        </w:tc>
        <w:tc>
          <w:tcPr>
            <w:tcW w:w="1559" w:type="dxa"/>
            <w:tcBorders>
              <w:top w:val="nil"/>
              <w:left w:val="nil"/>
              <w:bottom w:val="nil"/>
              <w:right w:val="nil"/>
            </w:tcBorders>
            <w:noWrap/>
            <w:vAlign w:val="bottom"/>
          </w:tcPr>
          <w:p>
            <w:pPr>
              <w:pStyle w:val="yTableNAm"/>
              <w:ind w:left="-107"/>
              <w:jc w:val="right"/>
            </w:pPr>
            <w:r>
              <w:t>533.00</w:t>
            </w:r>
          </w:p>
        </w:tc>
      </w:tr>
      <w:tr>
        <w:trPr>
          <w:cantSplit/>
          <w:jc w:val="center"/>
        </w:trPr>
        <w:tc>
          <w:tcPr>
            <w:tcW w:w="709" w:type="dxa"/>
            <w:tcBorders>
              <w:top w:val="nil"/>
              <w:left w:val="nil"/>
              <w:bottom w:val="nil"/>
              <w:right w:val="nil"/>
            </w:tcBorders>
            <w:noWrap/>
          </w:tcPr>
          <w:p>
            <w:pPr>
              <w:pStyle w:val="yTableNAm"/>
            </w:pPr>
            <w:r>
              <w:t>6.</w:t>
            </w:r>
          </w:p>
        </w:tc>
        <w:tc>
          <w:tcPr>
            <w:tcW w:w="3402" w:type="dxa"/>
            <w:tcBorders>
              <w:top w:val="nil"/>
              <w:left w:val="nil"/>
              <w:bottom w:val="nil"/>
              <w:right w:val="nil"/>
            </w:tcBorders>
            <w:noWrap/>
          </w:tcPr>
          <w:p>
            <w:pPr>
              <w:pStyle w:val="yTableNAm"/>
            </w:pPr>
            <w:r>
              <w:t>Application for salesperson’s licence or renewal of salesperson’s licence for the period prescribed by regulation 6A</w:t>
            </w:r>
          </w:p>
        </w:tc>
        <w:tc>
          <w:tcPr>
            <w:tcW w:w="1559" w:type="dxa"/>
            <w:tcBorders>
              <w:top w:val="nil"/>
              <w:left w:val="nil"/>
              <w:bottom w:val="nil"/>
              <w:right w:val="nil"/>
            </w:tcBorders>
            <w:noWrap/>
            <w:vAlign w:val="bottom"/>
          </w:tcPr>
          <w:p>
            <w:pPr>
              <w:pStyle w:val="yTableNAm"/>
              <w:ind w:left="-107"/>
              <w:jc w:val="right"/>
            </w:pPr>
            <w:r>
              <w:t>362.00</w:t>
            </w:r>
          </w:p>
        </w:tc>
      </w:tr>
      <w:tr>
        <w:trPr>
          <w:cantSplit/>
          <w:trHeight w:val="768"/>
          <w:jc w:val="center"/>
        </w:trPr>
        <w:tc>
          <w:tcPr>
            <w:tcW w:w="709" w:type="dxa"/>
            <w:tcBorders>
              <w:top w:val="nil"/>
              <w:left w:val="nil"/>
              <w:bottom w:val="nil"/>
              <w:right w:val="nil"/>
            </w:tcBorders>
            <w:noWrap/>
          </w:tcPr>
          <w:p>
            <w:pPr>
              <w:pStyle w:val="yTableNAm"/>
            </w:pPr>
            <w:r>
              <w:lastRenderedPageBreak/>
              <w:t>7.</w:t>
            </w:r>
          </w:p>
        </w:tc>
        <w:tc>
          <w:tcPr>
            <w:tcW w:w="3402" w:type="dxa"/>
            <w:tcBorders>
              <w:top w:val="nil"/>
              <w:left w:val="nil"/>
              <w:bottom w:val="nil"/>
              <w:right w:val="nil"/>
            </w:tcBorders>
            <w:noWrap/>
          </w:tcPr>
          <w:p>
            <w:pPr>
              <w:pStyle w:val="yTableNAm"/>
            </w:pPr>
            <w:r>
              <w:t xml:space="preserve">Application for car market operator’s registration or renewal of car market operator’s registration </w:t>
            </w:r>
          </w:p>
        </w:tc>
        <w:tc>
          <w:tcPr>
            <w:tcW w:w="1559" w:type="dxa"/>
            <w:tcBorders>
              <w:top w:val="nil"/>
              <w:left w:val="nil"/>
              <w:bottom w:val="nil"/>
              <w:right w:val="nil"/>
            </w:tcBorders>
            <w:noWrap/>
            <w:vAlign w:val="bottom"/>
          </w:tcPr>
          <w:p>
            <w:pPr>
              <w:pStyle w:val="yTableNAm"/>
              <w:ind w:left="-107"/>
              <w:jc w:val="right"/>
            </w:pPr>
            <w:r>
              <w:br/>
            </w:r>
            <w:r>
              <w:br/>
              <w:t>1 000.00 plus 1 003.00 for each premises to be authorised under section 21A(3) of the Act in relation to the registration</w:t>
            </w:r>
          </w:p>
        </w:tc>
      </w:tr>
      <w:tr>
        <w:trPr>
          <w:cantSplit/>
          <w:jc w:val="center"/>
        </w:trPr>
        <w:tc>
          <w:tcPr>
            <w:tcW w:w="709" w:type="dxa"/>
            <w:tcBorders>
              <w:top w:val="nil"/>
              <w:left w:val="nil"/>
              <w:bottom w:val="nil"/>
              <w:right w:val="nil"/>
            </w:tcBorders>
            <w:noWrap/>
          </w:tcPr>
          <w:p>
            <w:pPr>
              <w:pStyle w:val="yTableNAm"/>
              <w:keepNext/>
            </w:pPr>
            <w:r>
              <w:t>8.</w:t>
            </w:r>
          </w:p>
        </w:tc>
        <w:tc>
          <w:tcPr>
            <w:tcW w:w="3402" w:type="dxa"/>
            <w:tcBorders>
              <w:top w:val="nil"/>
              <w:left w:val="nil"/>
              <w:bottom w:val="nil"/>
              <w:right w:val="nil"/>
            </w:tcBorders>
            <w:noWrap/>
          </w:tcPr>
          <w:p>
            <w:pPr>
              <w:pStyle w:val="yTableNAm"/>
              <w:keepNext/>
            </w:pPr>
            <w:r>
              <w:t>Application under section 21B of the Act to alter particulars of premises</w:t>
            </w:r>
          </w:p>
        </w:tc>
        <w:tc>
          <w:tcPr>
            <w:tcW w:w="1559" w:type="dxa"/>
            <w:tcBorders>
              <w:top w:val="nil"/>
              <w:left w:val="nil"/>
              <w:bottom w:val="nil"/>
              <w:right w:val="nil"/>
            </w:tcBorders>
            <w:noWrap/>
            <w:vAlign w:val="bottom"/>
          </w:tcPr>
          <w:p>
            <w:pPr>
              <w:pStyle w:val="yTableNAm"/>
              <w:keepNext/>
              <w:ind w:left="-107"/>
              <w:jc w:val="right"/>
            </w:pPr>
            <w:r>
              <w:t>156.00</w:t>
            </w:r>
          </w:p>
        </w:tc>
      </w:tr>
      <w:tr>
        <w:trPr>
          <w:cantSplit/>
          <w:jc w:val="center"/>
        </w:trPr>
        <w:tc>
          <w:tcPr>
            <w:tcW w:w="709" w:type="dxa"/>
            <w:tcBorders>
              <w:top w:val="nil"/>
              <w:left w:val="nil"/>
              <w:bottom w:val="nil"/>
              <w:right w:val="nil"/>
            </w:tcBorders>
            <w:noWrap/>
          </w:tcPr>
          <w:p>
            <w:pPr>
              <w:pStyle w:val="yTableNAm"/>
            </w:pPr>
            <w:r>
              <w:t>9.</w:t>
            </w:r>
          </w:p>
        </w:tc>
        <w:tc>
          <w:tcPr>
            <w:tcW w:w="3402" w:type="dxa"/>
            <w:tcBorders>
              <w:top w:val="nil"/>
              <w:left w:val="nil"/>
              <w:bottom w:val="nil"/>
              <w:right w:val="nil"/>
            </w:tcBorders>
            <w:noWrap/>
          </w:tcPr>
          <w:p>
            <w:pPr>
              <w:pStyle w:val="yTableNAm"/>
            </w:pPr>
            <w:r>
              <w:t>Application under section 21B of the Act to add to particulars of premises</w:t>
            </w:r>
          </w:p>
        </w:tc>
        <w:tc>
          <w:tcPr>
            <w:tcW w:w="1559" w:type="dxa"/>
            <w:tcBorders>
              <w:top w:val="nil"/>
              <w:left w:val="nil"/>
              <w:bottom w:val="nil"/>
              <w:right w:val="nil"/>
            </w:tcBorders>
            <w:noWrap/>
            <w:vAlign w:val="bottom"/>
          </w:tcPr>
          <w:p>
            <w:pPr>
              <w:pStyle w:val="yTableNAm"/>
              <w:ind w:left="-107"/>
              <w:jc w:val="right"/>
            </w:pPr>
            <w:r>
              <w:br/>
            </w:r>
            <w:r>
              <w:br/>
            </w:r>
            <w:r>
              <w:rPr>
                <w:szCs w:val="22"/>
              </w:rPr>
              <w:t>149.00</w:t>
            </w:r>
            <w:r>
              <w:t xml:space="preserve"> for each addition</w:t>
            </w:r>
          </w:p>
        </w:tc>
      </w:tr>
      <w:tr>
        <w:trPr>
          <w:cantSplit/>
          <w:jc w:val="center"/>
        </w:trPr>
        <w:tc>
          <w:tcPr>
            <w:tcW w:w="709" w:type="dxa"/>
            <w:tcBorders>
              <w:top w:val="nil"/>
              <w:left w:val="nil"/>
              <w:bottom w:val="nil"/>
              <w:right w:val="nil"/>
            </w:tcBorders>
            <w:noWrap/>
          </w:tcPr>
          <w:p>
            <w:pPr>
              <w:pStyle w:val="yTableNAm"/>
            </w:pPr>
            <w:r>
              <w:t>10.</w:t>
            </w:r>
          </w:p>
        </w:tc>
        <w:tc>
          <w:tcPr>
            <w:tcW w:w="3402" w:type="dxa"/>
            <w:tcBorders>
              <w:top w:val="nil"/>
              <w:left w:val="nil"/>
              <w:bottom w:val="nil"/>
              <w:right w:val="nil"/>
            </w:tcBorders>
            <w:noWrap/>
          </w:tcPr>
          <w:p>
            <w:pPr>
              <w:pStyle w:val="yTableNAm"/>
            </w:pPr>
            <w:r>
              <w:t>Application for exemption from the Act under section 31(1) of the Act</w:t>
            </w:r>
          </w:p>
        </w:tc>
        <w:tc>
          <w:tcPr>
            <w:tcW w:w="1559" w:type="dxa"/>
            <w:tcBorders>
              <w:top w:val="nil"/>
              <w:left w:val="nil"/>
              <w:bottom w:val="nil"/>
              <w:right w:val="nil"/>
            </w:tcBorders>
            <w:noWrap/>
            <w:vAlign w:val="bottom"/>
          </w:tcPr>
          <w:p>
            <w:pPr>
              <w:pStyle w:val="yTableNAm"/>
              <w:ind w:left="-107"/>
              <w:jc w:val="right"/>
            </w:pPr>
            <w:r>
              <w:t>170.00</w:t>
            </w:r>
          </w:p>
        </w:tc>
      </w:tr>
      <w:tr>
        <w:trPr>
          <w:cantSplit/>
          <w:jc w:val="center"/>
        </w:trPr>
        <w:tc>
          <w:tcPr>
            <w:tcW w:w="709" w:type="dxa"/>
            <w:tcBorders>
              <w:top w:val="nil"/>
              <w:left w:val="nil"/>
              <w:bottom w:val="nil"/>
              <w:right w:val="nil"/>
            </w:tcBorders>
            <w:noWrap/>
          </w:tcPr>
          <w:p>
            <w:pPr>
              <w:pStyle w:val="yTableNAm"/>
            </w:pPr>
            <w:r>
              <w:t>11.</w:t>
            </w:r>
          </w:p>
        </w:tc>
        <w:tc>
          <w:tcPr>
            <w:tcW w:w="3402" w:type="dxa"/>
            <w:tcBorders>
              <w:top w:val="nil"/>
              <w:left w:val="nil"/>
              <w:bottom w:val="nil"/>
              <w:right w:val="nil"/>
            </w:tcBorders>
            <w:noWrap/>
          </w:tcPr>
          <w:p>
            <w:pPr>
              <w:pStyle w:val="yTableNAm"/>
            </w:pPr>
            <w:r>
              <w:t>Duplicate licence</w:t>
            </w:r>
          </w:p>
        </w:tc>
        <w:tc>
          <w:tcPr>
            <w:tcW w:w="1559" w:type="dxa"/>
            <w:tcBorders>
              <w:top w:val="nil"/>
              <w:left w:val="nil"/>
              <w:bottom w:val="nil"/>
              <w:right w:val="nil"/>
            </w:tcBorders>
            <w:noWrap/>
            <w:vAlign w:val="bottom"/>
          </w:tcPr>
          <w:p>
            <w:pPr>
              <w:pStyle w:val="yTableNAm"/>
              <w:ind w:left="-107"/>
              <w:jc w:val="right"/>
            </w:pPr>
            <w:r>
              <w:t>31.00</w:t>
            </w:r>
          </w:p>
        </w:tc>
      </w:tr>
      <w:tr>
        <w:trPr>
          <w:cantSplit/>
          <w:jc w:val="center"/>
        </w:trPr>
        <w:tc>
          <w:tcPr>
            <w:tcW w:w="709" w:type="dxa"/>
            <w:tcBorders>
              <w:top w:val="nil"/>
              <w:left w:val="nil"/>
              <w:bottom w:val="nil"/>
              <w:right w:val="nil"/>
            </w:tcBorders>
            <w:noWrap/>
          </w:tcPr>
          <w:p>
            <w:pPr>
              <w:pStyle w:val="yTableNAm"/>
            </w:pPr>
            <w:r>
              <w:t>12.</w:t>
            </w:r>
          </w:p>
        </w:tc>
        <w:tc>
          <w:tcPr>
            <w:tcW w:w="3402" w:type="dxa"/>
            <w:tcBorders>
              <w:top w:val="nil"/>
              <w:left w:val="nil"/>
              <w:bottom w:val="nil"/>
              <w:right w:val="nil"/>
            </w:tcBorders>
            <w:noWrap/>
          </w:tcPr>
          <w:p>
            <w:pPr>
              <w:pStyle w:val="yTableNAm"/>
            </w:pPr>
            <w:r>
              <w:t>Certificate showing whether or not a person was recorded in the register kept under section 24 of the Act as the holder of an authorisation on a specified date or during a specific period —</w:t>
            </w:r>
          </w:p>
        </w:tc>
        <w:tc>
          <w:tcPr>
            <w:tcW w:w="1559" w:type="dxa"/>
            <w:tcBorders>
              <w:top w:val="nil"/>
              <w:left w:val="nil"/>
              <w:bottom w:val="nil"/>
              <w:right w:val="nil"/>
            </w:tcBorders>
            <w:noWrap/>
            <w:vAlign w:val="bottom"/>
          </w:tcPr>
          <w:p>
            <w:pPr>
              <w:pStyle w:val="yTableNAm"/>
              <w:ind w:left="-107"/>
              <w:jc w:val="right"/>
            </w:pPr>
          </w:p>
        </w:tc>
      </w:tr>
      <w:tr>
        <w:trPr>
          <w:cantSplit/>
          <w:jc w:val="center"/>
        </w:trPr>
        <w:tc>
          <w:tcPr>
            <w:tcW w:w="709" w:type="dxa"/>
            <w:tcBorders>
              <w:top w:val="nil"/>
              <w:left w:val="nil"/>
              <w:bottom w:val="nil"/>
              <w:right w:val="nil"/>
            </w:tcBorders>
            <w:noWrap/>
          </w:tcPr>
          <w:p>
            <w:pPr>
              <w:pStyle w:val="yTableNAm"/>
            </w:pPr>
          </w:p>
        </w:tc>
        <w:tc>
          <w:tcPr>
            <w:tcW w:w="3402" w:type="dxa"/>
            <w:tcBorders>
              <w:top w:val="nil"/>
              <w:left w:val="nil"/>
              <w:bottom w:val="nil"/>
              <w:right w:val="nil"/>
            </w:tcBorders>
            <w:noWrap/>
          </w:tcPr>
          <w:p>
            <w:pPr>
              <w:pStyle w:val="yTableNAm"/>
            </w:pPr>
            <w:r>
              <w:t>(a)</w:t>
            </w:r>
            <w:r>
              <w:tab/>
              <w:t>first page</w:t>
            </w:r>
          </w:p>
        </w:tc>
        <w:tc>
          <w:tcPr>
            <w:tcW w:w="1559" w:type="dxa"/>
            <w:tcBorders>
              <w:top w:val="nil"/>
              <w:left w:val="nil"/>
              <w:bottom w:val="nil"/>
              <w:right w:val="nil"/>
            </w:tcBorders>
            <w:noWrap/>
            <w:vAlign w:val="bottom"/>
          </w:tcPr>
          <w:p>
            <w:pPr>
              <w:pStyle w:val="yTableNAm"/>
              <w:ind w:left="-107"/>
              <w:jc w:val="right"/>
            </w:pPr>
            <w:r>
              <w:t>13.00</w:t>
            </w:r>
          </w:p>
        </w:tc>
      </w:tr>
      <w:tr>
        <w:trPr>
          <w:cantSplit/>
          <w:jc w:val="center"/>
        </w:trPr>
        <w:tc>
          <w:tcPr>
            <w:tcW w:w="709" w:type="dxa"/>
            <w:tcBorders>
              <w:top w:val="nil"/>
              <w:left w:val="nil"/>
              <w:bottom w:val="nil"/>
              <w:right w:val="nil"/>
            </w:tcBorders>
            <w:noWrap/>
          </w:tcPr>
          <w:p>
            <w:pPr>
              <w:pStyle w:val="yTableNAm"/>
            </w:pPr>
          </w:p>
        </w:tc>
        <w:tc>
          <w:tcPr>
            <w:tcW w:w="3402" w:type="dxa"/>
            <w:tcBorders>
              <w:top w:val="nil"/>
              <w:left w:val="nil"/>
              <w:bottom w:val="nil"/>
              <w:right w:val="nil"/>
            </w:tcBorders>
            <w:noWrap/>
          </w:tcPr>
          <w:p>
            <w:pPr>
              <w:pStyle w:val="yTableNAm"/>
            </w:pPr>
            <w:r>
              <w:t>(b)</w:t>
            </w:r>
            <w:r>
              <w:tab/>
              <w:t>each subsequent page</w:t>
            </w:r>
          </w:p>
        </w:tc>
        <w:tc>
          <w:tcPr>
            <w:tcW w:w="1559" w:type="dxa"/>
            <w:tcBorders>
              <w:top w:val="nil"/>
              <w:left w:val="nil"/>
              <w:bottom w:val="nil"/>
              <w:right w:val="nil"/>
            </w:tcBorders>
            <w:noWrap/>
            <w:vAlign w:val="bottom"/>
          </w:tcPr>
          <w:p>
            <w:pPr>
              <w:pStyle w:val="yTableNAm"/>
              <w:ind w:left="-107"/>
              <w:jc w:val="right"/>
            </w:pPr>
            <w:r>
              <w:t>2.30</w:t>
            </w:r>
          </w:p>
        </w:tc>
      </w:tr>
      <w:tr>
        <w:trPr>
          <w:cantSplit/>
          <w:jc w:val="center"/>
        </w:trPr>
        <w:tc>
          <w:tcPr>
            <w:tcW w:w="709" w:type="dxa"/>
            <w:tcBorders>
              <w:top w:val="nil"/>
              <w:left w:val="nil"/>
              <w:bottom w:val="nil"/>
              <w:right w:val="nil"/>
            </w:tcBorders>
            <w:noWrap/>
          </w:tcPr>
          <w:p>
            <w:pPr>
              <w:pStyle w:val="yTableNAm"/>
            </w:pPr>
            <w:r>
              <w:lastRenderedPageBreak/>
              <w:t>13.</w:t>
            </w:r>
          </w:p>
        </w:tc>
        <w:tc>
          <w:tcPr>
            <w:tcW w:w="3402" w:type="dxa"/>
            <w:tcBorders>
              <w:top w:val="nil"/>
              <w:left w:val="nil"/>
              <w:bottom w:val="nil"/>
              <w:right w:val="nil"/>
            </w:tcBorders>
            <w:noWrap/>
          </w:tcPr>
          <w:p>
            <w:pPr>
              <w:pStyle w:val="yTableNAm"/>
            </w:pPr>
            <w:r>
              <w:t>Certificate showing all persons recorded in the register kept under section 24 of the Act as the holder of an authorisation on a specified date or during a specific period</w:t>
            </w:r>
          </w:p>
        </w:tc>
        <w:tc>
          <w:tcPr>
            <w:tcW w:w="1559" w:type="dxa"/>
            <w:tcBorders>
              <w:top w:val="nil"/>
              <w:left w:val="nil"/>
              <w:bottom w:val="nil"/>
              <w:right w:val="nil"/>
            </w:tcBorders>
            <w:noWrap/>
            <w:vAlign w:val="bottom"/>
          </w:tcPr>
          <w:p>
            <w:pPr>
              <w:pStyle w:val="yTableNAm"/>
              <w:ind w:left="-107"/>
              <w:jc w:val="right"/>
            </w:pPr>
            <w:r>
              <w:t>127.00</w:t>
            </w:r>
          </w:p>
        </w:tc>
      </w:tr>
      <w:tr>
        <w:trPr>
          <w:cantSplit/>
          <w:jc w:val="center"/>
        </w:trPr>
        <w:tc>
          <w:tcPr>
            <w:tcW w:w="709" w:type="dxa"/>
            <w:tcBorders>
              <w:top w:val="nil"/>
              <w:left w:val="nil"/>
              <w:bottom w:val="nil"/>
              <w:right w:val="nil"/>
            </w:tcBorders>
            <w:noWrap/>
          </w:tcPr>
          <w:p>
            <w:pPr>
              <w:pStyle w:val="yTableNAm"/>
            </w:pPr>
            <w:r>
              <w:t>14.</w:t>
            </w:r>
          </w:p>
        </w:tc>
        <w:tc>
          <w:tcPr>
            <w:tcW w:w="3402" w:type="dxa"/>
            <w:tcBorders>
              <w:top w:val="nil"/>
              <w:left w:val="nil"/>
              <w:bottom w:val="nil"/>
              <w:right w:val="nil"/>
            </w:tcBorders>
            <w:noWrap/>
          </w:tcPr>
          <w:p>
            <w:pPr>
              <w:pStyle w:val="yTableNAm"/>
            </w:pPr>
            <w:r>
              <w:t xml:space="preserve">Certificate showing any other matter appearing in the register kept under section 24 of the Act — </w:t>
            </w:r>
          </w:p>
        </w:tc>
        <w:tc>
          <w:tcPr>
            <w:tcW w:w="1559" w:type="dxa"/>
            <w:tcBorders>
              <w:top w:val="nil"/>
              <w:left w:val="nil"/>
              <w:bottom w:val="nil"/>
              <w:right w:val="nil"/>
            </w:tcBorders>
            <w:noWrap/>
            <w:vAlign w:val="bottom"/>
          </w:tcPr>
          <w:p>
            <w:pPr>
              <w:pStyle w:val="yTableNAm"/>
              <w:ind w:left="-107"/>
              <w:jc w:val="right"/>
            </w:pPr>
          </w:p>
        </w:tc>
      </w:tr>
      <w:tr>
        <w:trPr>
          <w:cantSplit/>
          <w:jc w:val="center"/>
        </w:trPr>
        <w:tc>
          <w:tcPr>
            <w:tcW w:w="709" w:type="dxa"/>
            <w:tcBorders>
              <w:top w:val="nil"/>
              <w:left w:val="nil"/>
              <w:bottom w:val="nil"/>
              <w:right w:val="nil"/>
            </w:tcBorders>
            <w:noWrap/>
          </w:tcPr>
          <w:p>
            <w:pPr>
              <w:pStyle w:val="yTableNAm"/>
            </w:pPr>
          </w:p>
        </w:tc>
        <w:tc>
          <w:tcPr>
            <w:tcW w:w="3402" w:type="dxa"/>
            <w:tcBorders>
              <w:top w:val="nil"/>
              <w:left w:val="nil"/>
              <w:bottom w:val="nil"/>
              <w:right w:val="nil"/>
            </w:tcBorders>
            <w:noWrap/>
          </w:tcPr>
          <w:p>
            <w:pPr>
              <w:pStyle w:val="yTableNAm"/>
            </w:pPr>
            <w:r>
              <w:t>(a)</w:t>
            </w:r>
            <w:r>
              <w:tab/>
              <w:t>first page</w:t>
            </w:r>
          </w:p>
        </w:tc>
        <w:tc>
          <w:tcPr>
            <w:tcW w:w="1559" w:type="dxa"/>
            <w:tcBorders>
              <w:top w:val="nil"/>
              <w:left w:val="nil"/>
              <w:bottom w:val="nil"/>
              <w:right w:val="nil"/>
            </w:tcBorders>
            <w:noWrap/>
            <w:vAlign w:val="bottom"/>
          </w:tcPr>
          <w:p>
            <w:pPr>
              <w:pStyle w:val="yTableNAm"/>
              <w:ind w:left="-107"/>
              <w:jc w:val="right"/>
            </w:pPr>
            <w:r>
              <w:t>12.20</w:t>
            </w:r>
          </w:p>
        </w:tc>
      </w:tr>
      <w:tr>
        <w:trPr>
          <w:cantSplit/>
          <w:jc w:val="center"/>
        </w:trPr>
        <w:tc>
          <w:tcPr>
            <w:tcW w:w="709" w:type="dxa"/>
            <w:tcBorders>
              <w:top w:val="nil"/>
              <w:left w:val="nil"/>
              <w:bottom w:val="nil"/>
              <w:right w:val="nil"/>
            </w:tcBorders>
            <w:noWrap/>
          </w:tcPr>
          <w:p>
            <w:pPr>
              <w:pStyle w:val="yTableNAm"/>
            </w:pPr>
          </w:p>
        </w:tc>
        <w:tc>
          <w:tcPr>
            <w:tcW w:w="3402" w:type="dxa"/>
            <w:tcBorders>
              <w:top w:val="nil"/>
              <w:left w:val="nil"/>
              <w:bottom w:val="nil"/>
              <w:right w:val="nil"/>
            </w:tcBorders>
            <w:noWrap/>
          </w:tcPr>
          <w:p>
            <w:pPr>
              <w:pStyle w:val="yTableNAm"/>
            </w:pPr>
            <w:r>
              <w:t>(b)</w:t>
            </w:r>
            <w:r>
              <w:tab/>
              <w:t>each subsequent page</w:t>
            </w:r>
          </w:p>
        </w:tc>
        <w:tc>
          <w:tcPr>
            <w:tcW w:w="1559" w:type="dxa"/>
            <w:tcBorders>
              <w:top w:val="nil"/>
              <w:left w:val="nil"/>
              <w:bottom w:val="nil"/>
              <w:right w:val="nil"/>
            </w:tcBorders>
            <w:noWrap/>
            <w:vAlign w:val="bottom"/>
          </w:tcPr>
          <w:p>
            <w:pPr>
              <w:pStyle w:val="yTableNAm"/>
              <w:ind w:left="-107"/>
              <w:jc w:val="right"/>
            </w:pPr>
            <w:r>
              <w:t>2.30</w:t>
            </w:r>
          </w:p>
        </w:tc>
      </w:tr>
      <w:tr>
        <w:trPr>
          <w:cantSplit/>
          <w:jc w:val="center"/>
        </w:trPr>
        <w:tc>
          <w:tcPr>
            <w:tcW w:w="709" w:type="dxa"/>
            <w:tcBorders>
              <w:top w:val="nil"/>
              <w:left w:val="nil"/>
              <w:right w:val="nil"/>
            </w:tcBorders>
            <w:noWrap/>
          </w:tcPr>
          <w:p>
            <w:pPr>
              <w:pStyle w:val="yTableNAm"/>
              <w:spacing w:after="120"/>
            </w:pPr>
            <w:r>
              <w:t>15.</w:t>
            </w:r>
          </w:p>
        </w:tc>
        <w:tc>
          <w:tcPr>
            <w:tcW w:w="3402" w:type="dxa"/>
            <w:tcBorders>
              <w:top w:val="nil"/>
              <w:left w:val="nil"/>
              <w:right w:val="nil"/>
            </w:tcBorders>
            <w:noWrap/>
          </w:tcPr>
          <w:p>
            <w:pPr>
              <w:pStyle w:val="yTableNAm"/>
              <w:spacing w:after="120"/>
            </w:pPr>
            <w:r>
              <w:t>Inspection of register kept under section 24 of the Act</w:t>
            </w:r>
          </w:p>
        </w:tc>
        <w:tc>
          <w:tcPr>
            <w:tcW w:w="1559" w:type="dxa"/>
            <w:tcBorders>
              <w:top w:val="nil"/>
              <w:left w:val="nil"/>
              <w:right w:val="nil"/>
            </w:tcBorders>
            <w:noWrap/>
            <w:vAlign w:val="bottom"/>
          </w:tcPr>
          <w:p>
            <w:pPr>
              <w:pStyle w:val="yTableNAm"/>
              <w:spacing w:after="120"/>
              <w:ind w:left="-107"/>
              <w:jc w:val="right"/>
            </w:pPr>
            <w:r>
              <w:t>11.80</w:t>
            </w:r>
          </w:p>
        </w:tc>
      </w:tr>
    </w:tbl>
    <w:p>
      <w:pPr>
        <w:pStyle w:val="yFootnotesection"/>
      </w:pPr>
      <w:r>
        <w:tab/>
        <w:t>[Schedule 3 inserted: SL 2022/59 r. 26.]</w:t>
      </w:r>
    </w:p>
    <w:p>
      <w:pPr>
        <w:pStyle w:val="yScheduleHeading"/>
      </w:pPr>
      <w:bookmarkStart w:id="17" w:name="_Toc114569050"/>
      <w:bookmarkStart w:id="18" w:name="_Toc114569207"/>
      <w:bookmarkStart w:id="19" w:name="_Toc114580596"/>
      <w:bookmarkStart w:id="20" w:name="_Toc114580755"/>
      <w:r>
        <w:rPr>
          <w:rStyle w:val="CharSchNo"/>
        </w:rPr>
        <w:lastRenderedPageBreak/>
        <w:t>Schedule 4</w:t>
      </w:r>
      <w:r>
        <w:t> — </w:t>
      </w:r>
      <w:r>
        <w:rPr>
          <w:rStyle w:val="CharSchText"/>
        </w:rPr>
        <w:t>Classes and descriptions of business and categories of dealer’s licence</w:t>
      </w:r>
      <w:bookmarkEnd w:id="17"/>
      <w:bookmarkEnd w:id="18"/>
      <w:bookmarkEnd w:id="19"/>
      <w:bookmarkEnd w:id="20"/>
    </w:p>
    <w:p>
      <w:pPr>
        <w:pStyle w:val="yShoulderClause"/>
      </w:pPr>
      <w:r>
        <w:t>[r. 8]</w:t>
      </w:r>
    </w:p>
    <w:p>
      <w:pPr>
        <w:pStyle w:val="yFootnoteheading"/>
      </w:pPr>
      <w:r>
        <w:tab/>
        <w:t>[Heading inserted: SL 2021/164 r. 10.]</w:t>
      </w:r>
    </w:p>
    <w:tbl>
      <w:tblPr>
        <w:tblW w:w="6980" w:type="dxa"/>
        <w:tblInd w:w="108" w:type="dxa"/>
        <w:tblLayout w:type="fixed"/>
        <w:tblLook w:val="0000" w:firstRow="0" w:lastRow="0" w:firstColumn="0" w:lastColumn="0" w:noHBand="0" w:noVBand="0"/>
      </w:tblPr>
      <w:tblGrid>
        <w:gridCol w:w="3544"/>
        <w:gridCol w:w="3436"/>
      </w:tblGrid>
      <w:tr>
        <w:trPr>
          <w:cantSplit/>
          <w:tblHeader/>
        </w:trPr>
        <w:tc>
          <w:tcPr>
            <w:tcW w:w="3544" w:type="dxa"/>
            <w:noWrap/>
          </w:tcPr>
          <w:p>
            <w:pPr>
              <w:pStyle w:val="yTableNAm"/>
              <w:rPr>
                <w:b/>
              </w:rPr>
            </w:pPr>
            <w:r>
              <w:rPr>
                <w:b/>
              </w:rPr>
              <w:t>Column 1</w:t>
            </w:r>
          </w:p>
        </w:tc>
        <w:tc>
          <w:tcPr>
            <w:tcW w:w="3436" w:type="dxa"/>
            <w:noWrap/>
          </w:tcPr>
          <w:p>
            <w:pPr>
              <w:pStyle w:val="yTableNAm"/>
              <w:rPr>
                <w:b/>
              </w:rPr>
            </w:pPr>
            <w:r>
              <w:rPr>
                <w:b/>
              </w:rPr>
              <w:t>Column 2</w:t>
            </w:r>
          </w:p>
        </w:tc>
      </w:tr>
      <w:tr>
        <w:trPr>
          <w:cantSplit/>
          <w:tblHeader/>
        </w:trPr>
        <w:tc>
          <w:tcPr>
            <w:tcW w:w="3544" w:type="dxa"/>
            <w:noWrap/>
          </w:tcPr>
          <w:p>
            <w:pPr>
              <w:pStyle w:val="yTableNAm"/>
              <w:rPr>
                <w:b/>
              </w:rPr>
            </w:pPr>
            <w:r>
              <w:rPr>
                <w:b/>
              </w:rPr>
              <w:t>Category of licence</w:t>
            </w:r>
          </w:p>
        </w:tc>
        <w:tc>
          <w:tcPr>
            <w:tcW w:w="3436" w:type="dxa"/>
            <w:noWrap/>
          </w:tcPr>
          <w:p>
            <w:pPr>
              <w:pStyle w:val="yTableNAm"/>
              <w:rPr>
                <w:b/>
              </w:rPr>
            </w:pPr>
            <w:r>
              <w:rPr>
                <w:b/>
              </w:rPr>
              <w:t>Description of business</w:t>
            </w:r>
          </w:p>
        </w:tc>
      </w:tr>
      <w:tr>
        <w:trPr>
          <w:cantSplit/>
        </w:trPr>
        <w:tc>
          <w:tcPr>
            <w:tcW w:w="3544" w:type="dxa"/>
            <w:noWrap/>
          </w:tcPr>
          <w:p>
            <w:pPr>
              <w:pStyle w:val="yTableNAm"/>
            </w:pPr>
            <w:r>
              <w:t>A</w:t>
            </w:r>
          </w:p>
        </w:tc>
        <w:tc>
          <w:tcPr>
            <w:tcW w:w="3436" w:type="dxa"/>
            <w:noWrap/>
          </w:tcPr>
          <w:p>
            <w:pPr>
              <w:pStyle w:val="yTableNAm"/>
            </w:pPr>
            <w:r>
              <w:t>Buying, selling and auctioning vehicles.</w:t>
            </w:r>
          </w:p>
        </w:tc>
      </w:tr>
      <w:tr>
        <w:trPr>
          <w:cantSplit/>
        </w:trPr>
        <w:tc>
          <w:tcPr>
            <w:tcW w:w="3544" w:type="dxa"/>
            <w:noWrap/>
          </w:tcPr>
          <w:p>
            <w:pPr>
              <w:pStyle w:val="yTableNAm"/>
            </w:pPr>
            <w:r>
              <w:t>B</w:t>
            </w:r>
          </w:p>
        </w:tc>
        <w:tc>
          <w:tcPr>
            <w:tcW w:w="3436" w:type="dxa"/>
            <w:noWrap/>
          </w:tcPr>
          <w:p>
            <w:pPr>
              <w:pStyle w:val="yTableNAm"/>
            </w:pPr>
            <w:r>
              <w:t>Buying any vehicles for the purpose of dismantling them and selling off the parts.</w:t>
            </w:r>
          </w:p>
        </w:tc>
      </w:tr>
      <w:tr>
        <w:trPr>
          <w:cantSplit/>
        </w:trPr>
        <w:tc>
          <w:tcPr>
            <w:tcW w:w="3544" w:type="dxa"/>
            <w:noWrap/>
          </w:tcPr>
          <w:p>
            <w:pPr>
              <w:pStyle w:val="yTableNAm"/>
            </w:pPr>
            <w:r>
              <w:t>C</w:t>
            </w:r>
          </w:p>
        </w:tc>
        <w:tc>
          <w:tcPr>
            <w:tcW w:w="3436" w:type="dxa"/>
            <w:noWrap/>
          </w:tcPr>
          <w:p>
            <w:pPr>
              <w:pStyle w:val="yTableNAm"/>
            </w:pPr>
            <w:r>
              <w:t>Acting as an agent to facilitate the sale or purchase of any vehicles on behalf of members of the public.</w:t>
            </w:r>
          </w:p>
        </w:tc>
      </w:tr>
      <w:tr>
        <w:trPr>
          <w:cantSplit/>
        </w:trPr>
        <w:tc>
          <w:tcPr>
            <w:tcW w:w="3544" w:type="dxa"/>
            <w:noWrap/>
          </w:tcPr>
          <w:p>
            <w:pPr>
              <w:pStyle w:val="yTableNAm"/>
            </w:pPr>
            <w:r>
              <w:t>D</w:t>
            </w:r>
          </w:p>
        </w:tc>
        <w:tc>
          <w:tcPr>
            <w:tcW w:w="3436" w:type="dxa"/>
            <w:noWrap/>
          </w:tcPr>
          <w:p>
            <w:pPr>
              <w:pStyle w:val="yTableNAm"/>
            </w:pPr>
            <w:r>
              <w:t>Hiring out vehicles, buying vehicles for hiring out, and selling and auctioning any vehicles that have been hired out by the dealer.</w:t>
            </w:r>
          </w:p>
        </w:tc>
      </w:tr>
      <w:tr>
        <w:trPr>
          <w:cantSplit/>
        </w:trPr>
        <w:tc>
          <w:tcPr>
            <w:tcW w:w="3544" w:type="dxa"/>
            <w:noWrap/>
          </w:tcPr>
          <w:p>
            <w:pPr>
              <w:pStyle w:val="yTableNAm"/>
            </w:pPr>
            <w:r>
              <w:t>Any combination of A, B, C and D, as nominated by the dealer.</w:t>
            </w:r>
          </w:p>
        </w:tc>
        <w:tc>
          <w:tcPr>
            <w:tcW w:w="3436" w:type="dxa"/>
            <w:noWrap/>
          </w:tcPr>
          <w:p>
            <w:pPr>
              <w:pStyle w:val="yTableNAm"/>
            </w:pPr>
            <w:r>
              <w:t>The businesses the subject of the nominated categories.</w:t>
            </w:r>
          </w:p>
        </w:tc>
      </w:tr>
    </w:tbl>
    <w:p>
      <w:pPr>
        <w:pStyle w:val="yFootnotesection"/>
      </w:pPr>
      <w:r>
        <w:tab/>
        <w:t>[Schedule 4 inserted: SL 2021/164 r. 10.]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21" w:name="_Toc114569051"/>
      <w:bookmarkStart w:id="22" w:name="_Toc114569208"/>
      <w:bookmarkStart w:id="23" w:name="_Toc114580597"/>
      <w:bookmarkStart w:id="24" w:name="_Toc114580756"/>
      <w:r>
        <w:lastRenderedPageBreak/>
        <w:t>Notes</w:t>
      </w:r>
      <w:bookmarkEnd w:id="21"/>
      <w:bookmarkEnd w:id="22"/>
      <w:bookmarkEnd w:id="23"/>
      <w:bookmarkEnd w:id="24"/>
    </w:p>
    <w:p>
      <w:pPr>
        <w:pStyle w:val="nStatement"/>
      </w:pPr>
      <w:r>
        <w:t xml:space="preserve">This is a compilation of the </w:t>
      </w:r>
      <w:r>
        <w:rPr>
          <w:i/>
          <w:noProof/>
        </w:rPr>
        <w:t>Motor Vehicle Dealers (Licensing)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 w:name="_Toc114580757"/>
      <w:r>
        <w:t>Compilation table</w:t>
      </w:r>
      <w:bookmarkEnd w:id="2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2014</w:t>
            </w:r>
          </w:p>
        </w:tc>
        <w:tc>
          <w:tcPr>
            <w:tcW w:w="1276" w:type="dxa"/>
          </w:tcPr>
          <w:p>
            <w:pPr>
              <w:pStyle w:val="nTable"/>
              <w:spacing w:after="40"/>
            </w:pPr>
            <w:r>
              <w:t>15 Jul 2014 p. 2461-2</w:t>
            </w:r>
          </w:p>
        </w:tc>
        <w:tc>
          <w:tcPr>
            <w:tcW w:w="2693" w:type="dxa"/>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Motor Vehicle Dealers (Licensing) Amendment Regulations (No. 2) 2014</w:t>
            </w:r>
          </w:p>
        </w:tc>
        <w:tc>
          <w:tcPr>
            <w:tcW w:w="1276" w:type="dxa"/>
            <w:shd w:val="clear" w:color="auto" w:fill="auto"/>
          </w:tcPr>
          <w:p>
            <w:pPr>
              <w:pStyle w:val="nTable"/>
              <w:spacing w:after="40"/>
            </w:pPr>
            <w:r>
              <w:t>8 Jan 2015 p. 85</w:t>
            </w:r>
            <w:r>
              <w:noBreakHyphen/>
              <w:t>6</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Motor Vehicle Dealers (Licensing) Amendment Regulations 2015</w:t>
            </w:r>
          </w:p>
        </w:tc>
        <w:tc>
          <w:tcPr>
            <w:tcW w:w="1276" w:type="dxa"/>
            <w:shd w:val="clear" w:color="auto" w:fill="auto"/>
          </w:tcPr>
          <w:p>
            <w:pPr>
              <w:pStyle w:val="nTable"/>
              <w:spacing w:after="40"/>
            </w:pPr>
            <w:r>
              <w:t>23 Jun 2015 p. 2178</w:t>
            </w:r>
            <w:r>
              <w:noBreakHyphen/>
              <w:t>9</w:t>
            </w:r>
          </w:p>
        </w:tc>
        <w:tc>
          <w:tcPr>
            <w:tcW w:w="2693" w:type="dxa"/>
            <w:shd w:val="clear" w:color="auto" w:fill="auto"/>
          </w:tcPr>
          <w:p>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Motor Vehicle Dealers (Licensing) Regulations 1974</w:t>
            </w:r>
            <w:r>
              <w:rPr>
                <w:b/>
                <w:bCs/>
                <w:snapToGrid w:val="0"/>
                <w:spacing w:val="-2"/>
              </w:rPr>
              <w:t xml:space="preserve"> as at 7 Aug 2015</w:t>
            </w:r>
            <w:r>
              <w:rPr>
                <w:bCs/>
                <w:snapToGrid w:val="0"/>
                <w:spacing w:val="-2"/>
              </w:rPr>
              <w:t xml:space="preserve"> (includes amendments listed above)</w:t>
            </w:r>
          </w:p>
        </w:tc>
      </w:tr>
      <w:tr>
        <w:tc>
          <w:tcPr>
            <w:tcW w:w="3119" w:type="dxa"/>
            <w:tcBorders>
              <w:top w:val="nil"/>
              <w:bottom w:val="nil"/>
            </w:tcBorders>
          </w:tcPr>
          <w:p>
            <w:pPr>
              <w:pStyle w:val="nTable"/>
              <w:spacing w:after="40"/>
            </w:pPr>
            <w:r>
              <w:rPr>
                <w:i/>
              </w:rPr>
              <w:t>Commerce Regulations Amendment (Fees and Charges) Regulations 2016</w:t>
            </w:r>
            <w:r>
              <w:t xml:space="preserve"> Pt. 12</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14</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Licensing Provisions Regulations Amendment Regulations 2017 </w:t>
            </w:r>
            <w:r>
              <w:t>Pt. 4</w:t>
            </w:r>
          </w:p>
        </w:tc>
        <w:tc>
          <w:tcPr>
            <w:tcW w:w="1276" w:type="dxa"/>
          </w:tcPr>
          <w:p>
            <w:pPr>
              <w:pStyle w:val="nTable"/>
              <w:spacing w:after="40"/>
            </w:pPr>
            <w:r>
              <w:t>27 Jun 2017 p. 3408</w:t>
            </w:r>
            <w:r>
              <w:noBreakHyphen/>
              <w:t>16</w:t>
            </w:r>
          </w:p>
        </w:tc>
        <w:tc>
          <w:tcPr>
            <w:tcW w:w="2693" w:type="dxa"/>
          </w:tcPr>
          <w:p>
            <w:pPr>
              <w:pStyle w:val="nTable"/>
              <w:spacing w:after="40"/>
            </w:pPr>
            <w:r>
              <w:t>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13</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9" w:type="dxa"/>
            <w:tcBorders>
              <w:top w:val="nil"/>
              <w:bottom w:val="nil"/>
            </w:tcBorders>
          </w:tcPr>
          <w:p>
            <w:pPr>
              <w:pStyle w:val="nTable"/>
              <w:spacing w:after="40"/>
              <w:rPr>
                <w:i/>
              </w:rPr>
            </w:pPr>
            <w:r>
              <w:rPr>
                <w:i/>
              </w:rPr>
              <w:t>Commerce Regulations Amendment (COVID-19 Response) Regulations (No. 2) 2020</w:t>
            </w:r>
            <w:r>
              <w:t xml:space="preserve"> Pt. 13</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15</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pPr>
            <w:r>
              <w:rPr>
                <w:i/>
              </w:rPr>
              <w:t>Commerce Regulations Amendment (Motor Vehicle Dealers and Repairers) Regulations 2021</w:t>
            </w:r>
            <w:r>
              <w:t xml:space="preserve"> Pt. 3</w:t>
            </w:r>
          </w:p>
        </w:tc>
        <w:tc>
          <w:tcPr>
            <w:tcW w:w="1276" w:type="dxa"/>
            <w:tcBorders>
              <w:top w:val="nil"/>
              <w:bottom w:val="nil"/>
            </w:tcBorders>
          </w:tcPr>
          <w:p>
            <w:pPr>
              <w:pStyle w:val="nTable"/>
              <w:spacing w:after="40"/>
            </w:pPr>
            <w:r>
              <w:t>SL 2021/164 24 Sep 2021</w:t>
            </w:r>
          </w:p>
        </w:tc>
        <w:tc>
          <w:tcPr>
            <w:tcW w:w="2693" w:type="dxa"/>
            <w:tcBorders>
              <w:top w:val="nil"/>
              <w:bottom w:val="nil"/>
            </w:tcBorders>
          </w:tcPr>
          <w:p>
            <w:pPr>
              <w:pStyle w:val="nTable"/>
              <w:spacing w:after="40"/>
            </w:pPr>
            <w:r>
              <w:t>25 Sep 2021 (see r. 2(c))</w:t>
            </w:r>
          </w:p>
        </w:tc>
      </w:tr>
      <w:tr>
        <w:tc>
          <w:tcPr>
            <w:tcW w:w="3119" w:type="dxa"/>
            <w:tcBorders>
              <w:top w:val="nil"/>
              <w:bottom w:val="single" w:sz="4" w:space="0" w:color="auto"/>
            </w:tcBorders>
          </w:tcPr>
          <w:p>
            <w:pPr>
              <w:pStyle w:val="nTable"/>
              <w:spacing w:after="40"/>
              <w:rPr>
                <w:i/>
              </w:rPr>
            </w:pPr>
            <w:r>
              <w:rPr>
                <w:i/>
              </w:rPr>
              <w:t>Commerce Regulations Amendment (Fees and Charges) Regulations 2022</w:t>
            </w:r>
            <w:r>
              <w:t xml:space="preserve"> Pt. 13</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26" w:name="_Toc114580758"/>
      <w:r>
        <w:lastRenderedPageBreak/>
        <w:t>Uncommenced provisions table</w:t>
      </w:r>
      <w:bookmarkEnd w:id="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
              </w:rPr>
            </w:pPr>
            <w:r>
              <w:rPr>
                <w:i/>
              </w:rPr>
              <w:t>Commerce Regulations Amendment (Motor Vehicle Dealers and Repairers) Regulations 2022</w:t>
            </w:r>
            <w:r>
              <w:t xml:space="preserve"> Pt. 2</w:t>
            </w:r>
          </w:p>
        </w:tc>
        <w:tc>
          <w:tcPr>
            <w:tcW w:w="1276" w:type="dxa"/>
          </w:tcPr>
          <w:p>
            <w:pPr>
              <w:pStyle w:val="nTable"/>
              <w:spacing w:after="40"/>
            </w:pPr>
            <w:r>
              <w:t>SL 2022/161 23 Sep 2022</w:t>
            </w:r>
          </w:p>
        </w:tc>
        <w:tc>
          <w:tcPr>
            <w:tcW w:w="2693" w:type="dxa"/>
          </w:tcPr>
          <w:p>
            <w:pPr>
              <w:pStyle w:val="nTable"/>
              <w:spacing w:after="40"/>
            </w:pPr>
            <w:r>
              <w:t>1 Mar 2023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8" w:name="_Toc114569053"/>
      <w:bookmarkStart w:id="29" w:name="_Toc114569211"/>
      <w:bookmarkStart w:id="30" w:name="_Toc114580600"/>
      <w:bookmarkStart w:id="31" w:name="_Toc114580759"/>
      <w:r>
        <w:rPr>
          <w:sz w:val="28"/>
        </w:rPr>
        <w:lastRenderedPageBreak/>
        <w:t>Defined terms</w:t>
      </w:r>
      <w:bookmarkEnd w:id="28"/>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related company</w:t>
      </w:r>
      <w:r>
        <w:tab/>
        <w:t>9(1)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15"/>
      <w:gridCol w:w="5348"/>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rPr>
        <w:jc w:val="center"/>
      </w:trPr>
      <w:tc>
        <w:tcPr>
          <w:tcW w:w="1915" w:type="dxa"/>
        </w:tcPr>
        <w:p>
          <w:pPr>
            <w:pStyle w:val="Header"/>
            <w:spacing w:before="40"/>
          </w:pPr>
        </w:p>
      </w:tc>
      <w:tc>
        <w:tcPr>
          <w:tcW w:w="5348" w:type="dxa"/>
          <w:vAlign w:val="bottom"/>
        </w:tcPr>
        <w:p>
          <w:pPr>
            <w:pStyle w:val="Header"/>
            <w:spacing w:before="40"/>
          </w:pPr>
        </w:p>
      </w:tc>
    </w:tr>
    <w:tr>
      <w:trPr>
        <w:jc w:val="center"/>
      </w:trP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175"/>
      <w:gridCol w:w="208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175" w:type="dxa"/>
          <w:vAlign w:val="bottom"/>
        </w:tcPr>
        <w:p>
          <w:pPr>
            <w:pStyle w:val="Header"/>
            <w:spacing w:before="40"/>
            <w:jc w:val="right"/>
          </w:pPr>
        </w:p>
      </w:tc>
      <w:tc>
        <w:tcPr>
          <w:tcW w:w="2088" w:type="dxa"/>
        </w:tcPr>
        <w:p>
          <w:pPr>
            <w:pStyle w:val="Header"/>
            <w:spacing w:before="40"/>
            <w:ind w:right="17"/>
            <w:jc w:val="right"/>
          </w:pPr>
        </w:p>
      </w:tc>
    </w:tr>
    <w:tr>
      <w:trPr>
        <w:jc w:val="center"/>
      </w:trP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2" w:name="DefinedTerms"/>
    <w:bookmarkEnd w:id="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122243"/>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 w:name="WAFER_20160630102954" w:val="RemoveTocBookmarks,RemoveUnusedBookmarks,RemoveLanguageTags,UsedStyles,ResetPageSize"/>
    <w:docVar w:name="WAFER_20160630102954_GUID" w:val="d65820ed-a2c4-4202-b8d2-559912a6b1ea"/>
    <w:docVar w:name="WAFER_20190618102628" w:val="RemoveTocBookmarks,RemoveUnusedBookmarks,RemoveLanguageTags,ResetPageSize,RunningHeaders,UpdateStyles,UsedStyles"/>
    <w:docVar w:name="WAFER_20190618102628_GUID" w:val="8252436d-d676-49ea-86d0-efc9eff5c91e"/>
    <w:docVar w:name="WAFER_20190620122953" w:val="RemoveTocBookmarks,RemoveUnusedBookmarks,RemoveLanguageTags,ResetPageSize,RunningHeaders,UpdateStyles,UsedStyles"/>
    <w:docVar w:name="WAFER_20190620122953_GUID" w:val="895b28bf-fdeb-4d44-bb7d-e65c414b36f9"/>
    <w:docVar w:name="WAFER_202009031525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3152549_GUID" w:val="e3017bf6-3ba7-497f-9e33-d7277b230219"/>
    <w:docVar w:name="WAFER_20201020121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1356_GUID" w:val="e39827ea-cb82-4a7d-9e9b-46a3462e9a29"/>
    <w:docVar w:name="WAFER_20210616095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5013_GUID" w:val="c530b303-cad4-420d-8b8a-600868fa0b04"/>
    <w:docVar w:name="WAFER_2021062408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26_GUID" w:val="07c300e3-ce12-423b-9426-42ba81445dce"/>
    <w:docVar w:name="WAFER_20210922092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17_GUID" w:val="7bd21e74-9fa3-453a-a1c5-f6665d76cb37"/>
    <w:docVar w:name="WAFER_202205180858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859_GUID" w:val="a2e6fe40-7de8-444d-8e24-7cb1385d4624"/>
    <w:docVar w:name="WAFER_202206221533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03_GUID" w:val="8bdea3b8-806f-4ed1-b054-4f4b3deb5a3c"/>
    <w:docVar w:name="WAFER_202209201222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22243_GUID" w:val="39472d88-30ec-4303-b484-1ae1876e3e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3356</Words>
  <Characters>16144</Characters>
  <Application>Microsoft Office Word</Application>
  <DocSecurity>0</DocSecurity>
  <Lines>733</Lines>
  <Paragraphs>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1974 - 06-n0-00</dc:title>
  <dc:subject/>
  <dc:creator/>
  <cp:keywords/>
  <dc:description/>
  <cp:lastModifiedBy>Master Repository Process</cp:lastModifiedBy>
  <cp:revision>4</cp:revision>
  <cp:lastPrinted>2015-09-01T03:58:00Z</cp:lastPrinted>
  <dcterms:created xsi:type="dcterms:W3CDTF">2022-09-21T08:52:00Z</dcterms:created>
  <dcterms:modified xsi:type="dcterms:W3CDTF">2022-09-21T08:52:00Z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edAsAt">
    <vt:filetime>2015-08-06T16:00:00Z</vt:filetime>
  </property>
  <property fmtid="{D5CDD505-2E9C-101B-9397-08002B2CF9AE}" pid="6" name="ReprintNo">
    <vt:lpwstr>6</vt:lpwstr>
  </property>
  <property fmtid="{D5CDD505-2E9C-101B-9397-08002B2CF9AE}" pid="7" name="AsAtDate">
    <vt:lpwstr>23 Sep 2022</vt:lpwstr>
  </property>
  <property fmtid="{D5CDD505-2E9C-101B-9397-08002B2CF9AE}" pid="8" name="Suffix">
    <vt:lpwstr>06-n0-00</vt:lpwstr>
  </property>
  <property fmtid="{D5CDD505-2E9C-101B-9397-08002B2CF9AE}" pid="9" name="CommencementDate">
    <vt:lpwstr>20220923</vt:lpwstr>
  </property>
</Properties>
</file>