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8.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Health Services Act 2016</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Health Services (Fees and Charges) Order 2016</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Health Services (Fees and Charges) Order 2016</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_Toc116481915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_Toc116481916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_Toc116481917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Fees and charges</w:t>
      </w:r>
    </w:p>
    <w:p>
      <w:pPr>
        <w:pStyle w:val="TOC8"/>
        <w:rPr>
          <w:rFonts w:asciiTheme="minorHAnsi" w:eastAsiaTheme="minorEastAsia" w:hAnsiTheme="minorHAnsi" w:cstheme="minorBidi"/>
          <w:szCs w:val="22"/>
        </w:rPr>
      </w:pPr>
      <w:r>
        <w:t>4.</w:t>
      </w:r>
      <w:r>
        <w:tab/>
        <w:t>Scale of fees and charges</w:t>
      </w:r>
      <w:r>
        <w:tab/>
      </w:r>
      <w:r>
        <w:fldChar w:fldCharType="begin"/>
      </w:r>
      <w:r>
        <w:instrText xml:space="preserve"> PAGEREF _Toc116481919 \h </w:instrText>
      </w:r>
      <w:r>
        <w:fldChar w:fldCharType="separate"/>
      </w:r>
      <w:r>
        <w:t>6</w:t>
      </w:r>
      <w:r>
        <w:fldChar w:fldCharType="end"/>
      </w:r>
    </w:p>
    <w:p>
      <w:pPr>
        <w:pStyle w:val="TOC8"/>
        <w:rPr>
          <w:rFonts w:asciiTheme="minorHAnsi" w:eastAsiaTheme="minorEastAsia" w:hAnsiTheme="minorHAnsi" w:cstheme="minorBidi"/>
          <w:szCs w:val="22"/>
        </w:rPr>
      </w:pPr>
      <w:r>
        <w:t>5.</w:t>
      </w:r>
      <w:r>
        <w:tab/>
        <w:t>General fees and charges</w:t>
      </w:r>
      <w:r>
        <w:tab/>
      </w:r>
      <w:r>
        <w:fldChar w:fldCharType="begin"/>
      </w:r>
      <w:r>
        <w:instrText xml:space="preserve"> PAGEREF _Toc116481920 \h </w:instrText>
      </w:r>
      <w:r>
        <w:fldChar w:fldCharType="separate"/>
      </w:r>
      <w:r>
        <w:t>6</w:t>
      </w:r>
      <w:r>
        <w:fldChar w:fldCharType="end"/>
      </w:r>
    </w:p>
    <w:p>
      <w:pPr>
        <w:pStyle w:val="TOC8"/>
        <w:rPr>
          <w:rFonts w:asciiTheme="minorHAnsi" w:eastAsiaTheme="minorEastAsia" w:hAnsiTheme="minorHAnsi" w:cstheme="minorBidi"/>
          <w:szCs w:val="22"/>
        </w:rPr>
      </w:pPr>
      <w:r>
        <w:t>6.</w:t>
      </w:r>
      <w:r>
        <w:tab/>
        <w:t>Compensable patients</w:t>
      </w:r>
      <w:r>
        <w:tab/>
      </w:r>
      <w:r>
        <w:fldChar w:fldCharType="begin"/>
      </w:r>
      <w:r>
        <w:instrText xml:space="preserve"> PAGEREF _Toc116481921 \h </w:instrText>
      </w:r>
      <w:r>
        <w:fldChar w:fldCharType="separate"/>
      </w:r>
      <w:r>
        <w:t>7</w:t>
      </w:r>
      <w:r>
        <w:fldChar w:fldCharType="end"/>
      </w:r>
    </w:p>
    <w:p>
      <w:pPr>
        <w:pStyle w:val="TOC8"/>
        <w:rPr>
          <w:rFonts w:asciiTheme="minorHAnsi" w:eastAsiaTheme="minorEastAsia" w:hAnsiTheme="minorHAnsi" w:cstheme="minorBidi"/>
          <w:szCs w:val="22"/>
        </w:rPr>
      </w:pPr>
      <w:r>
        <w:t>7.</w:t>
      </w:r>
      <w:r>
        <w:tab/>
        <w:t>Magnetic resonance imaging services</w:t>
      </w:r>
      <w:r>
        <w:tab/>
      </w:r>
      <w:r>
        <w:fldChar w:fldCharType="begin"/>
      </w:r>
      <w:r>
        <w:instrText xml:space="preserve"> PAGEREF _Toc116481922 \h </w:instrText>
      </w:r>
      <w:r>
        <w:fldChar w:fldCharType="separate"/>
      </w:r>
      <w:r>
        <w:t>7</w:t>
      </w:r>
      <w:r>
        <w:fldChar w:fldCharType="end"/>
      </w:r>
    </w:p>
    <w:p>
      <w:pPr>
        <w:pStyle w:val="TOC8"/>
        <w:rPr>
          <w:rFonts w:asciiTheme="minorHAnsi" w:eastAsiaTheme="minorEastAsia" w:hAnsiTheme="minorHAnsi" w:cstheme="minorBidi"/>
          <w:szCs w:val="22"/>
        </w:rPr>
      </w:pPr>
      <w:r>
        <w:t>8.</w:t>
      </w:r>
      <w:r>
        <w:tab/>
        <w:t>Pathology services</w:t>
      </w:r>
      <w:r>
        <w:tab/>
      </w:r>
      <w:r>
        <w:fldChar w:fldCharType="begin"/>
      </w:r>
      <w:r>
        <w:instrText xml:space="preserve"> PAGEREF _Toc116481923 \h </w:instrText>
      </w:r>
      <w:r>
        <w:fldChar w:fldCharType="separate"/>
      </w:r>
      <w:r>
        <w:t>8</w:t>
      </w:r>
      <w:r>
        <w:fldChar w:fldCharType="end"/>
      </w:r>
    </w:p>
    <w:p>
      <w:pPr>
        <w:pStyle w:val="TOC8"/>
        <w:rPr>
          <w:rFonts w:asciiTheme="minorHAnsi" w:eastAsiaTheme="minorEastAsia" w:hAnsiTheme="minorHAnsi" w:cstheme="minorBidi"/>
          <w:szCs w:val="22"/>
        </w:rPr>
      </w:pPr>
      <w:r>
        <w:t>9.</w:t>
      </w:r>
      <w:r>
        <w:tab/>
        <w:t>Specialised orthoses</w:t>
      </w:r>
      <w:r>
        <w:tab/>
      </w:r>
      <w:r>
        <w:fldChar w:fldCharType="begin"/>
      </w:r>
      <w:r>
        <w:instrText xml:space="preserve"> PAGEREF _Toc116481924 \h </w:instrText>
      </w:r>
      <w:r>
        <w:fldChar w:fldCharType="separate"/>
      </w:r>
      <w:r>
        <w:t>8</w:t>
      </w:r>
      <w:r>
        <w:fldChar w:fldCharType="end"/>
      </w:r>
    </w:p>
    <w:p>
      <w:pPr>
        <w:pStyle w:val="TOC8"/>
        <w:rPr>
          <w:rFonts w:asciiTheme="minorHAnsi" w:eastAsiaTheme="minorEastAsia" w:hAnsiTheme="minorHAnsi" w:cstheme="minorBidi"/>
          <w:szCs w:val="22"/>
        </w:rPr>
      </w:pPr>
      <w:r>
        <w:t>10.</w:t>
      </w:r>
      <w:r>
        <w:tab/>
        <w:t>Surgically implanted prostheses</w:t>
      </w:r>
      <w:r>
        <w:tab/>
      </w:r>
      <w:r>
        <w:fldChar w:fldCharType="begin"/>
      </w:r>
      <w:r>
        <w:instrText xml:space="preserve"> PAGEREF _Toc116481925 \h </w:instrText>
      </w:r>
      <w:r>
        <w:fldChar w:fldCharType="separate"/>
      </w:r>
      <w:r>
        <w:t>9</w:t>
      </w:r>
      <w:r>
        <w:fldChar w:fldCharType="end"/>
      </w:r>
    </w:p>
    <w:p>
      <w:pPr>
        <w:pStyle w:val="TOC8"/>
        <w:rPr>
          <w:rFonts w:asciiTheme="minorHAnsi" w:eastAsiaTheme="minorEastAsia" w:hAnsiTheme="minorHAnsi" w:cstheme="minorBidi"/>
          <w:szCs w:val="22"/>
        </w:rPr>
      </w:pPr>
      <w:r>
        <w:t>10A.</w:t>
      </w:r>
      <w:r>
        <w:tab/>
        <w:t>Provision of medicines</w:t>
      </w:r>
      <w:r>
        <w:tab/>
      </w:r>
      <w:r>
        <w:fldChar w:fldCharType="begin"/>
      </w:r>
      <w:r>
        <w:instrText xml:space="preserve"> PAGEREF _Toc116481926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3 — Classes of patients</w:t>
      </w:r>
    </w:p>
    <w:p>
      <w:pPr>
        <w:pStyle w:val="TOC8"/>
        <w:rPr>
          <w:rFonts w:asciiTheme="minorHAnsi" w:eastAsiaTheme="minorEastAsia" w:hAnsiTheme="minorHAnsi" w:cstheme="minorBidi"/>
          <w:szCs w:val="22"/>
        </w:rPr>
      </w:pPr>
      <w:r>
        <w:t>11.</w:t>
      </w:r>
      <w:r>
        <w:tab/>
        <w:t>Classes of patients</w:t>
      </w:r>
      <w:r>
        <w:tab/>
      </w:r>
      <w:r>
        <w:fldChar w:fldCharType="begin"/>
      </w:r>
      <w:r>
        <w:instrText xml:space="preserve"> PAGEREF _Toc116481928 \h </w:instrText>
      </w:r>
      <w:r>
        <w:fldChar w:fldCharType="separate"/>
      </w:r>
      <w:r>
        <w:t>11</w:t>
      </w:r>
      <w:r>
        <w:fldChar w:fldCharType="end"/>
      </w:r>
    </w:p>
    <w:p>
      <w:pPr>
        <w:pStyle w:val="TOC8"/>
        <w:rPr>
          <w:rFonts w:asciiTheme="minorHAnsi" w:eastAsiaTheme="minorEastAsia" w:hAnsiTheme="minorHAnsi" w:cstheme="minorBidi"/>
          <w:szCs w:val="22"/>
        </w:rPr>
      </w:pPr>
      <w:r>
        <w:t>12.</w:t>
      </w:r>
      <w:r>
        <w:tab/>
        <w:t>Classes of in</w:t>
      </w:r>
      <w:r>
        <w:noBreakHyphen/>
        <w:t>patients</w:t>
      </w:r>
      <w:r>
        <w:tab/>
      </w:r>
      <w:r>
        <w:fldChar w:fldCharType="begin"/>
      </w:r>
      <w:r>
        <w:instrText xml:space="preserve"> PAGEREF _Toc116481929 \h </w:instrText>
      </w:r>
      <w:r>
        <w:fldChar w:fldCharType="separate"/>
      </w:r>
      <w:r>
        <w:t>11</w:t>
      </w:r>
      <w:r>
        <w:fldChar w:fldCharType="end"/>
      </w:r>
    </w:p>
    <w:p>
      <w:pPr>
        <w:pStyle w:val="TOC8"/>
        <w:rPr>
          <w:rFonts w:asciiTheme="minorHAnsi" w:eastAsiaTheme="minorEastAsia" w:hAnsiTheme="minorHAnsi" w:cstheme="minorBidi"/>
          <w:szCs w:val="22"/>
        </w:rPr>
      </w:pPr>
      <w:r>
        <w:t>13.</w:t>
      </w:r>
      <w:r>
        <w:tab/>
        <w:t>Classes of day patients</w:t>
      </w:r>
      <w:r>
        <w:tab/>
      </w:r>
      <w:r>
        <w:fldChar w:fldCharType="begin"/>
      </w:r>
      <w:r>
        <w:instrText xml:space="preserve"> PAGEREF _Toc116481930 \h </w:instrText>
      </w:r>
      <w:r>
        <w:fldChar w:fldCharType="separate"/>
      </w:r>
      <w:r>
        <w:t>15</w:t>
      </w:r>
      <w:r>
        <w:fldChar w:fldCharType="end"/>
      </w:r>
    </w:p>
    <w:p>
      <w:pPr>
        <w:pStyle w:val="TOC8"/>
        <w:rPr>
          <w:rFonts w:asciiTheme="minorHAnsi" w:eastAsiaTheme="minorEastAsia" w:hAnsiTheme="minorHAnsi" w:cstheme="minorBidi"/>
          <w:szCs w:val="22"/>
        </w:rPr>
      </w:pPr>
      <w:r>
        <w:t>14.</w:t>
      </w:r>
      <w:r>
        <w:tab/>
        <w:t>Classes of out</w:t>
      </w:r>
      <w:r>
        <w:noBreakHyphen/>
        <w:t>patients</w:t>
      </w:r>
      <w:r>
        <w:tab/>
      </w:r>
      <w:r>
        <w:fldChar w:fldCharType="begin"/>
      </w:r>
      <w:r>
        <w:instrText xml:space="preserve"> PAGEREF _Toc116481931 \h </w:instrText>
      </w:r>
      <w:r>
        <w:fldChar w:fldCharType="separate"/>
      </w:r>
      <w:r>
        <w:t>16</w:t>
      </w:r>
      <w:r>
        <w:fldChar w:fldCharType="end"/>
      </w:r>
    </w:p>
    <w:p>
      <w:pPr>
        <w:pStyle w:val="TOC8"/>
        <w:rPr>
          <w:rFonts w:asciiTheme="minorHAnsi" w:eastAsiaTheme="minorEastAsia" w:hAnsiTheme="minorHAnsi" w:cstheme="minorBidi"/>
          <w:szCs w:val="22"/>
        </w:rPr>
      </w:pPr>
      <w:r>
        <w:t>15.</w:t>
      </w:r>
      <w:r>
        <w:tab/>
        <w:t>Classes of same day patients</w:t>
      </w:r>
      <w:r>
        <w:tab/>
      </w:r>
      <w:r>
        <w:fldChar w:fldCharType="begin"/>
      </w:r>
      <w:r>
        <w:instrText xml:space="preserve"> PAGEREF _Toc116481932 \h </w:instrText>
      </w:r>
      <w:r>
        <w:fldChar w:fldCharType="separate"/>
      </w:r>
      <w:r>
        <w:t>19</w:t>
      </w:r>
      <w:r>
        <w:fldChar w:fldCharType="end"/>
      </w:r>
    </w:p>
    <w:p>
      <w:pPr>
        <w:pStyle w:val="TOC2"/>
        <w:keepNext w:val="0"/>
        <w:tabs>
          <w:tab w:val="right" w:leader="dot" w:pos="7077"/>
        </w:tabs>
        <w:rPr>
          <w:rFonts w:asciiTheme="minorHAnsi" w:eastAsiaTheme="minorEastAsia" w:hAnsiTheme="minorHAnsi" w:cstheme="minorBidi"/>
          <w:b w:val="0"/>
          <w:sz w:val="22"/>
          <w:szCs w:val="22"/>
        </w:rPr>
      </w:pPr>
      <w:r>
        <w:t>Schedule 1 — Scale of fees and charges</w:t>
      </w:r>
    </w:p>
    <w:p>
      <w:pPr>
        <w:pStyle w:val="TOC4"/>
        <w:keepNext w:val="0"/>
        <w:tabs>
          <w:tab w:val="right" w:leader="dot" w:pos="7077"/>
        </w:tabs>
        <w:rPr>
          <w:rFonts w:asciiTheme="minorHAnsi" w:eastAsiaTheme="minorEastAsia" w:hAnsiTheme="minorHAnsi" w:cstheme="minorBidi"/>
          <w:b w:val="0"/>
          <w:szCs w:val="22"/>
        </w:rPr>
      </w:pPr>
      <w:r>
        <w:t>Division 1 — General</w:t>
      </w:r>
    </w:p>
    <w:p>
      <w:pPr>
        <w:pStyle w:val="TOC6"/>
        <w:keepNext w:val="0"/>
        <w:tabs>
          <w:tab w:val="right" w:leader="dot" w:pos="7077"/>
        </w:tabs>
        <w:rPr>
          <w:rFonts w:asciiTheme="minorHAnsi" w:eastAsiaTheme="minorEastAsia" w:hAnsiTheme="minorHAnsi" w:cstheme="minorBidi"/>
          <w:b w:val="0"/>
          <w:sz w:val="22"/>
          <w:szCs w:val="22"/>
        </w:rPr>
      </w:pPr>
      <w:r>
        <w:t>Subdivision 1 — In</w:t>
      </w:r>
      <w:r>
        <w:noBreakHyphen/>
        <w:t>patients</w:t>
      </w:r>
    </w:p>
    <w:p>
      <w:pPr>
        <w:pStyle w:val="TOC6"/>
        <w:keepNext w:val="0"/>
        <w:tabs>
          <w:tab w:val="right" w:leader="dot" w:pos="7077"/>
        </w:tabs>
        <w:rPr>
          <w:rFonts w:asciiTheme="minorHAnsi" w:eastAsiaTheme="minorEastAsia" w:hAnsiTheme="minorHAnsi" w:cstheme="minorBidi"/>
          <w:b w:val="0"/>
          <w:sz w:val="22"/>
          <w:szCs w:val="22"/>
        </w:rPr>
      </w:pPr>
      <w:r>
        <w:t>Subdivision 2 — Day patients</w:t>
      </w:r>
    </w:p>
    <w:p>
      <w:pPr>
        <w:pStyle w:val="TOC6"/>
        <w:keepNext w:val="0"/>
        <w:tabs>
          <w:tab w:val="right" w:leader="dot" w:pos="7077"/>
        </w:tabs>
        <w:rPr>
          <w:rFonts w:asciiTheme="minorHAnsi" w:eastAsiaTheme="minorEastAsia" w:hAnsiTheme="minorHAnsi" w:cstheme="minorBidi"/>
          <w:b w:val="0"/>
          <w:sz w:val="22"/>
          <w:szCs w:val="22"/>
        </w:rPr>
      </w:pPr>
      <w:r>
        <w:lastRenderedPageBreak/>
        <w:t>Subdivision 3 — Out</w:t>
      </w:r>
      <w:r>
        <w:noBreakHyphen/>
        <w:t>patients</w:t>
      </w:r>
    </w:p>
    <w:p>
      <w:pPr>
        <w:pStyle w:val="TOC6"/>
        <w:keepNext w:val="0"/>
        <w:tabs>
          <w:tab w:val="right" w:leader="dot" w:pos="7077"/>
        </w:tabs>
        <w:rPr>
          <w:rFonts w:asciiTheme="minorHAnsi" w:eastAsiaTheme="minorEastAsia" w:hAnsiTheme="minorHAnsi" w:cstheme="minorBidi"/>
          <w:b w:val="0"/>
          <w:sz w:val="22"/>
          <w:szCs w:val="22"/>
        </w:rPr>
      </w:pPr>
      <w:r>
        <w:t>Subdivision 4 — Same day patients</w:t>
      </w:r>
    </w:p>
    <w:p>
      <w:pPr>
        <w:pStyle w:val="TOC6"/>
        <w:keepNext w:val="0"/>
        <w:tabs>
          <w:tab w:val="right" w:leader="dot" w:pos="7077"/>
        </w:tabs>
        <w:rPr>
          <w:rFonts w:asciiTheme="minorHAnsi" w:eastAsiaTheme="minorEastAsia" w:hAnsiTheme="minorHAnsi" w:cstheme="minorBidi"/>
          <w:b w:val="0"/>
          <w:sz w:val="22"/>
          <w:szCs w:val="22"/>
        </w:rPr>
      </w:pPr>
      <w:r>
        <w:t>Subdivision 5 — Other services</w:t>
      </w:r>
    </w:p>
    <w:p>
      <w:pPr>
        <w:pStyle w:val="TOC4"/>
        <w:tabs>
          <w:tab w:val="right" w:leader="dot" w:pos="7077"/>
        </w:tabs>
        <w:rPr>
          <w:rFonts w:asciiTheme="minorHAnsi" w:eastAsiaTheme="minorEastAsia" w:hAnsiTheme="minorHAnsi" w:cstheme="minorBidi"/>
          <w:b w:val="0"/>
          <w:szCs w:val="22"/>
        </w:rPr>
      </w:pPr>
      <w:r>
        <w:t>Division 2 — Compensable patients</w:t>
      </w:r>
    </w:p>
    <w:p>
      <w:pPr>
        <w:pStyle w:val="TOC6"/>
        <w:tabs>
          <w:tab w:val="right" w:leader="dot" w:pos="7077"/>
        </w:tabs>
        <w:rPr>
          <w:rFonts w:asciiTheme="minorHAnsi" w:eastAsiaTheme="minorEastAsia" w:hAnsiTheme="minorHAnsi" w:cstheme="minorBidi"/>
          <w:b w:val="0"/>
          <w:sz w:val="22"/>
          <w:szCs w:val="22"/>
        </w:rPr>
      </w:pPr>
      <w:r>
        <w:t>Subdivision 1 — Compensable in</w:t>
      </w:r>
      <w:r>
        <w:noBreakHyphen/>
        <w:t>patients</w:t>
      </w:r>
    </w:p>
    <w:p>
      <w:pPr>
        <w:pStyle w:val="TOC6"/>
        <w:tabs>
          <w:tab w:val="right" w:leader="dot" w:pos="7077"/>
        </w:tabs>
        <w:rPr>
          <w:rFonts w:asciiTheme="minorHAnsi" w:eastAsiaTheme="minorEastAsia" w:hAnsiTheme="minorHAnsi" w:cstheme="minorBidi"/>
          <w:b w:val="0"/>
          <w:sz w:val="22"/>
          <w:szCs w:val="22"/>
        </w:rPr>
      </w:pPr>
      <w:r>
        <w:t>Subdivision 2 — Compensable out</w:t>
      </w:r>
      <w:r>
        <w:noBreakHyphen/>
        <w:t>patients</w:t>
      </w:r>
    </w:p>
    <w:p>
      <w:pPr>
        <w:pStyle w:val="TOC6"/>
        <w:tabs>
          <w:tab w:val="right" w:leader="dot" w:pos="7077"/>
        </w:tabs>
        <w:rPr>
          <w:rFonts w:asciiTheme="minorHAnsi" w:eastAsiaTheme="minorEastAsia" w:hAnsiTheme="minorHAnsi" w:cstheme="minorBidi"/>
          <w:b w:val="0"/>
          <w:sz w:val="22"/>
          <w:szCs w:val="22"/>
        </w:rPr>
      </w:pPr>
      <w:r>
        <w:t>Subdivision 3 — Compensable same day patients</w:t>
      </w:r>
    </w:p>
    <w:p>
      <w:pPr>
        <w:pStyle w:val="TOC4"/>
        <w:tabs>
          <w:tab w:val="right" w:leader="dot" w:pos="7077"/>
        </w:tabs>
        <w:rPr>
          <w:rFonts w:asciiTheme="minorHAnsi" w:eastAsiaTheme="minorEastAsia" w:hAnsiTheme="minorHAnsi" w:cstheme="minorBidi"/>
          <w:b w:val="0"/>
          <w:szCs w:val="22"/>
        </w:rPr>
      </w:pPr>
      <w:r>
        <w:t>Division 3 — Magnetic resonance imaging</w:t>
      </w:r>
    </w:p>
    <w:p>
      <w:pPr>
        <w:pStyle w:val="TOC4"/>
        <w:tabs>
          <w:tab w:val="right" w:leader="dot" w:pos="7077"/>
        </w:tabs>
        <w:rPr>
          <w:rFonts w:asciiTheme="minorHAnsi" w:eastAsiaTheme="minorEastAsia" w:hAnsiTheme="minorHAnsi" w:cstheme="minorBidi"/>
          <w:b w:val="0"/>
          <w:szCs w:val="22"/>
        </w:rPr>
      </w:pPr>
      <w:r>
        <w:t>Division 4 — Pathology services</w:t>
      </w:r>
    </w:p>
    <w:p>
      <w:pPr>
        <w:pStyle w:val="TOC4"/>
        <w:tabs>
          <w:tab w:val="right" w:leader="dot" w:pos="7077"/>
        </w:tabs>
        <w:rPr>
          <w:rFonts w:asciiTheme="minorHAnsi" w:eastAsiaTheme="minorEastAsia" w:hAnsiTheme="minorHAnsi" w:cstheme="minorBidi"/>
          <w:b w:val="0"/>
          <w:szCs w:val="22"/>
        </w:rPr>
      </w:pPr>
      <w:r>
        <w:t>Division 6 — Surgically implanted prostheses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_Toc116481948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Health Services Act 2016</w:t>
      </w:r>
    </w:p>
    <w:p>
      <w:pPr>
        <w:pStyle w:val="NameofActReg"/>
      </w:pPr>
      <w:r>
        <w:t>Health Services (Fees and Charges) Order 2016</w:t>
      </w:r>
    </w:p>
    <w:p>
      <w:pPr>
        <w:pStyle w:val="Heading2"/>
        <w:pageBreakBefore w:val="0"/>
        <w:spacing w:before="240"/>
      </w:pPr>
      <w:bookmarkStart w:id="3" w:name="_Toc116477352"/>
      <w:bookmarkStart w:id="4" w:name="_Toc116478883"/>
      <w:bookmarkStart w:id="5" w:name="_Toc116480649"/>
      <w:bookmarkStart w:id="6" w:name="_Toc116481055"/>
      <w:bookmarkStart w:id="7" w:name="_Toc116481914"/>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pPr>
      <w:bookmarkStart w:id="8" w:name="_Toc116481915"/>
      <w:r>
        <w:rPr>
          <w:rStyle w:val="CharSectno"/>
        </w:rPr>
        <w:t>1</w:t>
      </w:r>
      <w:r>
        <w:t>.</w:t>
      </w:r>
      <w:r>
        <w:tab/>
        <w:t>Citation</w:t>
      </w:r>
      <w:bookmarkEnd w:id="8"/>
    </w:p>
    <w:p>
      <w:pPr>
        <w:pStyle w:val="Subsection"/>
      </w:pPr>
      <w:r>
        <w:tab/>
      </w:r>
      <w:r>
        <w:tab/>
      </w:r>
      <w:bookmarkStart w:id="9" w:name="Start_Cursor"/>
      <w:bookmarkEnd w:id="9"/>
      <w:r>
        <w:rPr>
          <w:spacing w:val="-2"/>
        </w:rPr>
        <w:t>This</w:t>
      </w:r>
      <w:r>
        <w:t xml:space="preserve"> </w:t>
      </w:r>
      <w:r>
        <w:rPr>
          <w:spacing w:val="-2"/>
        </w:rPr>
        <w:t>order is</w:t>
      </w:r>
      <w:r>
        <w:t xml:space="preserve"> the </w:t>
      </w:r>
      <w:r>
        <w:rPr>
          <w:i/>
        </w:rPr>
        <w:t>Health Services (Fees and Charges) Order 2016</w:t>
      </w:r>
      <w:r>
        <w:t>.</w:t>
      </w:r>
    </w:p>
    <w:p>
      <w:pPr>
        <w:pStyle w:val="Heading5"/>
        <w:rPr>
          <w:spacing w:val="-2"/>
        </w:rPr>
      </w:pPr>
      <w:bookmarkStart w:id="10" w:name="_Toc116481916"/>
      <w:r>
        <w:rPr>
          <w:rStyle w:val="CharSectno"/>
        </w:rPr>
        <w:t>2</w:t>
      </w:r>
      <w:r>
        <w:rPr>
          <w:spacing w:val="-2"/>
        </w:rPr>
        <w:t>.</w:t>
      </w:r>
      <w:r>
        <w:rPr>
          <w:spacing w:val="-2"/>
        </w:rPr>
        <w:tab/>
        <w:t>Commencement</w:t>
      </w:r>
      <w:bookmarkEnd w:id="10"/>
    </w:p>
    <w:p>
      <w:pPr>
        <w:pStyle w:val="Subsection"/>
      </w:pPr>
      <w:r>
        <w:tab/>
      </w:r>
      <w:r>
        <w:tab/>
        <w:t xml:space="preserve">This order comes into operation on the day on which the </w:t>
      </w:r>
      <w:r>
        <w:rPr>
          <w:i/>
        </w:rPr>
        <w:t xml:space="preserve">Health Services Act 2016 </w:t>
      </w:r>
      <w:r>
        <w:t>section 56 comes into operation.</w:t>
      </w:r>
    </w:p>
    <w:p>
      <w:pPr>
        <w:pStyle w:val="Heading5"/>
      </w:pPr>
      <w:bookmarkStart w:id="11" w:name="_Toc116481917"/>
      <w:r>
        <w:rPr>
          <w:rStyle w:val="CharSectno"/>
        </w:rPr>
        <w:t>3</w:t>
      </w:r>
      <w:r>
        <w:t>.</w:t>
      </w:r>
      <w:r>
        <w:tab/>
        <w:t>Terms used</w:t>
      </w:r>
      <w:bookmarkEnd w:id="11"/>
    </w:p>
    <w:p>
      <w:pPr>
        <w:pStyle w:val="Subsection"/>
      </w:pPr>
      <w:r>
        <w:tab/>
        <w:t>(1)</w:t>
      </w:r>
      <w:r>
        <w:tab/>
        <w:t xml:space="preserve">In this order, unless the contrary intention appears — </w:t>
      </w:r>
    </w:p>
    <w:p>
      <w:pPr>
        <w:pStyle w:val="Defstart"/>
      </w:pPr>
      <w:r>
        <w:tab/>
      </w:r>
      <w:r>
        <w:rPr>
          <w:rStyle w:val="CharDefText"/>
        </w:rPr>
        <w:t>compensable day patient</w:t>
      </w:r>
      <w:r>
        <w:t xml:space="preserve"> has the meaning given in clause 13(2)(a);</w:t>
      </w:r>
    </w:p>
    <w:p>
      <w:pPr>
        <w:pStyle w:val="Defstart"/>
      </w:pPr>
      <w:r>
        <w:tab/>
      </w:r>
      <w:r>
        <w:rPr>
          <w:rStyle w:val="CharDefText"/>
        </w:rPr>
        <w:t>compensable in</w:t>
      </w:r>
      <w:r>
        <w:rPr>
          <w:rStyle w:val="CharDefText"/>
        </w:rPr>
        <w:noBreakHyphen/>
        <w:t>patient</w:t>
      </w:r>
      <w:r>
        <w:t xml:space="preserve"> has the meaning given in clause 12(2)(c);</w:t>
      </w:r>
    </w:p>
    <w:p>
      <w:pPr>
        <w:pStyle w:val="Defstart"/>
      </w:pPr>
      <w:r>
        <w:tab/>
      </w:r>
      <w:r>
        <w:rPr>
          <w:rStyle w:val="CharDefText"/>
        </w:rPr>
        <w:t>compensable out</w:t>
      </w:r>
      <w:r>
        <w:rPr>
          <w:rStyle w:val="CharDefText"/>
        </w:rPr>
        <w:noBreakHyphen/>
        <w:t>patient</w:t>
      </w:r>
      <w:r>
        <w:t xml:space="preserve"> has the meaning given in clause 14(2)(a);</w:t>
      </w:r>
    </w:p>
    <w:p>
      <w:pPr>
        <w:pStyle w:val="Defstart"/>
      </w:pPr>
      <w:r>
        <w:tab/>
      </w:r>
      <w:r>
        <w:rPr>
          <w:rStyle w:val="CharDefText"/>
        </w:rPr>
        <w:t>compensable same day patient</w:t>
      </w:r>
      <w:r>
        <w:t xml:space="preserve"> has the meaning given in clause 15(2)(c);</w:t>
      </w:r>
    </w:p>
    <w:p>
      <w:pPr>
        <w:pStyle w:val="Defstart"/>
      </w:pPr>
      <w:r>
        <w:tab/>
      </w:r>
      <w:r>
        <w:rPr>
          <w:rStyle w:val="CharDefText"/>
        </w:rPr>
        <w:t>concessional beneficiary</w:t>
      </w:r>
      <w:r>
        <w:t xml:space="preserve"> has the meaning given in clause 14(2)(e);</w:t>
      </w:r>
    </w:p>
    <w:p>
      <w:pPr>
        <w:pStyle w:val="Defstart"/>
      </w:pPr>
      <w:r>
        <w:tab/>
      </w:r>
      <w:r>
        <w:rPr>
          <w:rStyle w:val="CharDefText"/>
        </w:rPr>
        <w:t>day hospital</w:t>
      </w:r>
      <w:r>
        <w:t xml:space="preserve"> means a hospital at which health services which require full</w:t>
      </w:r>
      <w:r>
        <w:noBreakHyphen/>
        <w:t>time or part</w:t>
      </w:r>
      <w:r>
        <w:noBreakHyphen/>
        <w:t>time non</w:t>
      </w:r>
      <w:r>
        <w:noBreakHyphen/>
        <w:t>residential attendance at specific and regular intervals over a period of time are provided;</w:t>
      </w:r>
    </w:p>
    <w:p>
      <w:pPr>
        <w:pStyle w:val="Defstart"/>
      </w:pPr>
      <w:r>
        <w:tab/>
      </w:r>
      <w:r>
        <w:rPr>
          <w:rStyle w:val="CharDefText"/>
        </w:rPr>
        <w:t>day patient</w:t>
      </w:r>
      <w:r>
        <w:t xml:space="preserve"> has the meaning given in clause 11(b);</w:t>
      </w:r>
    </w:p>
    <w:p>
      <w:pPr>
        <w:pStyle w:val="Defstart"/>
      </w:pPr>
      <w:r>
        <w:lastRenderedPageBreak/>
        <w:tab/>
      </w:r>
      <w:r>
        <w:rPr>
          <w:rStyle w:val="CharDefText"/>
        </w:rPr>
        <w:t>DVA arrangement</w:t>
      </w:r>
      <w:r>
        <w:t xml:space="preserve"> means a hospital services arrangement made from time to time between the State and the Commonwealth and others for health services provided to veterans;</w:t>
      </w:r>
    </w:p>
    <w:p>
      <w:pPr>
        <w:pStyle w:val="Defstart"/>
      </w:pPr>
      <w:r>
        <w:tab/>
      </w:r>
      <w:r>
        <w:rPr>
          <w:rStyle w:val="CharDefText"/>
        </w:rPr>
        <w:t>eligible day patient</w:t>
      </w:r>
      <w:r>
        <w:t xml:space="preserve"> has the meaning given in clause 13(2)(b);</w:t>
      </w:r>
    </w:p>
    <w:p>
      <w:pPr>
        <w:pStyle w:val="Defstart"/>
      </w:pPr>
      <w:r>
        <w:tab/>
      </w:r>
      <w:r>
        <w:rPr>
          <w:rStyle w:val="CharDefText"/>
        </w:rPr>
        <w:t>eligible out</w:t>
      </w:r>
      <w:r>
        <w:rPr>
          <w:rStyle w:val="CharDefText"/>
        </w:rPr>
        <w:noBreakHyphen/>
        <w:t>patient</w:t>
      </w:r>
      <w:r>
        <w:t xml:space="preserve"> has the meaning given in clause 14(2)(c);</w:t>
      </w:r>
    </w:p>
    <w:p>
      <w:pPr>
        <w:pStyle w:val="Defstart"/>
      </w:pPr>
      <w:r>
        <w:tab/>
      </w:r>
      <w:r>
        <w:rPr>
          <w:rStyle w:val="CharDefText"/>
        </w:rPr>
        <w:t>eligible person</w:t>
      </w:r>
      <w:r>
        <w:t xml:space="preserve"> has the meaning given in the </w:t>
      </w:r>
      <w:r>
        <w:rPr>
          <w:i/>
        </w:rPr>
        <w:t xml:space="preserve">Health Insurance Act 1973 </w:t>
      </w:r>
      <w:r>
        <w:t xml:space="preserve">(Commonwealth) section 3 and — </w:t>
      </w:r>
    </w:p>
    <w:p>
      <w:pPr>
        <w:pStyle w:val="Defpara"/>
      </w:pPr>
      <w:r>
        <w:tab/>
        <w:t>(a)</w:t>
      </w:r>
      <w:r>
        <w:tab/>
        <w:t>includes a person who is required by or under that Act to be treated as an eligible person for the purposes of that Act; but</w:t>
      </w:r>
    </w:p>
    <w:p>
      <w:pPr>
        <w:pStyle w:val="Defpara"/>
      </w:pPr>
      <w:r>
        <w:tab/>
        <w:t>(b)</w:t>
      </w:r>
      <w:r>
        <w:tab/>
        <w:t>does not include a person who is required by or under that Act not to be treated as an eligible person for the purposes of that Act;</w:t>
      </w:r>
    </w:p>
    <w:p>
      <w:pPr>
        <w:pStyle w:val="Defstart"/>
      </w:pPr>
      <w:r>
        <w:tab/>
      </w:r>
      <w:r>
        <w:rPr>
          <w:rStyle w:val="CharDefText"/>
        </w:rPr>
        <w:t>eligible veteran in</w:t>
      </w:r>
      <w:r>
        <w:rPr>
          <w:rStyle w:val="CharDefText"/>
        </w:rPr>
        <w:noBreakHyphen/>
        <w:t>patient</w:t>
      </w:r>
      <w:r>
        <w:t xml:space="preserve"> has the meaning given in clause 12(2)(d);</w:t>
      </w:r>
    </w:p>
    <w:p>
      <w:pPr>
        <w:pStyle w:val="Defstart"/>
      </w:pPr>
      <w:r>
        <w:tab/>
      </w:r>
      <w:r>
        <w:rPr>
          <w:rStyle w:val="CharDefText"/>
        </w:rPr>
        <w:t>eligible veteran out</w:t>
      </w:r>
      <w:r>
        <w:rPr>
          <w:rStyle w:val="CharDefText"/>
        </w:rPr>
        <w:noBreakHyphen/>
        <w:t>patient</w:t>
      </w:r>
      <w:r>
        <w:t xml:space="preserve"> has the meaning given in clause 14(2)(b);</w:t>
      </w:r>
    </w:p>
    <w:p>
      <w:pPr>
        <w:pStyle w:val="Defstart"/>
      </w:pPr>
      <w:r>
        <w:tab/>
      </w:r>
      <w:r>
        <w:rPr>
          <w:rStyle w:val="CharDefText"/>
        </w:rPr>
        <w:t>eligible veteran same day patient</w:t>
      </w:r>
      <w:r>
        <w:t xml:space="preserve"> has the meaning given in clause 15(2)(d);</w:t>
      </w:r>
    </w:p>
    <w:p>
      <w:pPr>
        <w:pStyle w:val="Defstart"/>
      </w:pPr>
      <w:r>
        <w:tab/>
      </w:r>
      <w:r>
        <w:rPr>
          <w:rStyle w:val="CharDefText"/>
        </w:rPr>
        <w:t>entitlement card</w:t>
      </w:r>
      <w:r>
        <w:t xml:space="preserve"> has the same meaning as it has in the National Health Act Part VII;</w:t>
      </w:r>
    </w:p>
    <w:p>
      <w:pPr>
        <w:pStyle w:val="Defstart"/>
      </w:pPr>
      <w:r>
        <w:tab/>
      </w:r>
      <w:r>
        <w:rPr>
          <w:rStyle w:val="CharDefText"/>
        </w:rPr>
        <w:t>Gold Card</w:t>
      </w:r>
      <w:r>
        <w:t xml:space="preserve"> means a currently valid health card, known by that name, issued by the Commonwealth Department of Veterans’ Affairs;</w:t>
      </w:r>
    </w:p>
    <w:p>
      <w:pPr>
        <w:pStyle w:val="Defstart"/>
      </w:pPr>
      <w:r>
        <w:tab/>
      </w:r>
      <w:r>
        <w:rPr>
          <w:rStyle w:val="CharDefText"/>
        </w:rPr>
        <w:t>hospital</w:t>
      </w:r>
      <w:r>
        <w:t xml:space="preserve"> means a public hospital;</w:t>
      </w:r>
    </w:p>
    <w:p>
      <w:pPr>
        <w:pStyle w:val="Defstart"/>
        <w:keepNext/>
      </w:pPr>
      <w:r>
        <w:tab/>
      </w:r>
      <w:r>
        <w:rPr>
          <w:rStyle w:val="CharDefText"/>
        </w:rPr>
        <w:t>hospital bed</w:t>
      </w:r>
      <w:r>
        <w:t xml:space="preserve"> means — </w:t>
      </w:r>
    </w:p>
    <w:p>
      <w:pPr>
        <w:pStyle w:val="Indenta"/>
      </w:pPr>
      <w:r>
        <w:tab/>
        <w:t>(a)</w:t>
      </w:r>
      <w:r>
        <w:tab/>
        <w:t>a bed used for accommodation, maintenance and nursing care of a patient in a hospital that is not a nursing home; and</w:t>
      </w:r>
    </w:p>
    <w:p>
      <w:pPr>
        <w:pStyle w:val="Indenta"/>
      </w:pPr>
      <w:r>
        <w:tab/>
        <w:t>(b)</w:t>
      </w:r>
      <w:r>
        <w:tab/>
        <w:t>a bed designated under subclause (2);</w:t>
      </w:r>
    </w:p>
    <w:p>
      <w:pPr>
        <w:pStyle w:val="Defstart"/>
      </w:pPr>
      <w:r>
        <w:tab/>
      </w:r>
      <w:r>
        <w:rPr>
          <w:rStyle w:val="CharDefText"/>
        </w:rPr>
        <w:t>ineligible day patient</w:t>
      </w:r>
      <w:r>
        <w:t xml:space="preserve"> has the meaning given in clause 13(2)(c);</w:t>
      </w:r>
    </w:p>
    <w:p>
      <w:pPr>
        <w:pStyle w:val="Defstart"/>
      </w:pPr>
      <w:r>
        <w:tab/>
      </w:r>
      <w:r>
        <w:rPr>
          <w:rStyle w:val="CharDefText"/>
        </w:rPr>
        <w:t>ineligible in</w:t>
      </w:r>
      <w:r>
        <w:rPr>
          <w:rStyle w:val="CharDefText"/>
        </w:rPr>
        <w:noBreakHyphen/>
        <w:t>patient</w:t>
      </w:r>
      <w:r>
        <w:t xml:space="preserve"> has the meaning given in clause 12(2)(g);</w:t>
      </w:r>
    </w:p>
    <w:p>
      <w:pPr>
        <w:pStyle w:val="Defstart"/>
      </w:pPr>
      <w:r>
        <w:lastRenderedPageBreak/>
        <w:tab/>
      </w:r>
      <w:r>
        <w:rPr>
          <w:rStyle w:val="CharDefText"/>
        </w:rPr>
        <w:t>ineligible out</w:t>
      </w:r>
      <w:r>
        <w:rPr>
          <w:rStyle w:val="CharDefText"/>
        </w:rPr>
        <w:noBreakHyphen/>
        <w:t>patient</w:t>
      </w:r>
      <w:r>
        <w:t xml:space="preserve"> has the meaning given in clause 14(2)(d);</w:t>
      </w:r>
    </w:p>
    <w:p>
      <w:pPr>
        <w:pStyle w:val="Defstart"/>
      </w:pPr>
      <w:r>
        <w:tab/>
      </w:r>
      <w:r>
        <w:rPr>
          <w:rStyle w:val="CharDefText"/>
        </w:rPr>
        <w:t>ineligible same day patient</w:t>
      </w:r>
      <w:r>
        <w:t xml:space="preserve"> has the meaning given in clause 15(2)(e);</w:t>
      </w:r>
    </w:p>
    <w:p>
      <w:pPr>
        <w:pStyle w:val="Defstart"/>
      </w:pPr>
      <w:r>
        <w:tab/>
      </w:r>
      <w:r>
        <w:rPr>
          <w:rStyle w:val="CharDefText"/>
        </w:rPr>
        <w:t>in</w:t>
      </w:r>
      <w:r>
        <w:rPr>
          <w:rStyle w:val="CharDefText"/>
        </w:rPr>
        <w:noBreakHyphen/>
        <w:t>patient</w:t>
      </w:r>
      <w:r>
        <w:t xml:space="preserve"> means a patient who is admitted to a hospital for the purpose of receiving health services in a hospital bed;</w:t>
      </w:r>
    </w:p>
    <w:p>
      <w:pPr>
        <w:pStyle w:val="Defstart"/>
      </w:pPr>
      <w:r>
        <w:tab/>
      </w:r>
      <w:r>
        <w:rPr>
          <w:rStyle w:val="CharDefText"/>
        </w:rPr>
        <w:t>internal Territory</w:t>
      </w:r>
      <w:r>
        <w:t xml:space="preserve"> has the meaning given in the </w:t>
      </w:r>
      <w:r>
        <w:rPr>
          <w:i/>
        </w:rPr>
        <w:t>Acts Interpretation Act 1901</w:t>
      </w:r>
      <w:r>
        <w:t xml:space="preserve"> (Commonwealth) section 2B;</w:t>
      </w:r>
    </w:p>
    <w:p>
      <w:pPr>
        <w:pStyle w:val="Defstart"/>
      </w:pPr>
      <w:r>
        <w:tab/>
      </w:r>
      <w:r>
        <w:rPr>
          <w:rStyle w:val="CharDefText"/>
        </w:rPr>
        <w:t>Medicare</w:t>
      </w:r>
      <w:r>
        <w:t xml:space="preserve"> </w:t>
      </w:r>
      <w:r>
        <w:rPr>
          <w:rStyle w:val="CharDefText"/>
        </w:rPr>
        <w:t>Benefits Schedule</w:t>
      </w:r>
      <w:r>
        <w:t xml:space="preserve"> means the Medicare Benefits Schedule published by the Commonwealth, as that Schedule is in force from time to time;</w:t>
      </w:r>
    </w:p>
    <w:p>
      <w:pPr>
        <w:pStyle w:val="Defstart"/>
      </w:pPr>
      <w:r>
        <w:tab/>
      </w:r>
      <w:r>
        <w:rPr>
          <w:rStyle w:val="CharDefText"/>
        </w:rPr>
        <w:t>midwife</w:t>
      </w:r>
      <w:r>
        <w:t xml:space="preserve"> means a person registered under the </w:t>
      </w:r>
      <w:r>
        <w:rPr>
          <w:i/>
        </w:rPr>
        <w:t>Health Practitioner Regulation National Law (Western Australia)</w:t>
      </w:r>
      <w:r>
        <w:t xml:space="preserve"> in the midwifery profession;</w:t>
      </w:r>
    </w:p>
    <w:p>
      <w:pPr>
        <w:pStyle w:val="Defstart"/>
      </w:pPr>
      <w:r>
        <w:tab/>
      </w:r>
      <w:r>
        <w:rPr>
          <w:rStyle w:val="CharDefText"/>
        </w:rPr>
        <w:t>midwifery service</w:t>
      </w:r>
      <w:r>
        <w:t xml:space="preserve"> means a midwifery service that is to be treated as both a professional service and a medical service in accordance with a determination made under the </w:t>
      </w:r>
      <w:r>
        <w:rPr>
          <w:i/>
        </w:rPr>
        <w:t xml:space="preserve">Health Insurance Act 1973 </w:t>
      </w:r>
      <w:r>
        <w:t>(Commonwealth) section 3C(1);</w:t>
      </w:r>
    </w:p>
    <w:p>
      <w:pPr>
        <w:pStyle w:val="Defstart"/>
      </w:pPr>
      <w:r>
        <w:tab/>
      </w:r>
      <w:r>
        <w:rPr>
          <w:rStyle w:val="CharDefText"/>
        </w:rPr>
        <w:t>National Health Act</w:t>
      </w:r>
      <w:r>
        <w:t xml:space="preserve"> means the </w:t>
      </w:r>
      <w:r>
        <w:rPr>
          <w:i/>
        </w:rPr>
        <w:t>National Health Act 1953</w:t>
      </w:r>
      <w:r>
        <w:t xml:space="preserve"> (Commonwealth);</w:t>
      </w:r>
    </w:p>
    <w:p>
      <w:pPr>
        <w:pStyle w:val="Defstart"/>
      </w:pPr>
      <w:r>
        <w:tab/>
      </w:r>
      <w:r>
        <w:rPr>
          <w:rStyle w:val="CharDefText"/>
        </w:rPr>
        <w:t>nursing home bed</w:t>
      </w:r>
      <w:r>
        <w:t xml:space="preserve"> means a bed used for the accommodation, maintenance and nursing care of a patient at a nursing home, but does not include a hospital bed in a nursing home;</w:t>
      </w:r>
    </w:p>
    <w:p>
      <w:pPr>
        <w:pStyle w:val="Defstart"/>
      </w:pPr>
      <w:r>
        <w:tab/>
      </w:r>
      <w:r>
        <w:rPr>
          <w:rStyle w:val="CharDefText"/>
        </w:rPr>
        <w:t>nursing home type patient</w:t>
      </w:r>
      <w:r>
        <w:t xml:space="preserve"> has the meaning given in clause 12(2)(e);</w:t>
      </w:r>
    </w:p>
    <w:p>
      <w:pPr>
        <w:pStyle w:val="Defstart"/>
      </w:pPr>
      <w:r>
        <w:tab/>
      </w:r>
      <w:r>
        <w:rPr>
          <w:rStyle w:val="CharDefText"/>
        </w:rPr>
        <w:t>nursing home type private patient</w:t>
      </w:r>
      <w:r>
        <w:t xml:space="preserve"> has the meaning given in clause 12(2)(f);</w:t>
      </w:r>
    </w:p>
    <w:p>
      <w:pPr>
        <w:pStyle w:val="Defstart"/>
      </w:pPr>
      <w:r>
        <w:tab/>
      </w:r>
      <w:r>
        <w:rPr>
          <w:rStyle w:val="CharDefText"/>
        </w:rPr>
        <w:t>out</w:t>
      </w:r>
      <w:r>
        <w:rPr>
          <w:rStyle w:val="CharDefText"/>
        </w:rPr>
        <w:noBreakHyphen/>
        <w:t>patient</w:t>
      </w:r>
      <w:r>
        <w:t xml:space="preserve"> has the meaning given in clause 11(c);</w:t>
      </w:r>
    </w:p>
    <w:p>
      <w:pPr>
        <w:pStyle w:val="Defstart"/>
      </w:pPr>
      <w:r>
        <w:tab/>
      </w:r>
      <w:r>
        <w:rPr>
          <w:rStyle w:val="CharDefText"/>
        </w:rPr>
        <w:t>participating hospital</w:t>
      </w:r>
      <w:r>
        <w:t xml:space="preserve"> means a public hospital in the State, if either or both of the following applies in relation to the hospital — </w:t>
      </w:r>
    </w:p>
    <w:p>
      <w:pPr>
        <w:pStyle w:val="Defpara"/>
      </w:pPr>
      <w:r>
        <w:tab/>
        <w:t>(a)</w:t>
      </w:r>
      <w:r>
        <w:tab/>
        <w:t>an approval under the National Health Act section 94 is in force in relation to the health service provider for the hospital;</w:t>
      </w:r>
    </w:p>
    <w:p>
      <w:pPr>
        <w:pStyle w:val="Defpara"/>
      </w:pPr>
      <w:r>
        <w:lastRenderedPageBreak/>
        <w:tab/>
        <w:t>(b)</w:t>
      </w:r>
      <w:r>
        <w:tab/>
        <w:t>the health service provider for the hospital is authorised to supply pharmaceutical benefits pursuant to a special arrangement in force under the National Health Act section 100;</w:t>
      </w:r>
    </w:p>
    <w:p>
      <w:pPr>
        <w:pStyle w:val="Defstart"/>
      </w:pPr>
      <w:r>
        <w:tab/>
      </w:r>
      <w:r>
        <w:rPr>
          <w:rStyle w:val="CharDefText"/>
        </w:rPr>
        <w:t>PBS list</w:t>
      </w:r>
      <w:r>
        <w:t xml:space="preserve"> means the list of medicines set out in the document “Schedule of Pharmaceutical Benefits” published from time to time, for the purposes of the National Health Act, by the Department of State of the Commonwealth that is administered by the Commonwealth Minister administering that Act;</w:t>
      </w:r>
    </w:p>
    <w:p>
      <w:pPr>
        <w:pStyle w:val="Defstart"/>
      </w:pPr>
      <w:r>
        <w:tab/>
      </w:r>
      <w:r>
        <w:rPr>
          <w:rStyle w:val="CharDefText"/>
        </w:rPr>
        <w:t>PBS price</w:t>
      </w:r>
      <w:r>
        <w:t xml:space="preserve"> means the price specified in the PBS list;</w:t>
      </w:r>
    </w:p>
    <w:p>
      <w:pPr>
        <w:pStyle w:val="Defstart"/>
      </w:pPr>
      <w:r>
        <w:tab/>
      </w:r>
      <w:r>
        <w:rPr>
          <w:rStyle w:val="CharDefText"/>
        </w:rPr>
        <w:t>pensioner</w:t>
      </w:r>
      <w:r>
        <w:t xml:space="preserve"> has the meaning given in clause 14(2)(f);</w:t>
      </w:r>
    </w:p>
    <w:p>
      <w:pPr>
        <w:pStyle w:val="Defstart"/>
      </w:pPr>
      <w:r>
        <w:tab/>
      </w:r>
      <w:r>
        <w:rPr>
          <w:rStyle w:val="CharDefText"/>
        </w:rPr>
        <w:t>pensioner concession card</w:t>
      </w:r>
      <w:r>
        <w:t xml:space="preserve"> means a currently valid card, known by that name, issued on behalf of the Commonwealth;</w:t>
      </w:r>
    </w:p>
    <w:p>
      <w:pPr>
        <w:pStyle w:val="Defstart"/>
      </w:pPr>
      <w:r>
        <w:tab/>
      </w:r>
      <w:r>
        <w:rPr>
          <w:rStyle w:val="CharDefText"/>
        </w:rPr>
        <w:t>private in</w:t>
      </w:r>
      <w:r>
        <w:rPr>
          <w:rStyle w:val="CharDefText"/>
        </w:rPr>
        <w:noBreakHyphen/>
        <w:t>patient</w:t>
      </w:r>
      <w:r>
        <w:t xml:space="preserve"> has the meaning given in clause 12(2)(b);</w:t>
      </w:r>
    </w:p>
    <w:p>
      <w:pPr>
        <w:pStyle w:val="Defstart"/>
      </w:pPr>
      <w:r>
        <w:tab/>
      </w:r>
      <w:r>
        <w:rPr>
          <w:rStyle w:val="CharDefText"/>
        </w:rPr>
        <w:t>private pathology out</w:t>
      </w:r>
      <w:r>
        <w:rPr>
          <w:rStyle w:val="CharDefText"/>
        </w:rPr>
        <w:noBreakHyphen/>
        <w:t>patient</w:t>
      </w:r>
      <w:r>
        <w:t xml:space="preserve"> means a person classified under clause 14(4)(a);</w:t>
      </w:r>
    </w:p>
    <w:p>
      <w:pPr>
        <w:pStyle w:val="Defstart"/>
      </w:pPr>
      <w:r>
        <w:tab/>
      </w:r>
      <w:r>
        <w:rPr>
          <w:rStyle w:val="CharDefText"/>
        </w:rPr>
        <w:t>private same day patient</w:t>
      </w:r>
      <w:r>
        <w:t xml:space="preserve"> has the meaning given in clause 15(2)(b);</w:t>
      </w:r>
    </w:p>
    <w:p>
      <w:pPr>
        <w:pStyle w:val="Defstart"/>
      </w:pPr>
      <w:r>
        <w:tab/>
      </w:r>
      <w:r>
        <w:rPr>
          <w:rStyle w:val="CharDefText"/>
        </w:rPr>
        <w:t>professional service</w:t>
      </w:r>
      <w:r>
        <w:t xml:space="preserve"> means a service referred to in paragraph (a), (b) or (ba) of the definition of </w:t>
      </w:r>
      <w:r>
        <w:rPr>
          <w:b/>
          <w:i/>
        </w:rPr>
        <w:t>professional service</w:t>
      </w:r>
      <w:r>
        <w:t xml:space="preserve"> in the </w:t>
      </w:r>
      <w:r>
        <w:rPr>
          <w:i/>
        </w:rPr>
        <w:t xml:space="preserve">Health Insurance Act 1973 </w:t>
      </w:r>
      <w:r>
        <w:t>(Commonwealth) section 3(1);</w:t>
      </w:r>
    </w:p>
    <w:p>
      <w:pPr>
        <w:pStyle w:val="Defstart"/>
      </w:pPr>
      <w:r>
        <w:tab/>
      </w:r>
      <w:r>
        <w:rPr>
          <w:rStyle w:val="CharDefText"/>
        </w:rPr>
        <w:t>public in</w:t>
      </w:r>
      <w:r>
        <w:rPr>
          <w:rStyle w:val="CharDefText"/>
        </w:rPr>
        <w:noBreakHyphen/>
        <w:t>patient</w:t>
      </w:r>
      <w:r>
        <w:t xml:space="preserve"> has the meaning given in clause 12(2)(a);</w:t>
      </w:r>
    </w:p>
    <w:p>
      <w:pPr>
        <w:pStyle w:val="Defstart"/>
      </w:pPr>
      <w:r>
        <w:tab/>
      </w:r>
      <w:r>
        <w:rPr>
          <w:rStyle w:val="CharDefText"/>
        </w:rPr>
        <w:t>public same day patient</w:t>
      </w:r>
      <w:r>
        <w:t xml:space="preserve"> has the meaning given in clause 15(2)(a);</w:t>
      </w:r>
    </w:p>
    <w:p>
      <w:pPr>
        <w:pStyle w:val="Defstart"/>
      </w:pPr>
      <w:r>
        <w:tab/>
      </w:r>
      <w:r>
        <w:rPr>
          <w:rStyle w:val="CharDefText"/>
        </w:rPr>
        <w:t>same day patient</w:t>
      </w:r>
      <w:r>
        <w:t xml:space="preserve"> has the meaning given in clause 11(d);</w:t>
      </w:r>
    </w:p>
    <w:p>
      <w:pPr>
        <w:pStyle w:val="Defstart"/>
      </w:pPr>
      <w:r>
        <w:tab/>
      </w:r>
      <w:r>
        <w:rPr>
          <w:rStyle w:val="CharDefText"/>
        </w:rPr>
        <w:t xml:space="preserve">surgically implanted prosthesis </w:t>
      </w:r>
      <w:r>
        <w:t xml:space="preserve">means a prosthesis listed in the Private Health Insurance (Prostheses) Rules as in force from time to time under the </w:t>
      </w:r>
      <w:r>
        <w:rPr>
          <w:i/>
        </w:rPr>
        <w:t>Private Health Insurance Act 2007</w:t>
      </w:r>
      <w:r>
        <w:t xml:space="preserve"> (Commonwealth) section 333</w:t>
      </w:r>
      <w:r>
        <w:noBreakHyphen/>
        <w:t>20;</w:t>
      </w:r>
    </w:p>
    <w:p>
      <w:pPr>
        <w:pStyle w:val="Defstart"/>
      </w:pPr>
      <w:r>
        <w:tab/>
      </w:r>
      <w:r>
        <w:rPr>
          <w:rStyle w:val="CharDefText"/>
        </w:rPr>
        <w:t>veteran</w:t>
      </w:r>
      <w:r>
        <w:t xml:space="preserve"> means a person who has received or is entitled to receive health services under the </w:t>
      </w:r>
      <w:r>
        <w:rPr>
          <w:i/>
        </w:rPr>
        <w:t>Veterans’ Entitlements Act 1986</w:t>
      </w:r>
      <w:r>
        <w:t xml:space="preserve"> (Commonwealth), the </w:t>
      </w:r>
      <w:r>
        <w:rPr>
          <w:i/>
        </w:rPr>
        <w:t xml:space="preserve">Military Rehabilitation and </w:t>
      </w:r>
      <w:r>
        <w:rPr>
          <w:i/>
        </w:rPr>
        <w:lastRenderedPageBreak/>
        <w:t>Compensation Act 2004</w:t>
      </w:r>
      <w:r>
        <w:t xml:space="preserve"> (Commonwealth), the </w:t>
      </w:r>
      <w:r>
        <w:rPr>
          <w:i/>
        </w:rPr>
        <w:t>Safety Rehabilitation and Compensation Act 1988</w:t>
      </w:r>
      <w:r>
        <w:t xml:space="preserve"> (Commonwealth) or the </w:t>
      </w:r>
      <w:r>
        <w:rPr>
          <w:i/>
        </w:rPr>
        <w:t>Australian Participants in British Nuclear Tests (Treatment) Act 2006</w:t>
      </w:r>
      <w:r>
        <w:t xml:space="preserve"> (Commonwealth);</w:t>
      </w:r>
    </w:p>
    <w:p>
      <w:pPr>
        <w:pStyle w:val="Defstart"/>
      </w:pPr>
      <w:r>
        <w:tab/>
      </w:r>
      <w:r>
        <w:rPr>
          <w:rStyle w:val="CharDefText"/>
        </w:rPr>
        <w:t>White Card</w:t>
      </w:r>
      <w:r>
        <w:t xml:space="preserve"> means a currently valid health card, known by that name, issued by the Commonwealth Department of Veterans’ Affairs.</w:t>
      </w:r>
    </w:p>
    <w:p>
      <w:pPr>
        <w:pStyle w:val="Subsection"/>
      </w:pPr>
      <w:r>
        <w:tab/>
        <w:t>(2)</w:t>
      </w:r>
      <w:r>
        <w:tab/>
        <w:t>A bed in a nursing home may be designated as a “hospital bed” by the Minister.</w:t>
      </w:r>
    </w:p>
    <w:p>
      <w:pPr>
        <w:pStyle w:val="Footnotesection"/>
      </w:pPr>
      <w:r>
        <w:tab/>
        <w:t>[Clause 3 amended: Gazette 2 Feb 2018 p. 315; 13 Nov 2018 p. 4432.]</w:t>
      </w:r>
    </w:p>
    <w:p>
      <w:pPr>
        <w:pStyle w:val="Heading2"/>
      </w:pPr>
      <w:bookmarkStart w:id="12" w:name="_Toc116477356"/>
      <w:bookmarkStart w:id="13" w:name="_Toc116478887"/>
      <w:bookmarkStart w:id="14" w:name="_Toc116480653"/>
      <w:bookmarkStart w:id="15" w:name="_Toc116481059"/>
      <w:bookmarkStart w:id="16" w:name="_Toc116481918"/>
      <w:r>
        <w:rPr>
          <w:rStyle w:val="CharPartNo"/>
        </w:rPr>
        <w:lastRenderedPageBreak/>
        <w:t>Part 2</w:t>
      </w:r>
      <w:r>
        <w:t> — </w:t>
      </w:r>
      <w:r>
        <w:rPr>
          <w:rStyle w:val="CharPartText"/>
        </w:rPr>
        <w:t>Fees and charges</w:t>
      </w:r>
      <w:bookmarkEnd w:id="12"/>
      <w:bookmarkEnd w:id="13"/>
      <w:bookmarkEnd w:id="14"/>
      <w:bookmarkEnd w:id="15"/>
      <w:bookmarkEnd w:id="16"/>
    </w:p>
    <w:p>
      <w:pPr>
        <w:pStyle w:val="Footnoteheading"/>
      </w:pPr>
      <w:r>
        <w:tab/>
        <w:t>[Heading amended: SL 2020/5 cl. 4.]</w:t>
      </w:r>
    </w:p>
    <w:p>
      <w:pPr>
        <w:pStyle w:val="Heading5"/>
      </w:pPr>
      <w:bookmarkStart w:id="17" w:name="_Toc116481919"/>
      <w:r>
        <w:rPr>
          <w:rStyle w:val="CharSectno"/>
        </w:rPr>
        <w:t>4</w:t>
      </w:r>
      <w:r>
        <w:t>.</w:t>
      </w:r>
      <w:r>
        <w:tab/>
        <w:t>Scale of fees and charges</w:t>
      </w:r>
      <w:bookmarkEnd w:id="17"/>
    </w:p>
    <w:p>
      <w:pPr>
        <w:pStyle w:val="Subsection"/>
      </w:pPr>
      <w:r>
        <w:tab/>
      </w:r>
      <w:r>
        <w:tab/>
        <w:t>The scale of fees and charges fixed under section 56 of the Act is set out in Schedule 1.</w:t>
      </w:r>
    </w:p>
    <w:p>
      <w:pPr>
        <w:pStyle w:val="Heading5"/>
      </w:pPr>
      <w:bookmarkStart w:id="18" w:name="_Toc116481920"/>
      <w:r>
        <w:rPr>
          <w:rStyle w:val="CharSectno"/>
        </w:rPr>
        <w:t>5</w:t>
      </w:r>
      <w:r>
        <w:t>.</w:t>
      </w:r>
      <w:r>
        <w:tab/>
        <w:t>General fees and charges</w:t>
      </w:r>
      <w:bookmarkEnd w:id="18"/>
    </w:p>
    <w:p>
      <w:pPr>
        <w:pStyle w:val="Subsection"/>
      </w:pPr>
      <w:r>
        <w:tab/>
        <w:t>(1)</w:t>
      </w:r>
      <w:r>
        <w:tab/>
        <w:t xml:space="preserve">Except as provided in subclause (2), the fees and charges set out in Schedule 1 Division 1 apply in respect of — </w:t>
      </w:r>
    </w:p>
    <w:p>
      <w:pPr>
        <w:pStyle w:val="Indenta"/>
      </w:pPr>
      <w:r>
        <w:tab/>
        <w:t>(a)</w:t>
      </w:r>
      <w:r>
        <w:tab/>
        <w:t>the services referred to in Schedule 1 Division 1 that are provided by, in or at a hospital by a health service provider to the classes of patients referred to in Schedule 1 Division 1; and</w:t>
      </w:r>
    </w:p>
    <w:p>
      <w:pPr>
        <w:pStyle w:val="Indenta"/>
      </w:pPr>
      <w:r>
        <w:tab/>
        <w:t>(b)</w:t>
      </w:r>
      <w:r>
        <w:tab/>
        <w:t>any other services mentioned in Schedule 1 Division 1.</w:t>
      </w:r>
    </w:p>
    <w:p>
      <w:pPr>
        <w:pStyle w:val="Subsection"/>
      </w:pPr>
      <w:r>
        <w:tab/>
        <w:t>(2)</w:t>
      </w:r>
      <w:r>
        <w:tab/>
        <w:t xml:space="preserve">The fees and charges set out in Schedule 1 Division 1 do not apply in respect of — </w:t>
      </w:r>
    </w:p>
    <w:p>
      <w:pPr>
        <w:pStyle w:val="Indenta"/>
      </w:pPr>
      <w:r>
        <w:tab/>
        <w:t>(a)</w:t>
      </w:r>
      <w:r>
        <w:tab/>
        <w:t>a service to which a fee or charge set out in Schedule 1 Division 2, 3 or 4 applies; or</w:t>
      </w:r>
    </w:p>
    <w:p>
      <w:pPr>
        <w:pStyle w:val="Indenta"/>
      </w:pPr>
      <w:r>
        <w:tab/>
        <w:t>(b)</w:t>
      </w:r>
      <w:r>
        <w:tab/>
        <w:t>the supply of a specialised orthosis to which a charge under clause 9 applies; or</w:t>
      </w:r>
    </w:p>
    <w:p>
      <w:pPr>
        <w:pStyle w:val="Indenta"/>
      </w:pPr>
      <w:r>
        <w:tab/>
        <w:t>(c)</w:t>
      </w:r>
      <w:r>
        <w:tab/>
        <w:t>the supply of a surgically implanted prosthesis to which a fee or charge set out in Schedule 1 Division 6 applies; or</w:t>
      </w:r>
    </w:p>
    <w:p>
      <w:pPr>
        <w:pStyle w:val="Indenta"/>
      </w:pPr>
      <w:r>
        <w:tab/>
        <w:t>(d)</w:t>
      </w:r>
      <w:r>
        <w:tab/>
        <w:t>a service to which a charge under clause 10A applies.</w:t>
      </w:r>
    </w:p>
    <w:p>
      <w:pPr>
        <w:pStyle w:val="Footnotesection"/>
      </w:pPr>
      <w:r>
        <w:tab/>
        <w:t>[Clause 5 amended: SL 2020/5 cl. 5; SL 2020/58 cl. 4.]</w:t>
      </w:r>
    </w:p>
    <w:p>
      <w:pPr>
        <w:pStyle w:val="Heading5"/>
      </w:pPr>
      <w:bookmarkStart w:id="19" w:name="_Toc116481921"/>
      <w:r>
        <w:rPr>
          <w:rStyle w:val="CharSectno"/>
        </w:rPr>
        <w:lastRenderedPageBreak/>
        <w:t>6</w:t>
      </w:r>
      <w:r>
        <w:t>.</w:t>
      </w:r>
      <w:r>
        <w:tab/>
        <w:t>Compensable patients</w:t>
      </w:r>
      <w:bookmarkEnd w:id="19"/>
    </w:p>
    <w:p>
      <w:pPr>
        <w:pStyle w:val="Subsection"/>
        <w:keepNext/>
      </w:pPr>
      <w:r>
        <w:tab/>
        <w:t>(1)</w:t>
      </w:r>
      <w:r>
        <w:tab/>
        <w:t xml:space="preserve">Except as provided in subclause (2), the fees and charges set out in Schedule 1 Division 2 apply in respect of — </w:t>
      </w:r>
    </w:p>
    <w:p>
      <w:pPr>
        <w:pStyle w:val="Indenta"/>
      </w:pPr>
      <w:r>
        <w:tab/>
        <w:t>(a)</w:t>
      </w:r>
      <w:r>
        <w:tab/>
        <w:t>services provided by, in or at a hospital to compensable in</w:t>
      </w:r>
      <w:r>
        <w:noBreakHyphen/>
        <w:t>patients, compensable day patients and compensable out</w:t>
      </w:r>
      <w:r>
        <w:noBreakHyphen/>
        <w:t>patients; and</w:t>
      </w:r>
    </w:p>
    <w:p>
      <w:pPr>
        <w:pStyle w:val="Indenta"/>
      </w:pPr>
      <w:r>
        <w:tab/>
        <w:t>(b)</w:t>
      </w:r>
      <w:r>
        <w:tab/>
        <w:t>services provided by, at or in a hospital to compensable same day patients (other than services rendered by, in or at a day hospital, nursing home or nursing post).</w:t>
      </w:r>
    </w:p>
    <w:p>
      <w:pPr>
        <w:pStyle w:val="Subsection"/>
      </w:pPr>
      <w:r>
        <w:tab/>
        <w:t>(2)</w:t>
      </w:r>
      <w:r>
        <w:tab/>
        <w:t xml:space="preserve">The fees and charges set out in Schedule 1 Division 2 do not apply in respect of — </w:t>
      </w:r>
    </w:p>
    <w:p>
      <w:pPr>
        <w:pStyle w:val="Indenta"/>
      </w:pPr>
      <w:r>
        <w:tab/>
        <w:t>(a)</w:t>
      </w:r>
      <w:r>
        <w:tab/>
        <w:t>a service to which a fee or charge set out in Schedule 1 Division 1, 3 or 4 applies; or</w:t>
      </w:r>
    </w:p>
    <w:p>
      <w:pPr>
        <w:pStyle w:val="Indenta"/>
      </w:pPr>
      <w:r>
        <w:tab/>
        <w:t>(b)</w:t>
      </w:r>
      <w:r>
        <w:tab/>
        <w:t>the supply of a specialised orthosis to which a charge under clause 9 applies; or</w:t>
      </w:r>
    </w:p>
    <w:p>
      <w:pPr>
        <w:pStyle w:val="Indenta"/>
      </w:pPr>
      <w:r>
        <w:tab/>
        <w:t>(c)</w:t>
      </w:r>
      <w:r>
        <w:tab/>
        <w:t>the supply of surgically implanted prostheses to which a fee or charge set out in Schedule 1 Division 6 applies.</w:t>
      </w:r>
    </w:p>
    <w:p>
      <w:pPr>
        <w:pStyle w:val="Footnotesection"/>
      </w:pPr>
      <w:r>
        <w:tab/>
        <w:t>[Clause 6 amended: SL 2020/58 cl. 5.]</w:t>
      </w:r>
    </w:p>
    <w:p>
      <w:pPr>
        <w:pStyle w:val="Heading5"/>
      </w:pPr>
      <w:bookmarkStart w:id="20" w:name="_Toc116481922"/>
      <w:r>
        <w:rPr>
          <w:rStyle w:val="CharSectno"/>
        </w:rPr>
        <w:t>7</w:t>
      </w:r>
      <w:r>
        <w:t>.</w:t>
      </w:r>
      <w:r>
        <w:tab/>
        <w:t>Magnetic resonance imaging services</w:t>
      </w:r>
      <w:bookmarkEnd w:id="20"/>
    </w:p>
    <w:p>
      <w:pPr>
        <w:pStyle w:val="Subsection"/>
      </w:pPr>
      <w:r>
        <w:tab/>
        <w:t>(1)</w:t>
      </w:r>
      <w:r>
        <w:tab/>
        <w:t xml:space="preserve">In this clause — </w:t>
      </w:r>
    </w:p>
    <w:p>
      <w:pPr>
        <w:pStyle w:val="Defstart"/>
      </w:pPr>
      <w:r>
        <w:tab/>
      </w:r>
      <w:r>
        <w:rPr>
          <w:rStyle w:val="CharDefText"/>
        </w:rPr>
        <w:t>provider hospital</w:t>
      </w:r>
      <w:r>
        <w:t xml:space="preserve"> means a hospital that has magnetic resonance imaging equipment in respect of which a Medicare benefit is payable for magnetic resonance imaging services in accordance with regulations made under the </w:t>
      </w:r>
      <w:r>
        <w:rPr>
          <w:i/>
        </w:rPr>
        <w:t xml:space="preserve">Health Insurance Act 1973 </w:t>
      </w:r>
      <w:r>
        <w:t>(Commonwealth) section 4AA(1).</w:t>
      </w:r>
    </w:p>
    <w:p>
      <w:pPr>
        <w:pStyle w:val="Subsection"/>
      </w:pPr>
      <w:r>
        <w:tab/>
        <w:t>(2)</w:t>
      </w:r>
      <w:r>
        <w:tab/>
        <w:t xml:space="preserve">The fees and charges set out in Schedule 1 Division 3 apply in respect of a magnetic resonance imaging service that is provided by, in or at a provider hospital to — </w:t>
      </w:r>
    </w:p>
    <w:p>
      <w:pPr>
        <w:pStyle w:val="Indenta"/>
      </w:pPr>
      <w:r>
        <w:tab/>
        <w:t>(a)</w:t>
      </w:r>
      <w:r>
        <w:tab/>
        <w:t>a compensable in</w:t>
      </w:r>
      <w:r>
        <w:noBreakHyphen/>
        <w:t>patient; or</w:t>
      </w:r>
    </w:p>
    <w:p>
      <w:pPr>
        <w:pStyle w:val="Indenta"/>
      </w:pPr>
      <w:r>
        <w:tab/>
        <w:t>(b)</w:t>
      </w:r>
      <w:r>
        <w:tab/>
        <w:t>an ineligible in</w:t>
      </w:r>
      <w:r>
        <w:noBreakHyphen/>
        <w:t>patient; or</w:t>
      </w:r>
    </w:p>
    <w:p>
      <w:pPr>
        <w:pStyle w:val="Indenta"/>
      </w:pPr>
      <w:r>
        <w:lastRenderedPageBreak/>
        <w:tab/>
        <w:t>(c)</w:t>
      </w:r>
      <w:r>
        <w:tab/>
        <w:t>a compensable out</w:t>
      </w:r>
      <w:r>
        <w:noBreakHyphen/>
        <w:t>patient; or</w:t>
      </w:r>
    </w:p>
    <w:p>
      <w:pPr>
        <w:pStyle w:val="Indenta"/>
      </w:pPr>
      <w:r>
        <w:tab/>
        <w:t>(d)</w:t>
      </w:r>
      <w:r>
        <w:tab/>
        <w:t>an ineligible out</w:t>
      </w:r>
      <w:r>
        <w:noBreakHyphen/>
        <w:t>patient; or</w:t>
      </w:r>
    </w:p>
    <w:p>
      <w:pPr>
        <w:pStyle w:val="Indenta"/>
      </w:pPr>
      <w:r>
        <w:tab/>
        <w:t>(e)</w:t>
      </w:r>
      <w:r>
        <w:tab/>
        <w:t>a compensable same day patient; or</w:t>
      </w:r>
    </w:p>
    <w:p>
      <w:pPr>
        <w:pStyle w:val="Indenta"/>
      </w:pPr>
      <w:r>
        <w:tab/>
        <w:t>(f)</w:t>
      </w:r>
      <w:r>
        <w:tab/>
        <w:t>an ineligible same day patient.</w:t>
      </w:r>
    </w:p>
    <w:p>
      <w:pPr>
        <w:pStyle w:val="Footnotesection"/>
      </w:pPr>
      <w:r>
        <w:tab/>
        <w:t>[Clause 7 amended: Gazette 9 Mar 2018 p. 797.]</w:t>
      </w:r>
    </w:p>
    <w:p>
      <w:pPr>
        <w:pStyle w:val="Heading5"/>
      </w:pPr>
      <w:bookmarkStart w:id="21" w:name="_Toc116481923"/>
      <w:r>
        <w:rPr>
          <w:rStyle w:val="CharSectno"/>
        </w:rPr>
        <w:t>8</w:t>
      </w:r>
      <w:r>
        <w:t>.</w:t>
      </w:r>
      <w:r>
        <w:tab/>
        <w:t>Pathology services</w:t>
      </w:r>
      <w:bookmarkEnd w:id="21"/>
    </w:p>
    <w:p>
      <w:pPr>
        <w:pStyle w:val="Subsection"/>
      </w:pPr>
      <w:r>
        <w:tab/>
      </w:r>
      <w:r>
        <w:tab/>
        <w:t>The fees and charges set out in Schedule 1 Division 4 apply in respect of pathology services specified in the Medicare Benefits Schedule that are provided to patients mentioned in that Division.</w:t>
      </w:r>
    </w:p>
    <w:p>
      <w:pPr>
        <w:pStyle w:val="Heading5"/>
      </w:pPr>
      <w:bookmarkStart w:id="22" w:name="_Toc116481924"/>
      <w:r>
        <w:rPr>
          <w:rStyle w:val="CharSectno"/>
        </w:rPr>
        <w:t>9</w:t>
      </w:r>
      <w:r>
        <w:t>.</w:t>
      </w:r>
      <w:r>
        <w:tab/>
        <w:t>Specialised orthoses</w:t>
      </w:r>
      <w:bookmarkEnd w:id="22"/>
    </w:p>
    <w:p>
      <w:pPr>
        <w:pStyle w:val="Subsection"/>
      </w:pPr>
      <w:r>
        <w:tab/>
        <w:t>(1)</w:t>
      </w:r>
      <w:r>
        <w:tab/>
        <w:t xml:space="preserve">In this clause — </w:t>
      </w:r>
    </w:p>
    <w:p>
      <w:pPr>
        <w:pStyle w:val="Defstart"/>
      </w:pPr>
      <w:r>
        <w:tab/>
      </w:r>
      <w:r>
        <w:rPr>
          <w:rStyle w:val="CharDefText"/>
        </w:rPr>
        <w:t>adult chargeable patient</w:t>
      </w:r>
      <w:r>
        <w:t xml:space="preserve"> means a chargeable patient who has reached 18 years of age;</w:t>
      </w:r>
    </w:p>
    <w:p>
      <w:pPr>
        <w:pStyle w:val="Defstart"/>
      </w:pPr>
      <w:r>
        <w:tab/>
      </w:r>
      <w:r>
        <w:rPr>
          <w:rStyle w:val="CharDefText"/>
        </w:rPr>
        <w:t>chargeable patient</w:t>
      </w:r>
      <w:r>
        <w:t xml:space="preserve"> means — </w:t>
      </w:r>
    </w:p>
    <w:p>
      <w:pPr>
        <w:pStyle w:val="Defpara"/>
      </w:pPr>
      <w:r>
        <w:tab/>
        <w:t>(a)</w:t>
      </w:r>
      <w:r>
        <w:tab/>
        <w:t>a private in</w:t>
      </w:r>
      <w:r>
        <w:noBreakHyphen/>
        <w:t>patient; or</w:t>
      </w:r>
    </w:p>
    <w:p>
      <w:pPr>
        <w:pStyle w:val="Defpara"/>
      </w:pPr>
      <w:r>
        <w:tab/>
        <w:t>(b)</w:t>
      </w:r>
      <w:r>
        <w:tab/>
        <w:t>a compensable in</w:t>
      </w:r>
      <w:r>
        <w:noBreakHyphen/>
        <w:t>patient; or</w:t>
      </w:r>
    </w:p>
    <w:p>
      <w:pPr>
        <w:pStyle w:val="Defpara"/>
      </w:pPr>
      <w:r>
        <w:tab/>
        <w:t>(c)</w:t>
      </w:r>
      <w:r>
        <w:tab/>
        <w:t>an ineligible in</w:t>
      </w:r>
      <w:r>
        <w:noBreakHyphen/>
        <w:t>patient; or</w:t>
      </w:r>
    </w:p>
    <w:p>
      <w:pPr>
        <w:pStyle w:val="Defpara"/>
      </w:pPr>
      <w:r>
        <w:tab/>
        <w:t>(d)</w:t>
      </w:r>
      <w:r>
        <w:tab/>
        <w:t>a compensable out</w:t>
      </w:r>
      <w:r>
        <w:noBreakHyphen/>
        <w:t>patient; or</w:t>
      </w:r>
    </w:p>
    <w:p>
      <w:pPr>
        <w:pStyle w:val="Defpara"/>
      </w:pPr>
      <w:r>
        <w:tab/>
        <w:t>(e)</w:t>
      </w:r>
      <w:r>
        <w:tab/>
        <w:t>an eligible out</w:t>
      </w:r>
      <w:r>
        <w:noBreakHyphen/>
        <w:t>patient; or</w:t>
      </w:r>
    </w:p>
    <w:p>
      <w:pPr>
        <w:pStyle w:val="Defpara"/>
      </w:pPr>
      <w:r>
        <w:tab/>
        <w:t>(f)</w:t>
      </w:r>
      <w:r>
        <w:tab/>
        <w:t>an ineligible out</w:t>
      </w:r>
      <w:r>
        <w:noBreakHyphen/>
        <w:t>patient; or</w:t>
      </w:r>
    </w:p>
    <w:p>
      <w:pPr>
        <w:pStyle w:val="Defpara"/>
      </w:pPr>
      <w:r>
        <w:tab/>
        <w:t>(g)</w:t>
      </w:r>
      <w:r>
        <w:tab/>
        <w:t>a private same day patient; or</w:t>
      </w:r>
    </w:p>
    <w:p>
      <w:pPr>
        <w:pStyle w:val="Defpara"/>
      </w:pPr>
      <w:r>
        <w:tab/>
        <w:t>(h)</w:t>
      </w:r>
      <w:r>
        <w:tab/>
        <w:t>a compensable same day patient; or</w:t>
      </w:r>
    </w:p>
    <w:p>
      <w:pPr>
        <w:pStyle w:val="Defpara"/>
      </w:pPr>
      <w:r>
        <w:tab/>
        <w:t>(i)</w:t>
      </w:r>
      <w:r>
        <w:tab/>
        <w:t>an ineligible same day patient;</w:t>
      </w:r>
    </w:p>
    <w:p>
      <w:pPr>
        <w:pStyle w:val="Defstart"/>
      </w:pPr>
      <w:r>
        <w:tab/>
      </w:r>
      <w:r>
        <w:rPr>
          <w:rStyle w:val="CharDefText"/>
        </w:rPr>
        <w:t>child chargeable patient</w:t>
      </w:r>
      <w:r>
        <w:t xml:space="preserve"> means a chargeable patient who is under 18 years of age.</w:t>
      </w:r>
    </w:p>
    <w:p>
      <w:pPr>
        <w:pStyle w:val="Subsection"/>
      </w:pPr>
      <w:r>
        <w:tab/>
        <w:t>(2)</w:t>
      </w:r>
      <w:r>
        <w:tab/>
        <w:t xml:space="preserve">The charge for the supply of a specialised orthosis to an adult chargeable patient or a child chargeable patient is to be of an </w:t>
      </w:r>
      <w:r>
        <w:lastRenderedPageBreak/>
        <w:t>amount determined by the Department CEO according to the cost of supplying the specialised orthosis.</w:t>
      </w:r>
    </w:p>
    <w:p>
      <w:pPr>
        <w:pStyle w:val="Subsection"/>
      </w:pPr>
      <w:r>
        <w:tab/>
        <w:t>(3)</w:t>
      </w:r>
      <w:r>
        <w:tab/>
        <w:t>The Department CEO must ensure that a determination made under subclause (2) is publicly available.</w:t>
      </w:r>
    </w:p>
    <w:p>
      <w:pPr>
        <w:pStyle w:val="Footnotesection"/>
      </w:pPr>
      <w:r>
        <w:tab/>
        <w:t>[Clause 9 amended: Gazette 9 Mar 2018 p. 798; SL 2020/58 cl. 6.]</w:t>
      </w:r>
    </w:p>
    <w:p>
      <w:pPr>
        <w:pStyle w:val="Heading5"/>
      </w:pPr>
      <w:bookmarkStart w:id="23" w:name="_Toc116481925"/>
      <w:r>
        <w:rPr>
          <w:rStyle w:val="CharSectno"/>
        </w:rPr>
        <w:t>10</w:t>
      </w:r>
      <w:r>
        <w:t>.</w:t>
      </w:r>
      <w:r>
        <w:tab/>
        <w:t>Surgically implanted prostheses</w:t>
      </w:r>
      <w:bookmarkEnd w:id="23"/>
    </w:p>
    <w:p>
      <w:pPr>
        <w:pStyle w:val="Subsection"/>
      </w:pPr>
      <w:r>
        <w:tab/>
        <w:t>(1)</w:t>
      </w:r>
      <w:r>
        <w:tab/>
        <w:t xml:space="preserve">In this clause — </w:t>
      </w:r>
    </w:p>
    <w:p>
      <w:pPr>
        <w:pStyle w:val="Defstart"/>
      </w:pPr>
      <w:r>
        <w:tab/>
      </w:r>
      <w:r>
        <w:rPr>
          <w:rStyle w:val="CharDefText"/>
        </w:rPr>
        <w:t>provider hospital</w:t>
      </w:r>
      <w:r>
        <w:t xml:space="preserve"> means a hospital other than a day hospital, nursing home or nursing post.</w:t>
      </w:r>
    </w:p>
    <w:p>
      <w:pPr>
        <w:pStyle w:val="Subsection"/>
        <w:keepNext/>
      </w:pPr>
      <w:r>
        <w:tab/>
        <w:t>(2)</w:t>
      </w:r>
      <w:r>
        <w:tab/>
        <w:t xml:space="preserve">The fees and charges set out in Schedule 1 Division 6 apply in respect of the supply in a provider hospital of a surgically implanted prosthesis set out in that Schedule to — </w:t>
      </w:r>
    </w:p>
    <w:p>
      <w:pPr>
        <w:pStyle w:val="Indenta"/>
      </w:pPr>
      <w:r>
        <w:tab/>
        <w:t>(a)</w:t>
      </w:r>
      <w:r>
        <w:tab/>
        <w:t>a private in</w:t>
      </w:r>
      <w:r>
        <w:noBreakHyphen/>
        <w:t>patient; or</w:t>
      </w:r>
    </w:p>
    <w:p>
      <w:pPr>
        <w:pStyle w:val="Indenta"/>
      </w:pPr>
      <w:r>
        <w:tab/>
        <w:t>(b)</w:t>
      </w:r>
      <w:r>
        <w:tab/>
        <w:t>a compensable in</w:t>
      </w:r>
      <w:r>
        <w:noBreakHyphen/>
        <w:t>patient; or</w:t>
      </w:r>
    </w:p>
    <w:p>
      <w:pPr>
        <w:pStyle w:val="Indenta"/>
      </w:pPr>
      <w:r>
        <w:tab/>
        <w:t>(c)</w:t>
      </w:r>
      <w:r>
        <w:tab/>
        <w:t>an ineligible in</w:t>
      </w:r>
      <w:r>
        <w:noBreakHyphen/>
        <w:t>patient; or</w:t>
      </w:r>
    </w:p>
    <w:p>
      <w:pPr>
        <w:pStyle w:val="Indenta"/>
      </w:pPr>
      <w:r>
        <w:tab/>
        <w:t>(d)</w:t>
      </w:r>
      <w:r>
        <w:tab/>
        <w:t>a private same day patient; or</w:t>
      </w:r>
    </w:p>
    <w:p>
      <w:pPr>
        <w:pStyle w:val="Indenta"/>
      </w:pPr>
      <w:r>
        <w:tab/>
        <w:t>(e)</w:t>
      </w:r>
      <w:r>
        <w:tab/>
        <w:t>a compensable same day patient; or</w:t>
      </w:r>
    </w:p>
    <w:p>
      <w:pPr>
        <w:pStyle w:val="Indenta"/>
      </w:pPr>
      <w:r>
        <w:tab/>
        <w:t>(f)</w:t>
      </w:r>
      <w:r>
        <w:tab/>
        <w:t>an ineligible same day patient.</w:t>
      </w:r>
    </w:p>
    <w:p>
      <w:pPr>
        <w:pStyle w:val="Heading5"/>
      </w:pPr>
      <w:bookmarkStart w:id="24" w:name="_Toc116481926"/>
      <w:r>
        <w:rPr>
          <w:rStyle w:val="CharSectno"/>
        </w:rPr>
        <w:t>10A</w:t>
      </w:r>
      <w:r>
        <w:t>.</w:t>
      </w:r>
      <w:r>
        <w:tab/>
        <w:t>Provision of medicines</w:t>
      </w:r>
      <w:bookmarkEnd w:id="24"/>
    </w:p>
    <w:p>
      <w:pPr>
        <w:pStyle w:val="Subsection"/>
      </w:pPr>
      <w:r>
        <w:tab/>
        <w:t>(1)</w:t>
      </w:r>
      <w:r>
        <w:tab/>
        <w:t xml:space="preserve">The charge for the provision of a medicine in a hospital to a patient of any of the following classes is to be of an amount determined by the Department CEO according to the cost of providing the medicine — </w:t>
      </w:r>
    </w:p>
    <w:p>
      <w:pPr>
        <w:pStyle w:val="Indenta"/>
      </w:pPr>
      <w:r>
        <w:tab/>
        <w:t>(a)</w:t>
      </w:r>
      <w:r>
        <w:tab/>
        <w:t>ineligible in</w:t>
      </w:r>
      <w:r>
        <w:noBreakHyphen/>
        <w:t>patient;</w:t>
      </w:r>
    </w:p>
    <w:p>
      <w:pPr>
        <w:pStyle w:val="Indenta"/>
      </w:pPr>
      <w:r>
        <w:tab/>
        <w:t>(b)</w:t>
      </w:r>
      <w:r>
        <w:tab/>
        <w:t>ineligible out</w:t>
      </w:r>
      <w:r>
        <w:noBreakHyphen/>
        <w:t>patient;</w:t>
      </w:r>
    </w:p>
    <w:p>
      <w:pPr>
        <w:pStyle w:val="Indenta"/>
      </w:pPr>
      <w:r>
        <w:tab/>
        <w:t>(c)</w:t>
      </w:r>
      <w:r>
        <w:tab/>
        <w:t>ineligible day patient;</w:t>
      </w:r>
    </w:p>
    <w:p>
      <w:pPr>
        <w:pStyle w:val="Indenta"/>
      </w:pPr>
      <w:r>
        <w:tab/>
        <w:t>(d)</w:t>
      </w:r>
      <w:r>
        <w:tab/>
        <w:t>ineligible same day patient.</w:t>
      </w:r>
    </w:p>
    <w:p>
      <w:pPr>
        <w:pStyle w:val="Subsection"/>
      </w:pPr>
      <w:r>
        <w:lastRenderedPageBreak/>
        <w:tab/>
        <w:t>(2)</w:t>
      </w:r>
      <w:r>
        <w:tab/>
        <w:t>The Department CEO must ensure that a determination made under subclause (1) is publicly available.</w:t>
      </w:r>
    </w:p>
    <w:p>
      <w:pPr>
        <w:pStyle w:val="Footnotesection"/>
      </w:pPr>
      <w:r>
        <w:tab/>
        <w:t>[Clause 10A inserted: SL 2020/5 cl. 6.]</w:t>
      </w:r>
    </w:p>
    <w:p>
      <w:pPr>
        <w:pStyle w:val="Heading2"/>
      </w:pPr>
      <w:bookmarkStart w:id="25" w:name="_Toc116477365"/>
      <w:bookmarkStart w:id="26" w:name="_Toc116478896"/>
      <w:bookmarkStart w:id="27" w:name="_Toc116480662"/>
      <w:bookmarkStart w:id="28" w:name="_Toc116481068"/>
      <w:bookmarkStart w:id="29" w:name="_Toc116481927"/>
      <w:r>
        <w:rPr>
          <w:rStyle w:val="CharPartNo"/>
        </w:rPr>
        <w:lastRenderedPageBreak/>
        <w:t>Part 3</w:t>
      </w:r>
      <w:r>
        <w:rPr>
          <w:rStyle w:val="CharDivNo"/>
        </w:rPr>
        <w:t> </w:t>
      </w:r>
      <w:r>
        <w:t>—</w:t>
      </w:r>
      <w:r>
        <w:rPr>
          <w:rStyle w:val="CharDivText"/>
        </w:rPr>
        <w:t> </w:t>
      </w:r>
      <w:r>
        <w:rPr>
          <w:rStyle w:val="CharPartText"/>
        </w:rPr>
        <w:t>Classes of patients</w:t>
      </w:r>
      <w:bookmarkEnd w:id="25"/>
      <w:bookmarkEnd w:id="26"/>
      <w:bookmarkEnd w:id="27"/>
      <w:bookmarkEnd w:id="28"/>
      <w:bookmarkEnd w:id="29"/>
    </w:p>
    <w:p>
      <w:pPr>
        <w:pStyle w:val="Heading5"/>
      </w:pPr>
      <w:bookmarkStart w:id="30" w:name="_Toc116481928"/>
      <w:r>
        <w:rPr>
          <w:rStyle w:val="CharSectno"/>
        </w:rPr>
        <w:t>11</w:t>
      </w:r>
      <w:r>
        <w:t>.</w:t>
      </w:r>
      <w:r>
        <w:tab/>
        <w:t>Classes of patients</w:t>
      </w:r>
      <w:bookmarkEnd w:id="30"/>
    </w:p>
    <w:p>
      <w:pPr>
        <w:pStyle w:val="Subsection"/>
      </w:pPr>
      <w:r>
        <w:tab/>
      </w:r>
      <w:r>
        <w:tab/>
        <w:t xml:space="preserve">For the purpose of a service provided in respect of a patient by, in or at a hospital, the patient must be classified as — </w:t>
      </w:r>
    </w:p>
    <w:p>
      <w:pPr>
        <w:pStyle w:val="Indenta"/>
      </w:pPr>
      <w:r>
        <w:tab/>
        <w:t>(a)</w:t>
      </w:r>
      <w:r>
        <w:tab/>
        <w:t>an in</w:t>
      </w:r>
      <w:r>
        <w:noBreakHyphen/>
        <w:t>patient; or</w:t>
      </w:r>
    </w:p>
    <w:p>
      <w:pPr>
        <w:pStyle w:val="Indenta"/>
      </w:pPr>
      <w:r>
        <w:tab/>
        <w:t>(b)</w:t>
      </w:r>
      <w:r>
        <w:tab/>
        <w:t>a day patient, namely, a person who receives health services at a day hospital; or</w:t>
      </w:r>
    </w:p>
    <w:p>
      <w:pPr>
        <w:pStyle w:val="Indenta"/>
      </w:pPr>
      <w:r>
        <w:tab/>
        <w:t>(c)</w:t>
      </w:r>
      <w:r>
        <w:tab/>
        <w:t>an out</w:t>
      </w:r>
      <w:r>
        <w:noBreakHyphen/>
        <w:t xml:space="preserve">patient, namely, a person — </w:t>
      </w:r>
    </w:p>
    <w:p>
      <w:pPr>
        <w:pStyle w:val="Indenti"/>
      </w:pPr>
      <w:r>
        <w:tab/>
        <w:t>(i)</w:t>
      </w:r>
      <w:r>
        <w:tab/>
        <w:t>who attends at a hospital and receives health services under an out</w:t>
      </w:r>
      <w:r>
        <w:noBreakHyphen/>
        <w:t>patient service provided at the hospital; or</w:t>
      </w:r>
    </w:p>
    <w:p>
      <w:pPr>
        <w:pStyle w:val="Indenti"/>
      </w:pPr>
      <w:r>
        <w:tab/>
        <w:t>(ii)</w:t>
      </w:r>
      <w:r>
        <w:tab/>
        <w:t>in respect of whom a hospital provides a health service elsewhere than at the hospital;</w:t>
      </w:r>
    </w:p>
    <w:p>
      <w:pPr>
        <w:pStyle w:val="Indenta"/>
      </w:pPr>
      <w:r>
        <w:tab/>
      </w:r>
      <w:r>
        <w:tab/>
        <w:t>or</w:t>
      </w:r>
    </w:p>
    <w:p>
      <w:pPr>
        <w:pStyle w:val="Indenta"/>
      </w:pPr>
      <w:r>
        <w:tab/>
        <w:t>(d)</w:t>
      </w:r>
      <w:r>
        <w:tab/>
        <w:t>a same day patient, namely, a person who is admitted to and discharged from a hospital, not being a day hospital, nursing home or a nursing post, between midnight on one day and midnight on the next succeeding day for the purpose of receiving health services.</w:t>
      </w:r>
    </w:p>
    <w:p>
      <w:pPr>
        <w:pStyle w:val="Heading5"/>
      </w:pPr>
      <w:bookmarkStart w:id="31" w:name="_Toc116481929"/>
      <w:r>
        <w:rPr>
          <w:rStyle w:val="CharSectno"/>
        </w:rPr>
        <w:t>12</w:t>
      </w:r>
      <w:r>
        <w:t>.</w:t>
      </w:r>
      <w:r>
        <w:tab/>
        <w:t>Classes of in</w:t>
      </w:r>
      <w:r>
        <w:noBreakHyphen/>
        <w:t>patients</w:t>
      </w:r>
      <w:bookmarkEnd w:id="31"/>
    </w:p>
    <w:p>
      <w:pPr>
        <w:pStyle w:val="Subsection"/>
      </w:pPr>
      <w:r>
        <w:tab/>
        <w:t>(1)</w:t>
      </w:r>
      <w:r>
        <w:tab/>
        <w:t>An in</w:t>
      </w:r>
      <w:r>
        <w:noBreakHyphen/>
        <w:t>patient must be classified under this clause for the purpose of the payment of the fees and charges set out in Schedule 1 in respect of an in</w:t>
      </w:r>
      <w:r>
        <w:noBreakHyphen/>
        <w:t>patient.</w:t>
      </w:r>
    </w:p>
    <w:p>
      <w:pPr>
        <w:pStyle w:val="Subsection"/>
      </w:pPr>
      <w:r>
        <w:tab/>
        <w:t>(2)</w:t>
      </w:r>
      <w:r>
        <w:tab/>
        <w:t>Subject to subclause (4), an in</w:t>
      </w:r>
      <w:r>
        <w:noBreakHyphen/>
        <w:t xml:space="preserve">patient must be classified as — </w:t>
      </w:r>
    </w:p>
    <w:p>
      <w:pPr>
        <w:pStyle w:val="Indenta"/>
      </w:pPr>
      <w:r>
        <w:tab/>
        <w:t>(a)</w:t>
      </w:r>
      <w:r>
        <w:tab/>
        <w:t>a public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or an in</w:t>
      </w:r>
      <w:r>
        <w:noBreakHyphen/>
        <w:t>patient who elects to be treated as a private in</w:t>
      </w:r>
      <w:r>
        <w:noBreakHyphen/>
        <w:t>patient); and</w:t>
      </w:r>
    </w:p>
    <w:p>
      <w:pPr>
        <w:pStyle w:val="Indenti"/>
      </w:pPr>
      <w:r>
        <w:lastRenderedPageBreak/>
        <w:tab/>
        <w:t>(ii)</w:t>
      </w:r>
      <w:r>
        <w:tab/>
        <w:t>who elects to be treated as a public in</w:t>
      </w:r>
      <w:r>
        <w:noBreakHyphen/>
        <w:t>patient; and</w:t>
      </w:r>
    </w:p>
    <w:p>
      <w:pPr>
        <w:pStyle w:val="Indenti"/>
      </w:pPr>
      <w:r>
        <w:tab/>
        <w:t>(iii)</w:t>
      </w:r>
      <w:r>
        <w:tab/>
        <w:t>in respect of whom the hospital concerned provides, in a hospital bed, accommodation, maintenance, nursing care and appropriate professional services and such other necessary services as are available;</w:t>
      </w:r>
    </w:p>
    <w:p>
      <w:pPr>
        <w:pStyle w:val="Indenta"/>
      </w:pPr>
      <w:r>
        <w:tab/>
      </w:r>
      <w:r>
        <w:tab/>
        <w:t>or</w:t>
      </w:r>
    </w:p>
    <w:p>
      <w:pPr>
        <w:pStyle w:val="Indenta"/>
      </w:pPr>
      <w:r>
        <w:tab/>
        <w:t>(b)</w:t>
      </w:r>
      <w:r>
        <w:tab/>
        <w:t>a private in</w:t>
      </w:r>
      <w:r>
        <w:noBreakHyphen/>
        <w:t>patient, namely, an in</w:t>
      </w:r>
      <w:r>
        <w:noBreakHyphen/>
        <w:t xml:space="preserve">patient — </w:t>
      </w:r>
    </w:p>
    <w:p>
      <w:pPr>
        <w:pStyle w:val="Indenti"/>
      </w:pPr>
      <w:r>
        <w:tab/>
        <w:t>(i)</w:t>
      </w:r>
      <w:r>
        <w:tab/>
        <w:t>who is an eligible person (not being a compensable in</w:t>
      </w:r>
      <w:r>
        <w:noBreakHyphen/>
        <w:t>patient, nursing home type patient or nursing home type private patient); and</w:t>
      </w:r>
    </w:p>
    <w:p>
      <w:pPr>
        <w:pStyle w:val="Indenti"/>
      </w:pPr>
      <w:r>
        <w:tab/>
        <w:t>(ii)</w:t>
      </w:r>
      <w:r>
        <w:tab/>
        <w:t>who elects to be treated as a private in</w:t>
      </w:r>
      <w:r>
        <w:noBreakHyphen/>
        <w:t>patient; and</w:t>
      </w:r>
    </w:p>
    <w:p>
      <w:pPr>
        <w:pStyle w:val="Indenti"/>
      </w:pPr>
      <w:r>
        <w:tab/>
        <w:t>(iii)</w:t>
      </w:r>
      <w:r>
        <w:tab/>
        <w:t>in respect of whom the hospital concerned provides, in a hospital bed, accommodation, maintenance, nursing care and such other necessary services as are available, other than professional and dental services provided by a practitioner acting in a private capacity or midwifery services provided by a midwife acting in a private capacity;</w:t>
      </w:r>
    </w:p>
    <w:p>
      <w:pPr>
        <w:pStyle w:val="Indenta"/>
      </w:pPr>
      <w:r>
        <w:tab/>
      </w:r>
      <w:r>
        <w:tab/>
        <w:t>or</w:t>
      </w:r>
    </w:p>
    <w:p>
      <w:pPr>
        <w:pStyle w:val="Indenta"/>
      </w:pPr>
      <w:r>
        <w:tab/>
        <w:t>(c)</w:t>
      </w:r>
      <w:r>
        <w:tab/>
        <w:t>a compensable in</w:t>
      </w:r>
      <w:r>
        <w:noBreakHyphen/>
        <w:t>patient, namely, an in</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keepLines/>
      </w:pPr>
      <w:r>
        <w:lastRenderedPageBreak/>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(d)</w:t>
      </w:r>
      <w:r>
        <w:tab/>
        <w:t>an eligible veteran in</w:t>
      </w:r>
      <w:r>
        <w:noBreakHyphen/>
        <w:t>patient, namely, an in</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(e)</w:t>
      </w:r>
      <w:r>
        <w:tab/>
        <w:t>a nursing home type patient, namely, an in</w:t>
      </w:r>
      <w:r>
        <w:noBreakHyphen/>
        <w:t>patient (not being a compensable in</w:t>
      </w:r>
      <w:r>
        <w:noBreakHyphen/>
        <w:t xml:space="preserve">patient or an ineligible 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in respect of whom the hospital concerned provides, in a hospital bed, accommodation and nursing care and appropriate professional services and such other necessary services as are available;</w:t>
      </w:r>
    </w:p>
    <w:p>
      <w:pPr>
        <w:pStyle w:val="Indenta"/>
      </w:pPr>
      <w:r>
        <w:tab/>
      </w:r>
      <w:r>
        <w:tab/>
        <w:t>or</w:t>
      </w:r>
    </w:p>
    <w:p>
      <w:pPr>
        <w:pStyle w:val="Indenta"/>
      </w:pPr>
      <w:r>
        <w:tab/>
        <w:t>(f)</w:t>
      </w:r>
      <w:r>
        <w:tab/>
        <w:t>a nursing home type private patient, namely, an eligible person (not being a compensable in</w:t>
      </w:r>
      <w:r>
        <w:noBreakHyphen/>
        <w:t xml:space="preserve">patient) — </w:t>
      </w:r>
    </w:p>
    <w:p>
      <w:pPr>
        <w:pStyle w:val="Indenti"/>
      </w:pPr>
      <w:r>
        <w:tab/>
        <w:t>(i)</w:t>
      </w:r>
      <w:r>
        <w:tab/>
        <w:t xml:space="preserve">who is a nursing home type patient within the meaning of the </w:t>
      </w:r>
      <w:r>
        <w:rPr>
          <w:i/>
        </w:rPr>
        <w:t xml:space="preserve">Health Insurance Act 1973 </w:t>
      </w:r>
      <w:r>
        <w:t>(Commonwealth); and</w:t>
      </w:r>
    </w:p>
    <w:p>
      <w:pPr>
        <w:pStyle w:val="Indenti"/>
      </w:pPr>
      <w:r>
        <w:tab/>
        <w:t>(ii)</w:t>
      </w:r>
      <w:r>
        <w:tab/>
        <w:t>who elects to be treated as a nursing home type private patient; and</w:t>
      </w:r>
    </w:p>
    <w:p>
      <w:pPr>
        <w:pStyle w:val="Indenti"/>
      </w:pPr>
      <w:r>
        <w:tab/>
        <w:t>(iii)</w:t>
      </w:r>
      <w:r>
        <w:tab/>
        <w:t xml:space="preserve">in respect of whom the hospital concerned provides, in a hospital bed, accommodation, nursing care and such other necessary services as are available, other than professional and dental </w:t>
      </w:r>
      <w:r>
        <w:lastRenderedPageBreak/>
        <w:t>services provided by a practitioner acting in a private capacity;</w:t>
      </w:r>
    </w:p>
    <w:p>
      <w:pPr>
        <w:pStyle w:val="Indenta"/>
      </w:pPr>
      <w:r>
        <w:tab/>
      </w:r>
      <w:r>
        <w:tab/>
        <w:t>or</w:t>
      </w:r>
    </w:p>
    <w:p>
      <w:pPr>
        <w:pStyle w:val="Indenta"/>
      </w:pPr>
      <w:r>
        <w:tab/>
        <w:t>(g)</w:t>
      </w:r>
      <w:r>
        <w:tab/>
        <w:t>an ineligible in</w:t>
      </w:r>
      <w:r>
        <w:noBreakHyphen/>
        <w:t>patient, namely, an in</w:t>
      </w:r>
      <w:r>
        <w:noBreakHyphen/>
        <w:t xml:space="preserve">patient — </w:t>
      </w:r>
    </w:p>
    <w:p>
      <w:pPr>
        <w:pStyle w:val="Indenti"/>
      </w:pPr>
      <w:r>
        <w:tab/>
        <w:t>(i)</w:t>
      </w:r>
      <w:r>
        <w:tab/>
        <w:t xml:space="preserve">who is not an eligible person (other than a person or a member of a class of persons to whom or to which a declaration made under the </w:t>
      </w:r>
      <w:r>
        <w:rPr>
          <w:i/>
        </w:rPr>
        <w:t xml:space="preserve">Health Insurance Act 1973 </w:t>
      </w:r>
      <w:r>
        <w:t>(Commonwealth) section 6(2) applies in the relevant circumstances); and</w:t>
      </w:r>
    </w:p>
    <w:p>
      <w:pPr>
        <w:pStyle w:val="Indenti"/>
      </w:pPr>
      <w:r>
        <w:tab/>
        <w:t>(ii)</w:t>
      </w:r>
      <w:r>
        <w:tab/>
        <w:t>who is not a compensable in</w:t>
      </w:r>
      <w:r>
        <w:noBreakHyphen/>
        <w:t>patient; and</w:t>
      </w:r>
    </w:p>
    <w:p>
      <w:pPr>
        <w:pStyle w:val="Indenti"/>
      </w:pPr>
      <w:r>
        <w:tab/>
        <w:t>(iii)</w:t>
      </w:r>
      <w:r>
        <w:tab/>
        <w:t>in respect of whom the hospital concerned provides, in a hospital bed, accommodation, nursing care and such other necessary services as are available, other than professional and dental services provided by a practitioner acting in a private capacity.</w:t>
      </w:r>
    </w:p>
    <w:p>
      <w:pPr>
        <w:pStyle w:val="Subsection"/>
      </w:pPr>
      <w:r>
        <w:tab/>
        <w:t>(3)</w:t>
      </w:r>
      <w:r>
        <w:tab/>
        <w:t>For the purposes of subclause (2)(c), a compensable in</w:t>
      </w:r>
      <w:r>
        <w:noBreakHyphen/>
        <w:t xml:space="preserve">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Subsection"/>
      </w:pPr>
      <w:r>
        <w:tab/>
        <w:t>(4)</w:t>
      </w:r>
      <w:r>
        <w:tab/>
        <w:t>At the time of admission to a hospital, or as soon as practicable after admission, an eligible person (not being a compensable in</w:t>
      </w:r>
      <w:r>
        <w:noBreakHyphen/>
        <w:t xml:space="preserve">patient or a veteran) must elect whether that person wishes to be classified as — </w:t>
      </w:r>
    </w:p>
    <w:p>
      <w:pPr>
        <w:pStyle w:val="Indenta"/>
      </w:pPr>
      <w:r>
        <w:tab/>
        <w:t>(a)</w:t>
      </w:r>
      <w:r>
        <w:tab/>
        <w:t>a public in</w:t>
      </w:r>
      <w:r>
        <w:noBreakHyphen/>
        <w:t>patient; or</w:t>
      </w:r>
    </w:p>
    <w:p>
      <w:pPr>
        <w:pStyle w:val="Indenta"/>
      </w:pPr>
      <w:r>
        <w:lastRenderedPageBreak/>
        <w:tab/>
        <w:t>(b)</w:t>
      </w:r>
      <w:r>
        <w:tab/>
        <w:t>a private in</w:t>
      </w:r>
      <w:r>
        <w:noBreakHyphen/>
        <w:t>patient.</w:t>
      </w:r>
    </w:p>
    <w:p>
      <w:pPr>
        <w:pStyle w:val="Subsection"/>
      </w:pPr>
      <w:r>
        <w:tab/>
        <w:t>(5)</w:t>
      </w:r>
      <w:r>
        <w:tab/>
        <w:t xml:space="preserve">At the time of admission to a hospital, or as soon as practicable after admission, a veteran must elect whether the veteran wishes to be classified as — </w:t>
      </w:r>
    </w:p>
    <w:p>
      <w:pPr>
        <w:pStyle w:val="Indenta"/>
      </w:pPr>
      <w:r>
        <w:tab/>
        <w:t>(a)</w:t>
      </w:r>
      <w:r>
        <w:tab/>
        <w:t>an eligible veteran in</w:t>
      </w:r>
      <w:r>
        <w:noBreakHyphen/>
        <w:t>patient; or</w:t>
      </w:r>
    </w:p>
    <w:p>
      <w:pPr>
        <w:pStyle w:val="Indenta"/>
      </w:pPr>
      <w:r>
        <w:tab/>
        <w:t>(b)</w:t>
      </w:r>
      <w:r>
        <w:tab/>
        <w:t>a public in</w:t>
      </w:r>
      <w:r>
        <w:noBreakHyphen/>
        <w:t>patient; or</w:t>
      </w:r>
    </w:p>
    <w:p>
      <w:pPr>
        <w:pStyle w:val="Indenta"/>
      </w:pPr>
      <w:r>
        <w:tab/>
        <w:t>(c)</w:t>
      </w:r>
      <w:r>
        <w:tab/>
        <w:t>a private in</w:t>
      </w:r>
      <w:r>
        <w:noBreakHyphen/>
        <w:t>patient.</w:t>
      </w:r>
    </w:p>
    <w:p>
      <w:pPr>
        <w:pStyle w:val="Footnotesection"/>
      </w:pPr>
      <w:r>
        <w:tab/>
        <w:t>[Clause 12 amended: Gazette 9 Mar 2018 p. 798.]</w:t>
      </w:r>
    </w:p>
    <w:p>
      <w:pPr>
        <w:pStyle w:val="Heading5"/>
      </w:pPr>
      <w:bookmarkStart w:id="32" w:name="_Toc116481930"/>
      <w:r>
        <w:rPr>
          <w:rStyle w:val="CharSectno"/>
        </w:rPr>
        <w:t>13</w:t>
      </w:r>
      <w:r>
        <w:t>.</w:t>
      </w:r>
      <w:r>
        <w:tab/>
        <w:t>Classes of day patients</w:t>
      </w:r>
      <w:bookmarkEnd w:id="32"/>
    </w:p>
    <w:p>
      <w:pPr>
        <w:pStyle w:val="Subsection"/>
      </w:pPr>
      <w:r>
        <w:tab/>
        <w:t>(1)</w:t>
      </w:r>
      <w:r>
        <w:tab/>
        <w:t>A day patient must be classified under this clause for the purpose of the payment of the fees and charges set out in Schedule 1 in respect of a day patient.</w:t>
      </w:r>
    </w:p>
    <w:p>
      <w:pPr>
        <w:pStyle w:val="Subsection"/>
      </w:pPr>
      <w:r>
        <w:tab/>
        <w:t>(2)</w:t>
      </w:r>
      <w:r>
        <w:tab/>
        <w:t xml:space="preserve">A day patient must be classified as — </w:t>
      </w:r>
    </w:p>
    <w:p>
      <w:pPr>
        <w:pStyle w:val="Indenta"/>
      </w:pPr>
      <w:r>
        <w:tab/>
        <w:t>(a)</w:t>
      </w:r>
      <w:r>
        <w:tab/>
        <w:t xml:space="preserve">a compensable day patient, namely, a day 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tab/>
        <w:t>(ii)</w:t>
      </w:r>
      <w:r>
        <w:tab/>
        <w:t>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 xml:space="preserve">an eligible day patient, namely, a day patient — </w:t>
      </w:r>
    </w:p>
    <w:p>
      <w:pPr>
        <w:pStyle w:val="Indenti"/>
      </w:pPr>
      <w:r>
        <w:tab/>
        <w:t>(i)</w:t>
      </w:r>
      <w:r>
        <w:tab/>
        <w:t>who is an eligible person; but</w:t>
      </w:r>
    </w:p>
    <w:p>
      <w:pPr>
        <w:pStyle w:val="Indenti"/>
        <w:keepNext/>
      </w:pPr>
      <w:r>
        <w:lastRenderedPageBreak/>
        <w:tab/>
        <w:t>(ii)</w:t>
      </w:r>
      <w:r>
        <w:tab/>
        <w:t>who is not a compensable day patient;</w:t>
      </w:r>
    </w:p>
    <w:p>
      <w:pPr>
        <w:pStyle w:val="Indenta"/>
      </w:pPr>
      <w:r>
        <w:tab/>
      </w:r>
      <w:r>
        <w:tab/>
        <w:t>or</w:t>
      </w:r>
    </w:p>
    <w:p>
      <w:pPr>
        <w:pStyle w:val="Indenta"/>
        <w:keepNext/>
      </w:pPr>
      <w:r>
        <w:tab/>
        <w:t>(c)</w:t>
      </w:r>
      <w:r>
        <w:tab/>
        <w:t xml:space="preserve">an ineligible day patient, namely, a day patient — </w:t>
      </w:r>
    </w:p>
    <w:p>
      <w:pPr>
        <w:pStyle w:val="Indenti"/>
        <w:keepNext/>
      </w:pPr>
      <w:r>
        <w:tab/>
        <w:t>(i)</w:t>
      </w:r>
      <w:r>
        <w:tab/>
        <w:t>who is not an eligible person; and</w:t>
      </w:r>
    </w:p>
    <w:p>
      <w:pPr>
        <w:pStyle w:val="Indenti"/>
      </w:pPr>
      <w:r>
        <w:tab/>
        <w:t>(ii)</w:t>
      </w:r>
      <w:r>
        <w:tab/>
        <w:t>who is not a compensable day patient.</w:t>
      </w:r>
    </w:p>
    <w:p>
      <w:pPr>
        <w:pStyle w:val="Subsection"/>
      </w:pPr>
      <w:r>
        <w:tab/>
        <w:t>(3)</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13 amended: Gazette 9 Mar 2018 p. 798.]</w:t>
      </w:r>
    </w:p>
    <w:p>
      <w:pPr>
        <w:pStyle w:val="Heading5"/>
      </w:pPr>
      <w:bookmarkStart w:id="33" w:name="_Toc116481931"/>
      <w:r>
        <w:rPr>
          <w:rStyle w:val="CharSectno"/>
        </w:rPr>
        <w:t>14</w:t>
      </w:r>
      <w:r>
        <w:t>.</w:t>
      </w:r>
      <w:r>
        <w:tab/>
        <w:t>Classes of out</w:t>
      </w:r>
      <w:r>
        <w:noBreakHyphen/>
        <w:t>patients</w:t>
      </w:r>
      <w:bookmarkEnd w:id="33"/>
    </w:p>
    <w:p>
      <w:pPr>
        <w:pStyle w:val="Subsection"/>
      </w:pPr>
      <w:r>
        <w:tab/>
        <w:t>(1)</w:t>
      </w:r>
      <w:r>
        <w:tab/>
        <w:t>An out</w:t>
      </w:r>
      <w:r>
        <w:noBreakHyphen/>
        <w:t>patient must be classified under this clause for the purpose of the payment of the fees and charges set out in Schedule 1 in respect of an out</w:t>
      </w:r>
      <w:r>
        <w:noBreakHyphen/>
        <w:t>patient.</w:t>
      </w:r>
    </w:p>
    <w:p>
      <w:pPr>
        <w:pStyle w:val="Subsection"/>
      </w:pPr>
      <w:r>
        <w:tab/>
        <w:t>(2)</w:t>
      </w:r>
      <w:r>
        <w:tab/>
        <w:t>An out</w:t>
      </w:r>
      <w:r>
        <w:noBreakHyphen/>
        <w:t xml:space="preserve">patient must be classified as — </w:t>
      </w:r>
    </w:p>
    <w:p>
      <w:pPr>
        <w:pStyle w:val="Indenta"/>
      </w:pPr>
      <w:r>
        <w:tab/>
        <w:t>(a)</w:t>
      </w:r>
      <w:r>
        <w:tab/>
        <w:t>a compensable out</w:t>
      </w:r>
      <w:r>
        <w:noBreakHyphen/>
        <w:t>patient, namely, an out</w:t>
      </w:r>
      <w:r>
        <w:noBreakHyphen/>
        <w:t xml:space="preserve">patient who — </w:t>
      </w:r>
    </w:p>
    <w:p>
      <w:pPr>
        <w:pStyle w:val="Indenti"/>
      </w:pPr>
      <w:r>
        <w:tab/>
        <w:t>(i)</w:t>
      </w:r>
      <w:r>
        <w:tab/>
        <w:t>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w:t>
      </w:r>
    </w:p>
    <w:p>
      <w:pPr>
        <w:pStyle w:val="Indenti"/>
      </w:pPr>
      <w:r>
        <w:lastRenderedPageBreak/>
        <w:tab/>
        <w:t>(ii)</w:t>
      </w:r>
      <w:r>
        <w:tab/>
        <w:t>who on attendance at a hospital appears prima facie to have the right to receive any such payment in respect of an injury, illness or disease for which the patient is receiving health services;</w:t>
      </w:r>
    </w:p>
    <w:p>
      <w:pPr>
        <w:pStyle w:val="Indenta"/>
      </w:pPr>
      <w:r>
        <w:tab/>
      </w:r>
      <w:r>
        <w:tab/>
        <w:t>or</w:t>
      </w:r>
    </w:p>
    <w:p>
      <w:pPr>
        <w:pStyle w:val="Indenta"/>
      </w:pPr>
      <w:r>
        <w:tab/>
        <w:t>(b)</w:t>
      </w:r>
      <w:r>
        <w:tab/>
        <w:t>an eligible veteran out</w:t>
      </w:r>
      <w:r>
        <w:noBreakHyphen/>
        <w:t>patient, namely, an out</w:t>
      </w:r>
      <w:r>
        <w:noBreakHyphen/>
        <w:t xml:space="preserve">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tab/>
        <w:t>(c)</w:t>
      </w:r>
      <w:r>
        <w:tab/>
        <w:t>an eligible out</w:t>
      </w:r>
      <w:r>
        <w:noBreakHyphen/>
        <w:t>patient, namely, an out</w:t>
      </w:r>
      <w:r>
        <w:noBreakHyphen/>
        <w:t xml:space="preserve">patient — </w:t>
      </w:r>
    </w:p>
    <w:p>
      <w:pPr>
        <w:pStyle w:val="Indenti"/>
      </w:pPr>
      <w:r>
        <w:tab/>
        <w:t>(i)</w:t>
      </w:r>
      <w:r>
        <w:tab/>
        <w:t>who is an eligible person; but</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(d)</w:t>
      </w:r>
      <w:r>
        <w:tab/>
        <w:t>an ineligible out</w:t>
      </w:r>
      <w:r>
        <w:noBreakHyphen/>
        <w:t>patient, namely, an out</w:t>
      </w:r>
      <w:r>
        <w:noBreakHyphen/>
        <w:t xml:space="preserve">patient — </w:t>
      </w:r>
    </w:p>
    <w:p>
      <w:pPr>
        <w:pStyle w:val="Indenti"/>
      </w:pPr>
      <w:r>
        <w:tab/>
        <w:t>(i)</w:t>
      </w:r>
      <w:r>
        <w:tab/>
        <w:t>who is not an eligible person; and</w:t>
      </w:r>
    </w:p>
    <w:p>
      <w:pPr>
        <w:pStyle w:val="Indenti"/>
      </w:pPr>
      <w:r>
        <w:tab/>
        <w:t>(ii)</w:t>
      </w:r>
      <w:r>
        <w:tab/>
        <w:t>who is not a compensable out</w:t>
      </w:r>
      <w:r>
        <w:noBreakHyphen/>
        <w:t>patient or eligible veteran out</w:t>
      </w:r>
      <w:r>
        <w:noBreakHyphen/>
        <w:t>patient;</w:t>
      </w:r>
    </w:p>
    <w:p>
      <w:pPr>
        <w:pStyle w:val="Indenta"/>
      </w:pPr>
      <w:r>
        <w:tab/>
      </w:r>
      <w:r>
        <w:tab/>
        <w:t>or</w:t>
      </w:r>
    </w:p>
    <w:p>
      <w:pPr>
        <w:pStyle w:val="Indenta"/>
      </w:pPr>
      <w:r>
        <w:tab/>
        <w:t>(e)</w:t>
      </w:r>
      <w:r>
        <w:tab/>
        <w:t>a concessional beneficiary, namely, an out</w:t>
      </w:r>
      <w:r>
        <w:noBreakHyphen/>
        <w:t xml:space="preserve">patient — </w:t>
      </w:r>
    </w:p>
    <w:p>
      <w:pPr>
        <w:pStyle w:val="Indenti"/>
      </w:pPr>
      <w:r>
        <w:tab/>
        <w:t>(i)</w:t>
      </w:r>
      <w:r>
        <w:tab/>
        <w:t>who is a concessional beneficiary (as defined in the National Health Act section 84); or</w:t>
      </w:r>
    </w:p>
    <w:p>
      <w:pPr>
        <w:pStyle w:val="Indenti"/>
      </w:pPr>
      <w:r>
        <w:tab/>
        <w:t>(ii)</w:t>
      </w:r>
      <w:r>
        <w:tab/>
        <w:t>who is a dependant as defined by that section of such a concessional beneficiary;</w:t>
      </w:r>
    </w:p>
    <w:p>
      <w:pPr>
        <w:pStyle w:val="Indenta"/>
      </w:pPr>
      <w:r>
        <w:tab/>
      </w:r>
      <w:r>
        <w:tab/>
        <w:t>or</w:t>
      </w:r>
    </w:p>
    <w:p>
      <w:pPr>
        <w:pStyle w:val="Indenta"/>
      </w:pPr>
      <w:r>
        <w:tab/>
        <w:t>(f)</w:t>
      </w:r>
      <w:r>
        <w:tab/>
        <w:t>a pensioner, namely, an out</w:t>
      </w:r>
      <w:r>
        <w:noBreakHyphen/>
        <w:t>patient who holds a pensioner concession card or a dependant (as defined in the National Health Act section 84) of such an out</w:t>
      </w:r>
      <w:r>
        <w:noBreakHyphen/>
        <w:t>patient.</w:t>
      </w:r>
    </w:p>
    <w:p>
      <w:pPr>
        <w:pStyle w:val="Subsection"/>
        <w:keepNext/>
      </w:pPr>
      <w:r>
        <w:lastRenderedPageBreak/>
        <w:tab/>
        <w:t>(3)</w:t>
      </w:r>
      <w:r>
        <w:tab/>
        <w:t xml:space="preserve">At the time of — </w:t>
      </w:r>
    </w:p>
    <w:p>
      <w:pPr>
        <w:pStyle w:val="Indenta"/>
        <w:keepNext/>
      </w:pPr>
      <w:r>
        <w:tab/>
        <w:t>(a)</w:t>
      </w:r>
      <w:r>
        <w:tab/>
        <w:t>attendance at a hospital for the purposes of receiving a pathology service provided by the hospital as an out</w:t>
      </w:r>
      <w:r>
        <w:noBreakHyphen/>
        <w:t>patient service; or</w:t>
      </w:r>
    </w:p>
    <w:p>
      <w:pPr>
        <w:pStyle w:val="Indenta"/>
      </w:pPr>
      <w:r>
        <w:tab/>
        <w:t>(b)</w:t>
      </w:r>
      <w:r>
        <w:tab/>
        <w:t>receiving a pathology service provided by a hospital elsewhere than at the hospital,</w:t>
      </w:r>
    </w:p>
    <w:p>
      <w:pPr>
        <w:pStyle w:val="Subsection"/>
      </w:pPr>
      <w:r>
        <w:tab/>
      </w:r>
      <w:r>
        <w:tab/>
        <w:t>or as soon as practicable after that time, an eligible person (not being a compensable patient or a veteran), a concessional beneficiary or a pensioner may elect to be treated as a private pathology out</w:t>
      </w:r>
      <w:r>
        <w:noBreakHyphen/>
        <w:t>patient for the purpose of that pathology service.</w:t>
      </w:r>
    </w:p>
    <w:p>
      <w:pPr>
        <w:pStyle w:val="Subsection"/>
      </w:pPr>
      <w:r>
        <w:tab/>
        <w:t>(4)</w:t>
      </w:r>
      <w:r>
        <w:tab/>
        <w:t xml:space="preserve">If a person makes an election under subclause (3), then — </w:t>
      </w:r>
    </w:p>
    <w:p>
      <w:pPr>
        <w:pStyle w:val="Indenta"/>
      </w:pPr>
      <w:r>
        <w:tab/>
        <w:t>(a)</w:t>
      </w:r>
      <w:r>
        <w:tab/>
        <w:t>the person is classified as a private pathology out</w:t>
      </w:r>
      <w:r>
        <w:noBreakHyphen/>
        <w:t>patient for the purpose of the payment of any charge for that pathology service fixed in Schedule 1 Division 4; and</w:t>
      </w:r>
    </w:p>
    <w:p>
      <w:pPr>
        <w:pStyle w:val="Indenta"/>
      </w:pPr>
      <w:r>
        <w:tab/>
        <w:t>(b)</w:t>
      </w:r>
      <w:r>
        <w:tab/>
        <w:t>despite subclause (2)(c), (e) or (f), the person is not classified as an eligible out</w:t>
      </w:r>
      <w:r>
        <w:noBreakHyphen/>
        <w:t>patient, concessional beneficiary or pensioner (as the case may be) for that purpose.</w:t>
      </w:r>
    </w:p>
    <w:p>
      <w:pPr>
        <w:pStyle w:val="Subsection"/>
      </w:pPr>
      <w:r>
        <w:tab/>
        <w:t>(5)</w:t>
      </w:r>
      <w:r>
        <w:tab/>
        <w:t xml:space="preserve">For the purposes of subclause (2)(a), a compensable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 xml:space="preserve">; </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 xml:space="preserve">; </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14 amended: Gazette 9 Mar 2018 p. 798.]</w:t>
      </w:r>
    </w:p>
    <w:p>
      <w:pPr>
        <w:pStyle w:val="Heading5"/>
        <w:keepLines w:val="0"/>
      </w:pPr>
      <w:bookmarkStart w:id="34" w:name="_Toc116481932"/>
      <w:r>
        <w:rPr>
          <w:rStyle w:val="CharSectno"/>
        </w:rPr>
        <w:lastRenderedPageBreak/>
        <w:t>15</w:t>
      </w:r>
      <w:r>
        <w:t>.</w:t>
      </w:r>
      <w:r>
        <w:tab/>
        <w:t>Classes of same day patients</w:t>
      </w:r>
      <w:bookmarkEnd w:id="34"/>
    </w:p>
    <w:p>
      <w:pPr>
        <w:pStyle w:val="Subsection"/>
        <w:keepNext/>
      </w:pPr>
      <w:r>
        <w:tab/>
        <w:t>(1)</w:t>
      </w:r>
      <w:r>
        <w:tab/>
        <w:t>A same day patient must be classified under this clause for the purpose of the payment of the fees and charges set out in Schedule 1 in respect of a same day patient.</w:t>
      </w:r>
    </w:p>
    <w:p>
      <w:pPr>
        <w:pStyle w:val="Subsection"/>
      </w:pPr>
      <w:r>
        <w:tab/>
        <w:t>(2)</w:t>
      </w:r>
      <w:r>
        <w:tab/>
        <w:t xml:space="preserve">A same day patient must be classified as — </w:t>
      </w:r>
    </w:p>
    <w:p>
      <w:pPr>
        <w:pStyle w:val="Indenta"/>
      </w:pPr>
      <w:r>
        <w:tab/>
        <w:t>(a)</w:t>
      </w:r>
      <w:r>
        <w:tab/>
        <w:t>a public same day patient, namely, a same day patient who is an eligible person (not being a compensable same day patient, an eligible veteran same day patient or a same day patient who elects to be treated as a private same day patient); or</w:t>
      </w:r>
    </w:p>
    <w:p>
      <w:pPr>
        <w:pStyle w:val="Indenta"/>
      </w:pPr>
      <w:r>
        <w:tab/>
        <w:t>(b)</w:t>
      </w:r>
      <w:r>
        <w:tab/>
        <w:t>a private same day patient, namely, a same day patient who is an eligible person (not being a compensable same day patient) and who elects to be treated as a private same day patient; or</w:t>
      </w:r>
    </w:p>
    <w:p>
      <w:pPr>
        <w:pStyle w:val="Indenta"/>
      </w:pPr>
      <w:r>
        <w:tab/>
        <w:t>(c)</w:t>
      </w:r>
      <w:r>
        <w:tab/>
        <w:t xml:space="preserve">a compensable same day patient, namely, a same day patient who is an eligible person and who has received or established the patient’s right to receive in respect of any injury, illness or disease for which the patient is receiving health services payment by way of compensation or damages (including payment in settlement of a claim for compensation or damages) under the law that is or was in force in a State or internal Territory or who on attendance at a hospital appears prima facie to have the right to receive any such payment in respect of an injury, illness or disease for which the patient is receiving health services; or </w:t>
      </w:r>
    </w:p>
    <w:p>
      <w:pPr>
        <w:pStyle w:val="Indenta"/>
      </w:pPr>
      <w:r>
        <w:tab/>
        <w:t>(d)</w:t>
      </w:r>
      <w:r>
        <w:tab/>
        <w:t xml:space="preserve">an eligible veteran same day patient, namely, a same day patient — </w:t>
      </w:r>
    </w:p>
    <w:p>
      <w:pPr>
        <w:pStyle w:val="Indenti"/>
      </w:pPr>
      <w:r>
        <w:tab/>
        <w:t>(i)</w:t>
      </w:r>
      <w:r>
        <w:tab/>
        <w:t>who is a veteran; and</w:t>
      </w:r>
    </w:p>
    <w:p>
      <w:pPr>
        <w:pStyle w:val="Indenti"/>
      </w:pPr>
      <w:r>
        <w:tab/>
        <w:t>(ii)</w:t>
      </w:r>
      <w:r>
        <w:tab/>
        <w:t>who elects to be treated under the DVA arrangement;</w:t>
      </w:r>
    </w:p>
    <w:p>
      <w:pPr>
        <w:pStyle w:val="Indenta"/>
      </w:pPr>
      <w:r>
        <w:tab/>
      </w:r>
      <w:r>
        <w:tab/>
        <w:t>or</w:t>
      </w:r>
    </w:p>
    <w:p>
      <w:pPr>
        <w:pStyle w:val="Indenta"/>
      </w:pPr>
      <w:r>
        <w:lastRenderedPageBreak/>
        <w:tab/>
        <w:t>(e)</w:t>
      </w:r>
      <w:r>
        <w:tab/>
        <w:t>an ineligible same day patient, namely, a same day patient who is not an eligible person.</w:t>
      </w:r>
    </w:p>
    <w:p>
      <w:pPr>
        <w:pStyle w:val="Subsection"/>
      </w:pPr>
      <w:r>
        <w:tab/>
        <w:t>(3)</w:t>
      </w:r>
      <w:r>
        <w:tab/>
        <w:t xml:space="preserve">At the time of admission to a hospital, or as soon as practicable after admission, an eligible person (not being a compensable same day patient or veteran) must elect whether the person wishes to be classified as a — </w:t>
      </w:r>
    </w:p>
    <w:p>
      <w:pPr>
        <w:pStyle w:val="Indenta"/>
      </w:pPr>
      <w:r>
        <w:tab/>
        <w:t>(a)</w:t>
      </w:r>
      <w:r>
        <w:tab/>
        <w:t>public same day patient; or</w:t>
      </w:r>
    </w:p>
    <w:p>
      <w:pPr>
        <w:pStyle w:val="Indenta"/>
      </w:pPr>
      <w:r>
        <w:tab/>
        <w:t>(b)</w:t>
      </w:r>
      <w:r>
        <w:tab/>
        <w:t>private same day patient.</w:t>
      </w:r>
    </w:p>
    <w:p>
      <w:pPr>
        <w:pStyle w:val="Subsection"/>
      </w:pPr>
      <w:r>
        <w:tab/>
        <w:t>(4)</w:t>
      </w:r>
      <w:r>
        <w:tab/>
        <w:t xml:space="preserve">At the time of admission to a hospital, or as soon as practicable after admission, a veteran must elect whether the veteran wishes to be classified as — </w:t>
      </w:r>
    </w:p>
    <w:p>
      <w:pPr>
        <w:pStyle w:val="Indenta"/>
      </w:pPr>
      <w:r>
        <w:tab/>
        <w:t>(a)</w:t>
      </w:r>
      <w:r>
        <w:tab/>
        <w:t>an eligible veteran same day patient; or</w:t>
      </w:r>
    </w:p>
    <w:p>
      <w:pPr>
        <w:pStyle w:val="Indenta"/>
      </w:pPr>
      <w:r>
        <w:tab/>
        <w:t>(b)</w:t>
      </w:r>
      <w:r>
        <w:tab/>
        <w:t>a public same day patient; or</w:t>
      </w:r>
    </w:p>
    <w:p>
      <w:pPr>
        <w:pStyle w:val="Indenta"/>
      </w:pPr>
      <w:r>
        <w:tab/>
        <w:t>(c)</w:t>
      </w:r>
      <w:r>
        <w:tab/>
        <w:t>a private same day patient.</w:t>
      </w:r>
    </w:p>
    <w:p>
      <w:pPr>
        <w:pStyle w:val="Subsection"/>
      </w:pPr>
      <w:r>
        <w:tab/>
        <w:t>(5)</w:t>
      </w:r>
      <w:r>
        <w:tab/>
        <w:t xml:space="preserve">For the purposes of subclause (2)(c), a compensable same day patient includes a person in respect of the payment for whose health services one or more of the following applies or appears prima facie to apply — </w:t>
      </w:r>
    </w:p>
    <w:p>
      <w:pPr>
        <w:pStyle w:val="Indenta"/>
      </w:pPr>
      <w:r>
        <w:tab/>
        <w:t>(a)</w:t>
      </w:r>
      <w:r>
        <w:tab/>
        <w:t xml:space="preserve">the </w:t>
      </w:r>
      <w:r>
        <w:rPr>
          <w:i/>
        </w:rPr>
        <w:t>Workers’ Compensation and Injury Management Act 1981</w:t>
      </w:r>
      <w:r>
        <w:t>;</w:t>
      </w:r>
    </w:p>
    <w:p>
      <w:pPr>
        <w:pStyle w:val="Indenta"/>
      </w:pPr>
      <w:r>
        <w:tab/>
        <w:t>(ab)</w:t>
      </w:r>
      <w:r>
        <w:tab/>
        <w:t xml:space="preserve">the </w:t>
      </w:r>
      <w:r>
        <w:rPr>
          <w:i/>
        </w:rPr>
        <w:t>Motor Vehicle (Catastrophic Injuries) Act 2016</w:t>
      </w:r>
      <w:r>
        <w:t>;</w:t>
      </w:r>
    </w:p>
    <w:p>
      <w:pPr>
        <w:pStyle w:val="Indenta"/>
      </w:pPr>
      <w:r>
        <w:tab/>
        <w:t>(b)</w:t>
      </w:r>
      <w:r>
        <w:tab/>
        <w:t xml:space="preserve">the </w:t>
      </w:r>
      <w:r>
        <w:rPr>
          <w:i/>
        </w:rPr>
        <w:t>Motor Vehicle (Third Party Insurance) Act 1943</w:t>
      </w:r>
      <w:r>
        <w:t>;</w:t>
      </w:r>
    </w:p>
    <w:p>
      <w:pPr>
        <w:pStyle w:val="Indenta"/>
      </w:pPr>
      <w:r>
        <w:tab/>
        <w:t>(c)</w:t>
      </w:r>
      <w:r>
        <w:tab/>
        <w:t xml:space="preserve">the law of Australia relating to the Defence Force within the meaning of the </w:t>
      </w:r>
      <w:r>
        <w:rPr>
          <w:i/>
        </w:rPr>
        <w:t>Defence Act 1903</w:t>
      </w:r>
      <w:r>
        <w:t xml:space="preserve"> (Commonwealth).</w:t>
      </w:r>
    </w:p>
    <w:p>
      <w:pPr>
        <w:pStyle w:val="Footnotesection"/>
      </w:pPr>
      <w:r>
        <w:tab/>
        <w:t>[Clause 15 amended: Gazette 9 Mar 2018 p. 798.]</w:t>
      </w:r>
    </w:p>
    <w:p>
      <w:pPr>
        <w:sectPr>
          <w:headerReference w:type="even" r:id="rId21"/>
          <w:headerReference w:type="default" r:id="rId22"/>
          <w:headerReference w:type="first" r:id="rId23"/>
          <w:endnotePr>
            <w:numFmt w:val="decimal"/>
          </w:endnotePr>
          <w:pgSz w:w="11907" w:h="16840" w:code="9"/>
          <w:pgMar w:top="2381" w:right="2410" w:bottom="3544" w:left="2410" w:header="720" w:footer="3544" w:gutter="0"/>
          <w:pgNumType w:start="1"/>
          <w:cols w:space="720"/>
          <w:noEndnote/>
          <w:titlePg/>
        </w:sectPr>
      </w:pPr>
    </w:p>
    <w:p>
      <w:pPr>
        <w:pStyle w:val="yScheduleHeading"/>
        <w:outlineLvl w:val="0"/>
      </w:pPr>
      <w:bookmarkStart w:id="35" w:name="_Toc116477371"/>
      <w:bookmarkStart w:id="36" w:name="_Toc116478902"/>
      <w:bookmarkStart w:id="37" w:name="_Toc116480668"/>
      <w:bookmarkStart w:id="38" w:name="_Toc116481074"/>
      <w:bookmarkStart w:id="39" w:name="_Toc116481933"/>
      <w:r>
        <w:rPr>
          <w:rStyle w:val="CharSchNo"/>
        </w:rPr>
        <w:lastRenderedPageBreak/>
        <w:t>Schedule 1</w:t>
      </w:r>
      <w:r>
        <w:t> — </w:t>
      </w:r>
      <w:r>
        <w:rPr>
          <w:rStyle w:val="CharSchText"/>
        </w:rPr>
        <w:t>Scale of fees and charges</w:t>
      </w:r>
      <w:bookmarkEnd w:id="35"/>
      <w:bookmarkEnd w:id="36"/>
      <w:bookmarkEnd w:id="37"/>
      <w:bookmarkEnd w:id="38"/>
      <w:bookmarkEnd w:id="39"/>
    </w:p>
    <w:p>
      <w:pPr>
        <w:pStyle w:val="yShoulderClause"/>
      </w:pPr>
      <w:r>
        <w:t>[cl. 4]</w:t>
      </w:r>
    </w:p>
    <w:p>
      <w:pPr>
        <w:pStyle w:val="yHeading3"/>
      </w:pPr>
      <w:bookmarkStart w:id="40" w:name="_Toc116477372"/>
      <w:bookmarkStart w:id="41" w:name="_Toc116478903"/>
      <w:bookmarkStart w:id="42" w:name="_Toc116480669"/>
      <w:bookmarkStart w:id="43" w:name="_Toc116481075"/>
      <w:bookmarkStart w:id="44" w:name="_Toc116481934"/>
      <w:r>
        <w:rPr>
          <w:rStyle w:val="CharSDivNo"/>
        </w:rPr>
        <w:t>Division 1</w:t>
      </w:r>
      <w:r>
        <w:t> — </w:t>
      </w:r>
      <w:r>
        <w:rPr>
          <w:rStyle w:val="CharSDivText"/>
        </w:rPr>
        <w:t>General</w:t>
      </w:r>
      <w:bookmarkEnd w:id="40"/>
      <w:bookmarkEnd w:id="41"/>
      <w:bookmarkEnd w:id="42"/>
      <w:bookmarkEnd w:id="43"/>
      <w:bookmarkEnd w:id="44"/>
    </w:p>
    <w:p>
      <w:pPr>
        <w:pStyle w:val="yFootnoteheading"/>
      </w:pPr>
      <w:r>
        <w:tab/>
        <w:t>[Heading inserted: SL 2021/134 cl. 4.]</w:t>
      </w:r>
    </w:p>
    <w:p>
      <w:pPr>
        <w:pStyle w:val="yHeading4"/>
      </w:pPr>
      <w:bookmarkStart w:id="45" w:name="_Toc116477373"/>
      <w:bookmarkStart w:id="46" w:name="_Toc116478904"/>
      <w:bookmarkStart w:id="47" w:name="_Toc116480670"/>
      <w:bookmarkStart w:id="48" w:name="_Toc116481076"/>
      <w:bookmarkStart w:id="49" w:name="_Toc116481935"/>
      <w:r>
        <w:t>Subdivision 1 — In</w:t>
      </w:r>
      <w:r>
        <w:noBreakHyphen/>
        <w:t>patients</w:t>
      </w:r>
      <w:bookmarkEnd w:id="45"/>
      <w:bookmarkEnd w:id="46"/>
      <w:bookmarkEnd w:id="47"/>
      <w:bookmarkEnd w:id="48"/>
      <w:bookmarkEnd w:id="49"/>
    </w:p>
    <w:p>
      <w:pPr>
        <w:pStyle w:val="yFootnoteheading"/>
      </w:pPr>
      <w:r>
        <w:tab/>
        <w:t>[Heading inserted: SL 2021/134 cl. 4.]</w:t>
      </w:r>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1.</w:t>
            </w:r>
          </w:p>
        </w:tc>
        <w:tc>
          <w:tcPr>
            <w:tcW w:w="4597" w:type="dxa"/>
            <w:noWrap/>
          </w:tcPr>
          <w:p>
            <w:pPr>
              <w:pStyle w:val="yTableNAm"/>
            </w:pPr>
            <w:r>
              <w:t xml:space="preserve">Accommodation, maintenance, nursing care and other services — </w:t>
            </w:r>
          </w:p>
        </w:tc>
        <w:tc>
          <w:tcPr>
            <w:tcW w:w="1640" w:type="dxa"/>
            <w:noWrap/>
          </w:tcPr>
          <w:p>
            <w:pPr>
              <w:pStyle w:val="yTableNAm"/>
            </w:pPr>
          </w:p>
        </w:tc>
      </w:tr>
      <w:tr>
        <w:trPr>
          <w:cantSplit/>
        </w:trPr>
        <w:tc>
          <w:tcPr>
            <w:tcW w:w="567" w:type="dxa"/>
            <w:noWrap/>
          </w:tcPr>
          <w:p>
            <w:pPr>
              <w:pStyle w:val="yTableNAm"/>
            </w:pPr>
          </w:p>
        </w:tc>
        <w:tc>
          <w:tcPr>
            <w:tcW w:w="4597" w:type="dxa"/>
            <w:noWrap/>
          </w:tcPr>
          <w:p>
            <w:pPr>
              <w:pStyle w:val="yTableNAm"/>
              <w:tabs>
                <w:tab w:val="right" w:leader="dot" w:pos="4380"/>
              </w:tabs>
            </w:pPr>
            <w:r>
              <w:t>(a)</w:t>
            </w:r>
            <w:r>
              <w:tab/>
              <w:t>for public in</w:t>
            </w:r>
            <w:r>
              <w:noBreakHyphen/>
              <w:t>patients</w:t>
            </w:r>
            <w:r>
              <w:tab/>
            </w:r>
          </w:p>
        </w:tc>
        <w:tc>
          <w:tcPr>
            <w:tcW w:w="1640" w:type="dxa"/>
            <w:noWrap/>
          </w:tcPr>
          <w:p>
            <w:pPr>
              <w:pStyle w:val="yTableNAm"/>
            </w:pPr>
            <w:r>
              <w:t>no charge</w:t>
            </w:r>
          </w:p>
        </w:tc>
      </w:tr>
      <w:tr>
        <w:trPr>
          <w:cantSplit/>
        </w:trPr>
        <w:tc>
          <w:tcPr>
            <w:tcW w:w="567" w:type="dxa"/>
            <w:noWrap/>
          </w:tcPr>
          <w:p>
            <w:pPr>
              <w:pStyle w:val="yTableNAm"/>
            </w:pPr>
          </w:p>
        </w:tc>
        <w:tc>
          <w:tcPr>
            <w:tcW w:w="4597" w:type="dxa"/>
            <w:noWrap/>
          </w:tcPr>
          <w:p>
            <w:pPr>
              <w:pStyle w:val="yTableNAm"/>
            </w:pPr>
            <w:r>
              <w:t>(b)</w:t>
            </w:r>
            <w:r>
              <w:tab/>
              <w:t>for private in</w:t>
            </w:r>
            <w:r>
              <w:noBreakHyphen/>
              <w:t>patients —</w:t>
            </w:r>
            <w:r>
              <w:rPr>
                <w:spacing w:val="-2"/>
              </w:rPr>
              <w:t xml:space="preserve"> </w:t>
            </w:r>
          </w:p>
        </w:tc>
        <w:tc>
          <w:tcPr>
            <w:tcW w:w="1640" w:type="dxa"/>
            <w:noWrap/>
          </w:tcPr>
          <w:p>
            <w:pPr>
              <w:pStyle w:val="yTableNAm"/>
            </w:pPr>
          </w:p>
        </w:tc>
      </w:tr>
      <w:tr>
        <w:trPr>
          <w:cantSplit/>
        </w:trPr>
        <w:tc>
          <w:tcPr>
            <w:tcW w:w="567" w:type="dxa"/>
            <w:noWrap/>
          </w:tcPr>
          <w:p>
            <w:pPr>
              <w:pStyle w:val="yTableNAm"/>
            </w:pPr>
          </w:p>
        </w:tc>
        <w:tc>
          <w:tcPr>
            <w:tcW w:w="4597" w:type="dxa"/>
            <w:noWrap/>
          </w:tcPr>
          <w:p>
            <w:pPr>
              <w:pStyle w:val="yTableNAm"/>
              <w:tabs>
                <w:tab w:val="clear" w:pos="567"/>
                <w:tab w:val="right" w:pos="771"/>
                <w:tab w:val="right" w:leader="dot" w:pos="4380"/>
              </w:tabs>
              <w:ind w:left="1055" w:hanging="1055"/>
            </w:pPr>
            <w:r>
              <w:rPr>
                <w:spacing w:val="-2"/>
              </w:rPr>
              <w:tab/>
              <w:t>(i)</w:t>
            </w:r>
            <w:r>
              <w:rPr>
                <w:spacing w:val="-2"/>
              </w:rPr>
              <w:tab/>
              <w:t>in single bed wards (if taken at patient’s request)</w:t>
            </w:r>
            <w:r>
              <w:rPr>
                <w:spacing w:val="-2"/>
              </w:rPr>
              <w:tab/>
            </w:r>
          </w:p>
        </w:tc>
        <w:tc>
          <w:tcPr>
            <w:tcW w:w="1640" w:type="dxa"/>
            <w:noWrap/>
          </w:tcPr>
          <w:p>
            <w:pPr>
              <w:pStyle w:val="yTableNAm"/>
            </w:pPr>
            <w:r>
              <w:br/>
              <w:t>$698</w:t>
            </w:r>
            <w:r>
              <w:rPr>
                <w:szCs w:val="22"/>
              </w:rPr>
              <w:t xml:space="preserve"> </w:t>
            </w:r>
            <w:r>
              <w:t>per day</w:t>
            </w:r>
          </w:p>
        </w:tc>
      </w:tr>
      <w:tr>
        <w:trPr>
          <w:cantSplit/>
        </w:trPr>
        <w:tc>
          <w:tcPr>
            <w:tcW w:w="567" w:type="dxa"/>
            <w:noWrap/>
          </w:tcPr>
          <w:p>
            <w:pPr>
              <w:pStyle w:val="yTableNAm"/>
            </w:pPr>
          </w:p>
        </w:tc>
        <w:tc>
          <w:tcPr>
            <w:tcW w:w="4597" w:type="dxa"/>
            <w:noWrap/>
          </w:tcPr>
          <w:p>
            <w:pPr>
              <w:pStyle w:val="yTableNAm"/>
              <w:tabs>
                <w:tab w:val="clear" w:pos="567"/>
                <w:tab w:val="right" w:pos="771"/>
                <w:tab w:val="right" w:leader="dot" w:pos="4380"/>
              </w:tabs>
              <w:ind w:left="1055" w:hanging="1055"/>
            </w:pPr>
            <w:r>
              <w:rPr>
                <w:spacing w:val="-2"/>
              </w:rPr>
              <w:tab/>
              <w:t>(ii)</w:t>
            </w:r>
            <w:r>
              <w:rPr>
                <w:spacing w:val="-2"/>
              </w:rPr>
              <w:tab/>
              <w:t>in other wards</w:t>
            </w:r>
            <w:r>
              <w:rPr>
                <w:spacing w:val="-2"/>
              </w:rPr>
              <w:tab/>
            </w:r>
          </w:p>
        </w:tc>
        <w:tc>
          <w:tcPr>
            <w:tcW w:w="1640" w:type="dxa"/>
            <w:noWrap/>
          </w:tcPr>
          <w:p>
            <w:pPr>
              <w:pStyle w:val="yTableNAm"/>
            </w:pPr>
            <w:r>
              <w:t>$393</w:t>
            </w:r>
            <w:r>
              <w:rPr>
                <w:szCs w:val="22"/>
              </w:rPr>
              <w:t xml:space="preserve"> </w:t>
            </w:r>
            <w:r>
              <w:t>per day</w:t>
            </w:r>
          </w:p>
        </w:tc>
      </w:tr>
      <w:tr>
        <w:trPr>
          <w:cantSplit/>
        </w:trPr>
        <w:tc>
          <w:tcPr>
            <w:tcW w:w="567" w:type="dxa"/>
            <w:noWrap/>
          </w:tcPr>
          <w:p>
            <w:pPr>
              <w:pStyle w:val="yTableNAm"/>
            </w:pPr>
          </w:p>
        </w:tc>
        <w:tc>
          <w:tcPr>
            <w:tcW w:w="4597" w:type="dxa"/>
            <w:noWrap/>
          </w:tcPr>
          <w:p>
            <w:pPr>
              <w:pStyle w:val="yTableNAm"/>
              <w:tabs>
                <w:tab w:val="right" w:leader="dot" w:pos="4380"/>
              </w:tabs>
              <w:rPr>
                <w:spacing w:val="-2"/>
              </w:rPr>
            </w:pPr>
            <w:r>
              <w:t>(c)</w:t>
            </w:r>
            <w:r>
              <w:tab/>
              <w:t xml:space="preserve">for nursing home type patients </w:t>
            </w:r>
            <w:r>
              <w:tab/>
            </w:r>
          </w:p>
        </w:tc>
        <w:tc>
          <w:tcPr>
            <w:tcW w:w="1640" w:type="dxa"/>
            <w:noWrap/>
          </w:tcPr>
          <w:p>
            <w:pPr>
              <w:pStyle w:val="yTableNAm"/>
            </w:pPr>
            <w:r>
              <w:t xml:space="preserve">$68.05 </w:t>
            </w:r>
            <w:r>
              <w:rPr>
                <w:szCs w:val="22"/>
              </w:rPr>
              <w:t>per day</w:t>
            </w:r>
          </w:p>
        </w:tc>
      </w:tr>
      <w:tr>
        <w:trPr>
          <w:cantSplit/>
        </w:trPr>
        <w:tc>
          <w:tcPr>
            <w:tcW w:w="567" w:type="dxa"/>
            <w:noWrap/>
          </w:tcPr>
          <w:p>
            <w:pPr>
              <w:pStyle w:val="yTableNAm"/>
            </w:pPr>
          </w:p>
        </w:tc>
        <w:tc>
          <w:tcPr>
            <w:tcW w:w="4597" w:type="dxa"/>
            <w:noWrap/>
          </w:tcPr>
          <w:p>
            <w:pPr>
              <w:pStyle w:val="yTableNAm"/>
              <w:tabs>
                <w:tab w:val="right" w:leader="dot" w:pos="4380"/>
              </w:tabs>
              <w:rPr>
                <w:spacing w:val="-2"/>
              </w:rPr>
            </w:pPr>
            <w:r>
              <w:t>(d)</w:t>
            </w:r>
            <w:r>
              <w:tab/>
              <w:t>for nursing home type private patients</w:t>
            </w:r>
            <w:r>
              <w:tab/>
            </w:r>
          </w:p>
        </w:tc>
        <w:tc>
          <w:tcPr>
            <w:tcW w:w="1640" w:type="dxa"/>
            <w:noWrap/>
          </w:tcPr>
          <w:p>
            <w:pPr>
              <w:pStyle w:val="yTableNAm"/>
            </w:pPr>
            <w:r>
              <w:t>$210.30</w:t>
            </w:r>
            <w:r>
              <w:rPr>
                <w:szCs w:val="22"/>
              </w:rPr>
              <w:t xml:space="preserve"> per day</w:t>
            </w:r>
          </w:p>
        </w:tc>
      </w:tr>
      <w:tr>
        <w:trPr>
          <w:cantSplit/>
        </w:trPr>
        <w:tc>
          <w:tcPr>
            <w:tcW w:w="567" w:type="dxa"/>
            <w:noWrap/>
          </w:tcPr>
          <w:p>
            <w:pPr>
              <w:pStyle w:val="yTableNAm"/>
            </w:pPr>
          </w:p>
        </w:tc>
        <w:tc>
          <w:tcPr>
            <w:tcW w:w="4597" w:type="dxa"/>
            <w:noWrap/>
          </w:tcPr>
          <w:p>
            <w:pPr>
              <w:pStyle w:val="yTableNAm"/>
              <w:tabs>
                <w:tab w:val="right" w:leader="dot" w:pos="4380"/>
              </w:tabs>
              <w:rPr>
                <w:i/>
              </w:rPr>
            </w:pPr>
            <w:r>
              <w:t>(e)</w:t>
            </w:r>
            <w:r>
              <w:tab/>
              <w:t>for ineligible in</w:t>
            </w:r>
            <w:r>
              <w:noBreakHyphen/>
              <w:t xml:space="preserve">patients </w:t>
            </w:r>
            <w:r>
              <w:tab/>
            </w:r>
          </w:p>
        </w:tc>
        <w:tc>
          <w:tcPr>
            <w:tcW w:w="1640" w:type="dxa"/>
            <w:noWrap/>
          </w:tcPr>
          <w:p>
            <w:pPr>
              <w:pStyle w:val="yTableNAm"/>
            </w:pPr>
            <w:r>
              <w:t>$2 869</w:t>
            </w:r>
            <w:r>
              <w:rPr>
                <w:szCs w:val="22"/>
              </w:rPr>
              <w:t xml:space="preserve"> </w:t>
            </w:r>
            <w:r>
              <w:t>per day</w:t>
            </w:r>
          </w:p>
        </w:tc>
      </w:tr>
      <w:tr>
        <w:trPr>
          <w:cantSplit/>
        </w:trPr>
        <w:tc>
          <w:tcPr>
            <w:tcW w:w="567" w:type="dxa"/>
            <w:noWrap/>
          </w:tcPr>
          <w:p>
            <w:pPr>
              <w:pStyle w:val="yTableNAm"/>
            </w:pPr>
          </w:p>
        </w:tc>
        <w:tc>
          <w:tcPr>
            <w:tcW w:w="4597" w:type="dxa"/>
            <w:noWrap/>
          </w:tcPr>
          <w:p>
            <w:pPr>
              <w:pStyle w:val="yTableNAm"/>
              <w:tabs>
                <w:tab w:val="right" w:leader="dot" w:pos="4380"/>
              </w:tabs>
            </w:pPr>
            <w:r>
              <w:t>(f)</w:t>
            </w:r>
            <w:r>
              <w:tab/>
              <w:t>for eligible veteran in</w:t>
            </w:r>
            <w:r>
              <w:noBreakHyphen/>
              <w:t xml:space="preserve">patients </w:t>
            </w:r>
            <w:r>
              <w:tab/>
            </w:r>
          </w:p>
        </w:tc>
        <w:tc>
          <w:tcPr>
            <w:tcW w:w="1640" w:type="dxa"/>
            <w:noWrap/>
          </w:tcPr>
          <w:p>
            <w:pPr>
              <w:pStyle w:val="yTableNAm"/>
            </w:pPr>
            <w:r>
              <w:t>no charge</w:t>
            </w:r>
          </w:p>
        </w:tc>
      </w:tr>
      <w:tr>
        <w:trPr>
          <w:cantSplit/>
        </w:trPr>
        <w:tc>
          <w:tcPr>
            <w:tcW w:w="567" w:type="dxa"/>
            <w:noWrap/>
          </w:tcPr>
          <w:p>
            <w:pPr>
              <w:pStyle w:val="yTableNAm"/>
            </w:pPr>
            <w:r>
              <w:t>2.</w:t>
            </w:r>
          </w:p>
        </w:tc>
        <w:tc>
          <w:tcPr>
            <w:tcW w:w="4597" w:type="dxa"/>
            <w:noWrap/>
          </w:tcPr>
          <w:p>
            <w:pPr>
              <w:pStyle w:val="yTableNAm"/>
              <w:tabs>
                <w:tab w:val="right" w:leader="dot" w:pos="4380"/>
              </w:tabs>
              <w:rPr>
                <w:i/>
                <w:u w:val="words"/>
              </w:rPr>
            </w:pPr>
            <w:r>
              <w:t xml:space="preserve">Home modifications service and supply or loan as appropriate, of such aids and appliances, orthotics and prostheses, oxygen, gas and equipment, wigs, surgical implants or devices as are approved by the Department CEO (including repair and replacement) </w:t>
            </w:r>
            <w:r>
              <w:tab/>
            </w:r>
          </w:p>
        </w:tc>
        <w:tc>
          <w:tcPr>
            <w:tcW w:w="1640" w:type="dxa"/>
            <w:noWrap/>
            <w:vAlign w:val="bottom"/>
          </w:tcPr>
          <w:p>
            <w:pPr>
              <w:pStyle w:val="yTableNAm"/>
            </w:pPr>
            <w:r>
              <w:t>no charge</w:t>
            </w:r>
          </w:p>
        </w:tc>
      </w:tr>
    </w:tbl>
    <w:p>
      <w:pPr>
        <w:pStyle w:val="yHeading4"/>
      </w:pPr>
      <w:bookmarkStart w:id="50" w:name="_Toc116477374"/>
      <w:bookmarkStart w:id="51" w:name="_Toc116478905"/>
      <w:bookmarkStart w:id="52" w:name="_Toc116480671"/>
      <w:bookmarkStart w:id="53" w:name="_Toc116481077"/>
      <w:bookmarkStart w:id="54" w:name="_Toc116481936"/>
      <w:r>
        <w:t>Subdivision 2 — Day patients</w:t>
      </w:r>
      <w:bookmarkEnd w:id="50"/>
      <w:bookmarkEnd w:id="51"/>
      <w:bookmarkEnd w:id="52"/>
      <w:bookmarkEnd w:id="53"/>
      <w:bookmarkEnd w:id="54"/>
    </w:p>
    <w:p>
      <w:pPr>
        <w:pStyle w:val="yFootnoteheading"/>
      </w:pPr>
      <w:r>
        <w:tab/>
        <w:t>[Heading inserted: SL 2021/134 cl. 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noWrap/>
          </w:tcPr>
          <w:p>
            <w:pPr>
              <w:pStyle w:val="yTableNAm"/>
            </w:pPr>
            <w:r>
              <w:t>3.</w:t>
            </w:r>
          </w:p>
        </w:tc>
        <w:tc>
          <w:tcPr>
            <w:tcW w:w="4597" w:type="dxa"/>
            <w:tcBorders>
              <w:top w:val="nil"/>
              <w:left w:val="nil"/>
              <w:bottom w:val="nil"/>
              <w:right w:val="nil"/>
            </w:tcBorders>
            <w:noWrap/>
          </w:tcPr>
          <w:p>
            <w:pPr>
              <w:pStyle w:val="yTableNAm"/>
              <w:tabs>
                <w:tab w:val="right" w:leader="dot" w:pos="4380"/>
              </w:tabs>
            </w:pPr>
            <w:r>
              <w:t xml:space="preserve">Accommodation, maintenance and other services for eligible day patients </w:t>
            </w:r>
            <w:r>
              <w:tab/>
            </w:r>
          </w:p>
        </w:tc>
        <w:tc>
          <w:tcPr>
            <w:tcW w:w="1640" w:type="dxa"/>
            <w:tcBorders>
              <w:top w:val="nil"/>
              <w:left w:val="nil"/>
              <w:bottom w:val="nil"/>
              <w:right w:val="nil"/>
            </w:tcBorders>
            <w:noWrap/>
            <w:vAlign w:val="bottom"/>
          </w:tcPr>
          <w:p>
            <w:pPr>
              <w:pStyle w:val="yTableNAm"/>
            </w:pPr>
            <w:r>
              <w:t>no charge</w:t>
            </w:r>
          </w:p>
        </w:tc>
      </w:tr>
    </w:tbl>
    <w:p>
      <w:pPr>
        <w:pStyle w:val="yHeading4"/>
      </w:pPr>
      <w:bookmarkStart w:id="55" w:name="_Toc116477375"/>
      <w:bookmarkStart w:id="56" w:name="_Toc116478906"/>
      <w:bookmarkStart w:id="57" w:name="_Toc116480672"/>
      <w:bookmarkStart w:id="58" w:name="_Toc116481078"/>
      <w:bookmarkStart w:id="59" w:name="_Toc116481937"/>
      <w:r>
        <w:lastRenderedPageBreak/>
        <w:t>Subdivision 3 — Out</w:t>
      </w:r>
      <w:r>
        <w:noBreakHyphen/>
        <w:t>patients</w:t>
      </w:r>
      <w:bookmarkEnd w:id="55"/>
      <w:bookmarkEnd w:id="56"/>
      <w:bookmarkEnd w:id="57"/>
      <w:bookmarkEnd w:id="58"/>
      <w:bookmarkEnd w:id="59"/>
    </w:p>
    <w:p>
      <w:pPr>
        <w:pStyle w:val="yFootnoteheading"/>
      </w:pPr>
      <w:r>
        <w:tab/>
        <w:t>[Heading inserted: SL 2021/134 cl. 4.]</w:t>
      </w:r>
    </w:p>
    <w:tbl>
      <w:tblPr>
        <w:tblW w:w="0" w:type="auto"/>
        <w:tblInd w:w="250" w:type="dxa"/>
        <w:tblLayout w:type="fixed"/>
        <w:tblLook w:val="0000" w:firstRow="0" w:lastRow="0" w:firstColumn="0" w:lastColumn="0" w:noHBand="0" w:noVBand="0"/>
      </w:tblPr>
      <w:tblGrid>
        <w:gridCol w:w="567"/>
        <w:gridCol w:w="4583"/>
        <w:gridCol w:w="1654"/>
      </w:tblGrid>
      <w:tr>
        <w:trPr>
          <w:cantSplit/>
        </w:trPr>
        <w:tc>
          <w:tcPr>
            <w:tcW w:w="567" w:type="dxa"/>
            <w:noWrap/>
          </w:tcPr>
          <w:p>
            <w:pPr>
              <w:pStyle w:val="yTableNAm"/>
            </w:pPr>
            <w:r>
              <w:t>4.</w:t>
            </w:r>
          </w:p>
        </w:tc>
        <w:tc>
          <w:tcPr>
            <w:tcW w:w="4583" w:type="dxa"/>
            <w:noWrap/>
          </w:tcPr>
          <w:p>
            <w:pPr>
              <w:pStyle w:val="yTableNAm"/>
            </w:pPr>
            <w:r>
              <w:t>Out</w:t>
            </w:r>
            <w:r>
              <w:noBreakHyphen/>
              <w:t xml:space="preserve">patients service, except for medicines referred to in item 5 — </w:t>
            </w:r>
          </w:p>
        </w:tc>
        <w:tc>
          <w:tcPr>
            <w:tcW w:w="1654" w:type="dxa"/>
            <w:noWrap/>
            <w:vAlign w:val="bottom"/>
          </w:tcPr>
          <w:p>
            <w:pPr>
              <w:pStyle w:val="yTableNAm"/>
            </w:pPr>
          </w:p>
        </w:tc>
      </w:tr>
      <w:tr>
        <w:trPr>
          <w:cantSplit/>
        </w:trPr>
        <w:tc>
          <w:tcPr>
            <w:tcW w:w="567" w:type="dxa"/>
            <w:noWrap/>
          </w:tcPr>
          <w:p>
            <w:pPr>
              <w:pStyle w:val="yTableNAm"/>
            </w:pPr>
          </w:p>
        </w:tc>
        <w:tc>
          <w:tcPr>
            <w:tcW w:w="4583" w:type="dxa"/>
            <w:noWrap/>
          </w:tcPr>
          <w:p>
            <w:pPr>
              <w:pStyle w:val="yTableNAm"/>
              <w:tabs>
                <w:tab w:val="right" w:leader="dot" w:pos="4380"/>
              </w:tabs>
              <w:ind w:left="488" w:hanging="488"/>
            </w:pPr>
            <w:r>
              <w:t>(a)</w:t>
            </w:r>
            <w:r>
              <w:tab/>
              <w:t>for eligible out</w:t>
            </w:r>
            <w:r>
              <w:noBreakHyphen/>
              <w:t>patients and eligible veteran out</w:t>
            </w:r>
            <w:r>
              <w:noBreakHyphen/>
              <w:t xml:space="preserve">patients </w:t>
            </w:r>
            <w:r>
              <w:tab/>
            </w:r>
          </w:p>
        </w:tc>
        <w:tc>
          <w:tcPr>
            <w:tcW w:w="1654" w:type="dxa"/>
            <w:noWrap/>
            <w:vAlign w:val="bottom"/>
          </w:tcPr>
          <w:p>
            <w:pPr>
              <w:pStyle w:val="yTableNAm"/>
            </w:pPr>
            <w:r>
              <w:t>no charge</w:t>
            </w:r>
          </w:p>
        </w:tc>
      </w:tr>
      <w:tr>
        <w:trPr>
          <w:cantSplit/>
        </w:trPr>
        <w:tc>
          <w:tcPr>
            <w:tcW w:w="567" w:type="dxa"/>
            <w:noWrap/>
          </w:tcPr>
          <w:p>
            <w:pPr>
              <w:pStyle w:val="yTableNAm"/>
            </w:pPr>
          </w:p>
        </w:tc>
        <w:tc>
          <w:tcPr>
            <w:tcW w:w="4583" w:type="dxa"/>
            <w:noWrap/>
          </w:tcPr>
          <w:p>
            <w:pPr>
              <w:pStyle w:val="yTableNAm"/>
              <w:tabs>
                <w:tab w:val="right" w:leader="dot" w:pos="4380"/>
              </w:tabs>
              <w:ind w:left="488" w:hanging="488"/>
            </w:pPr>
            <w:r>
              <w:t>(b)</w:t>
            </w:r>
            <w:r>
              <w:tab/>
              <w:t>for ineligible out</w:t>
            </w:r>
            <w:r>
              <w:noBreakHyphen/>
              <w:t xml:space="preserve">patients — for each individual service rendered </w:t>
            </w:r>
            <w:r>
              <w:tab/>
            </w:r>
          </w:p>
        </w:tc>
        <w:tc>
          <w:tcPr>
            <w:tcW w:w="1654" w:type="dxa"/>
            <w:noWrap/>
            <w:vAlign w:val="bottom"/>
          </w:tcPr>
          <w:p>
            <w:pPr>
              <w:pStyle w:val="yTableNAm"/>
            </w:pPr>
            <w:r>
              <w:t>$351</w:t>
            </w:r>
          </w:p>
        </w:tc>
      </w:tr>
      <w:tr>
        <w:trPr>
          <w:cantSplit/>
        </w:trPr>
        <w:tc>
          <w:tcPr>
            <w:tcW w:w="567" w:type="dxa"/>
            <w:noWrap/>
          </w:tcPr>
          <w:p>
            <w:pPr>
              <w:pStyle w:val="yTableNAm"/>
            </w:pPr>
            <w:r>
              <w:t>5.</w:t>
            </w:r>
          </w:p>
        </w:tc>
        <w:tc>
          <w:tcPr>
            <w:tcW w:w="4583" w:type="dxa"/>
            <w:noWrap/>
          </w:tcPr>
          <w:p>
            <w:pPr>
              <w:pStyle w:val="yTableNAm"/>
            </w:pPr>
            <w:r>
              <w:t xml:space="preserve">Medicines, for each item — </w:t>
            </w:r>
          </w:p>
        </w:tc>
        <w:tc>
          <w:tcPr>
            <w:tcW w:w="1654" w:type="dxa"/>
            <w:noWrap/>
            <w:vAlign w:val="bottom"/>
          </w:tcPr>
          <w:p>
            <w:pPr>
              <w:pStyle w:val="yTableNAm"/>
            </w:pPr>
          </w:p>
        </w:tc>
      </w:tr>
      <w:tr>
        <w:trPr>
          <w:cantSplit/>
        </w:trPr>
        <w:tc>
          <w:tcPr>
            <w:tcW w:w="567" w:type="dxa"/>
            <w:noWrap/>
          </w:tcPr>
          <w:p>
            <w:pPr>
              <w:pStyle w:val="yTableNAm"/>
            </w:pPr>
          </w:p>
        </w:tc>
        <w:tc>
          <w:tcPr>
            <w:tcW w:w="4583" w:type="dxa"/>
            <w:noWrap/>
          </w:tcPr>
          <w:p>
            <w:pPr>
              <w:pStyle w:val="yTableNAm"/>
              <w:tabs>
                <w:tab w:val="right" w:leader="dot" w:pos="4380"/>
              </w:tabs>
            </w:pPr>
            <w:r>
              <w:t>(a)</w:t>
            </w:r>
            <w:r>
              <w:tab/>
              <w:t>for holders of an entitlement card</w:t>
            </w:r>
            <w:r>
              <w:tab/>
            </w:r>
          </w:p>
        </w:tc>
        <w:tc>
          <w:tcPr>
            <w:tcW w:w="1654" w:type="dxa"/>
            <w:noWrap/>
            <w:vAlign w:val="bottom"/>
          </w:tcPr>
          <w:p>
            <w:pPr>
              <w:pStyle w:val="yTableNAm"/>
            </w:pPr>
            <w:r>
              <w:t>no charge</w:t>
            </w:r>
          </w:p>
        </w:tc>
      </w:tr>
      <w:tr>
        <w:trPr>
          <w:cantSplit/>
        </w:trPr>
        <w:tc>
          <w:tcPr>
            <w:tcW w:w="567" w:type="dxa"/>
            <w:tcBorders>
              <w:bottom w:val="nil"/>
            </w:tcBorders>
            <w:noWrap/>
          </w:tcPr>
          <w:p>
            <w:pPr>
              <w:pStyle w:val="yTableNAm"/>
            </w:pPr>
          </w:p>
        </w:tc>
        <w:tc>
          <w:tcPr>
            <w:tcW w:w="4583" w:type="dxa"/>
            <w:tcBorders>
              <w:bottom w:val="nil"/>
            </w:tcBorders>
            <w:noWrap/>
          </w:tcPr>
          <w:p>
            <w:pPr>
              <w:pStyle w:val="yTableNAm"/>
            </w:pPr>
            <w:r>
              <w:t>(b)</w:t>
            </w:r>
            <w:r>
              <w:tab/>
              <w:t xml:space="preserve">for other people who are — </w:t>
            </w:r>
          </w:p>
          <w:p>
            <w:pPr>
              <w:pStyle w:val="yTableNAm"/>
              <w:tabs>
                <w:tab w:val="clear" w:pos="567"/>
                <w:tab w:val="right" w:pos="771"/>
                <w:tab w:val="right" w:leader="dot" w:pos="4380"/>
              </w:tabs>
              <w:ind w:left="1055" w:hanging="1055"/>
            </w:pPr>
            <w:r>
              <w:tab/>
              <w:t>(i)</w:t>
            </w:r>
            <w:r>
              <w:tab/>
            </w:r>
            <w:r>
              <w:rPr>
                <w:spacing w:val="-2"/>
              </w:rPr>
              <w:t>veterans</w:t>
            </w:r>
            <w:r>
              <w:t xml:space="preserve"> who hold a Gold Card or a White Card; or</w:t>
            </w:r>
          </w:p>
          <w:p>
            <w:pPr>
              <w:pStyle w:val="yTableNAm"/>
              <w:tabs>
                <w:tab w:val="clear" w:pos="567"/>
                <w:tab w:val="right" w:pos="771"/>
                <w:tab w:val="right" w:leader="dot" w:pos="4380"/>
              </w:tabs>
              <w:ind w:left="1055" w:hanging="1055"/>
            </w:pPr>
            <w:r>
              <w:tab/>
              <w:t>(ii)</w:t>
            </w:r>
            <w:r>
              <w:tab/>
            </w:r>
            <w:r>
              <w:rPr>
                <w:spacing w:val="-2"/>
              </w:rPr>
              <w:t>pensioners</w:t>
            </w:r>
            <w:r>
              <w:t>; or</w:t>
            </w:r>
          </w:p>
          <w:p>
            <w:pPr>
              <w:pStyle w:val="yTableNAm"/>
              <w:tabs>
                <w:tab w:val="clear" w:pos="567"/>
                <w:tab w:val="right" w:pos="771"/>
                <w:tab w:val="right" w:leader="dot" w:pos="4380"/>
              </w:tabs>
              <w:ind w:left="1055" w:hanging="1055"/>
            </w:pPr>
            <w:r>
              <w:tab/>
              <w:t>(iii)</w:t>
            </w:r>
            <w:r>
              <w:tab/>
            </w:r>
            <w:r>
              <w:rPr>
                <w:spacing w:val="-2"/>
              </w:rPr>
              <w:t>concessional</w:t>
            </w:r>
            <w:r>
              <w:t xml:space="preserve"> beneficiaries </w:t>
            </w:r>
            <w:r>
              <w:tab/>
            </w:r>
          </w:p>
        </w:tc>
        <w:tc>
          <w:tcPr>
            <w:tcW w:w="1654" w:type="dxa"/>
            <w:tcBorders>
              <w:bottom w:val="nil"/>
            </w:tcBorders>
            <w:noWrap/>
            <w:vAlign w:val="bottom"/>
          </w:tcPr>
          <w:p>
            <w:pPr>
              <w:pStyle w:val="yTableNAm"/>
            </w:pPr>
            <w:r>
              <w:t>$6.80</w:t>
            </w:r>
          </w:p>
        </w:tc>
      </w:tr>
      <w:tr>
        <w:trPr>
          <w:cantSplit/>
        </w:trPr>
        <w:tc>
          <w:tcPr>
            <w:tcW w:w="567" w:type="dxa"/>
            <w:tcBorders>
              <w:bottom w:val="nil"/>
            </w:tcBorders>
            <w:noWrap/>
          </w:tcPr>
          <w:p>
            <w:pPr>
              <w:pStyle w:val="yTableNAm"/>
            </w:pPr>
          </w:p>
        </w:tc>
        <w:tc>
          <w:tcPr>
            <w:tcW w:w="4583" w:type="dxa"/>
            <w:tcBorders>
              <w:bottom w:val="nil"/>
            </w:tcBorders>
            <w:noWrap/>
          </w:tcPr>
          <w:p>
            <w:pPr>
              <w:pStyle w:val="yTableNAm"/>
              <w:ind w:left="488" w:hanging="488"/>
            </w:pPr>
            <w:r>
              <w:t>(c)</w:t>
            </w:r>
            <w:r>
              <w:tab/>
              <w:t>for all other people (other than ineligible out</w:t>
            </w:r>
            <w:r>
              <w:noBreakHyphen/>
              <w:t>patients) —</w:t>
            </w:r>
          </w:p>
        </w:tc>
        <w:tc>
          <w:tcPr>
            <w:tcW w:w="1654" w:type="dxa"/>
            <w:tcBorders>
              <w:bottom w:val="nil"/>
            </w:tcBorders>
            <w:noWrap/>
            <w:vAlign w:val="bottom"/>
          </w:tcPr>
          <w:p>
            <w:pPr>
              <w:pStyle w:val="yTableNAm"/>
            </w:pPr>
          </w:p>
        </w:tc>
      </w:tr>
      <w:tr>
        <w:trPr>
          <w:cantSplit/>
        </w:trPr>
        <w:tc>
          <w:tcPr>
            <w:tcW w:w="567" w:type="dxa"/>
            <w:tcBorders>
              <w:bottom w:val="nil"/>
            </w:tcBorders>
            <w:noWrap/>
          </w:tcPr>
          <w:p>
            <w:pPr>
              <w:pStyle w:val="yTableNAm"/>
            </w:pPr>
          </w:p>
        </w:tc>
        <w:tc>
          <w:tcPr>
            <w:tcW w:w="4583" w:type="dxa"/>
            <w:tcBorders>
              <w:bottom w:val="nil"/>
            </w:tcBorders>
            <w:noWrap/>
          </w:tcPr>
          <w:p>
            <w:pPr>
              <w:pStyle w:val="yTableNAm"/>
              <w:tabs>
                <w:tab w:val="clear" w:pos="567"/>
                <w:tab w:val="right" w:pos="771"/>
                <w:tab w:val="right" w:leader="dot" w:pos="4380"/>
              </w:tabs>
              <w:ind w:left="1055" w:hanging="1055"/>
            </w:pPr>
            <w:r>
              <w:tab/>
              <w:t>(i)</w:t>
            </w:r>
            <w:r>
              <w:tab/>
              <w:t xml:space="preserve">at a </w:t>
            </w:r>
            <w:r>
              <w:rPr>
                <w:spacing w:val="-2"/>
              </w:rPr>
              <w:t>participating</w:t>
            </w:r>
            <w:r>
              <w:t xml:space="preserve"> hospital for an item on the PBS list</w:t>
            </w:r>
            <w:r>
              <w:tab/>
            </w:r>
          </w:p>
        </w:tc>
        <w:tc>
          <w:tcPr>
            <w:tcW w:w="1654" w:type="dxa"/>
            <w:tcBorders>
              <w:bottom w:val="nil"/>
            </w:tcBorders>
            <w:noWrap/>
            <w:vAlign w:val="bottom"/>
          </w:tcPr>
          <w:p>
            <w:pPr>
              <w:pStyle w:val="yTableNAm"/>
            </w:pPr>
            <w:r>
              <w:br/>
              <w:t>PBS price up to a maximum of $42.50</w:t>
            </w:r>
          </w:p>
        </w:tc>
      </w:tr>
      <w:tr>
        <w:trPr>
          <w:cantSplit/>
        </w:trPr>
        <w:tc>
          <w:tcPr>
            <w:tcW w:w="567" w:type="dxa"/>
            <w:tcBorders>
              <w:bottom w:val="nil"/>
            </w:tcBorders>
            <w:noWrap/>
          </w:tcPr>
          <w:p>
            <w:pPr>
              <w:pStyle w:val="yTableNAm"/>
            </w:pPr>
          </w:p>
        </w:tc>
        <w:tc>
          <w:tcPr>
            <w:tcW w:w="4583" w:type="dxa"/>
            <w:tcBorders>
              <w:bottom w:val="nil"/>
            </w:tcBorders>
            <w:noWrap/>
          </w:tcPr>
          <w:p>
            <w:pPr>
              <w:pStyle w:val="yTableNAm"/>
              <w:tabs>
                <w:tab w:val="clear" w:pos="567"/>
                <w:tab w:val="right" w:pos="771"/>
                <w:tab w:val="right" w:leader="dot" w:pos="4380"/>
              </w:tabs>
              <w:ind w:left="1055" w:hanging="1055"/>
            </w:pPr>
            <w:r>
              <w:tab/>
              <w:t>(ii)</w:t>
            </w:r>
            <w:r>
              <w:tab/>
              <w:t xml:space="preserve">at a participating hospital for an item not on the PBS list </w:t>
            </w:r>
            <w:r>
              <w:tab/>
            </w:r>
          </w:p>
        </w:tc>
        <w:tc>
          <w:tcPr>
            <w:tcW w:w="1654" w:type="dxa"/>
            <w:tcBorders>
              <w:bottom w:val="nil"/>
            </w:tcBorders>
            <w:noWrap/>
            <w:vAlign w:val="bottom"/>
          </w:tcPr>
          <w:p>
            <w:pPr>
              <w:pStyle w:val="yTableNAm"/>
            </w:pPr>
            <w:r>
              <w:t>$34</w:t>
            </w:r>
          </w:p>
        </w:tc>
      </w:tr>
      <w:tr>
        <w:trPr>
          <w:cantSplit/>
        </w:trPr>
        <w:tc>
          <w:tcPr>
            <w:tcW w:w="567" w:type="dxa"/>
            <w:tcBorders>
              <w:bottom w:val="nil"/>
            </w:tcBorders>
            <w:noWrap/>
          </w:tcPr>
          <w:p>
            <w:pPr>
              <w:pStyle w:val="yTableNAm"/>
            </w:pPr>
          </w:p>
        </w:tc>
        <w:tc>
          <w:tcPr>
            <w:tcW w:w="4583" w:type="dxa"/>
            <w:tcBorders>
              <w:bottom w:val="nil"/>
            </w:tcBorders>
            <w:noWrap/>
          </w:tcPr>
          <w:p>
            <w:pPr>
              <w:pStyle w:val="yTableNAm"/>
              <w:tabs>
                <w:tab w:val="clear" w:pos="567"/>
                <w:tab w:val="right" w:pos="771"/>
                <w:tab w:val="right" w:leader="dot" w:pos="4380"/>
              </w:tabs>
              <w:ind w:left="1055" w:hanging="1055"/>
            </w:pPr>
            <w:r>
              <w:tab/>
              <w:t>(iii)</w:t>
            </w:r>
            <w:r>
              <w:tab/>
              <w:t xml:space="preserve">at a hospital that is not a participating hospital </w:t>
            </w:r>
            <w:r>
              <w:tab/>
            </w:r>
          </w:p>
        </w:tc>
        <w:tc>
          <w:tcPr>
            <w:tcW w:w="1654" w:type="dxa"/>
            <w:tcBorders>
              <w:bottom w:val="nil"/>
            </w:tcBorders>
            <w:noWrap/>
            <w:vAlign w:val="bottom"/>
          </w:tcPr>
          <w:p>
            <w:pPr>
              <w:pStyle w:val="yTableNAm"/>
            </w:pPr>
            <w:r>
              <w:t>$34</w:t>
            </w:r>
          </w:p>
        </w:tc>
      </w:tr>
    </w:tbl>
    <w:p>
      <w:pPr>
        <w:pStyle w:val="yHeading4"/>
      </w:pPr>
      <w:bookmarkStart w:id="60" w:name="_Toc116477376"/>
      <w:bookmarkStart w:id="61" w:name="_Toc116478907"/>
      <w:bookmarkStart w:id="62" w:name="_Toc116480673"/>
      <w:bookmarkStart w:id="63" w:name="_Toc116481079"/>
      <w:bookmarkStart w:id="64" w:name="_Toc116481938"/>
      <w:r>
        <w:t>Subdivision 4 — Same day patients</w:t>
      </w:r>
      <w:bookmarkEnd w:id="60"/>
      <w:bookmarkEnd w:id="61"/>
      <w:bookmarkEnd w:id="62"/>
      <w:bookmarkEnd w:id="63"/>
      <w:bookmarkEnd w:id="64"/>
    </w:p>
    <w:p>
      <w:pPr>
        <w:pStyle w:val="yFootnoteheading"/>
      </w:pPr>
      <w:r>
        <w:tab/>
        <w:t>[Heading inserted: SL 2021/134 cl. 4.]</w:t>
      </w:r>
    </w:p>
    <w:tbl>
      <w:tblPr>
        <w:tblW w:w="0" w:type="auto"/>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6.</w:t>
            </w:r>
          </w:p>
        </w:tc>
        <w:tc>
          <w:tcPr>
            <w:tcW w:w="4597" w:type="dxa"/>
            <w:noWrap/>
          </w:tcPr>
          <w:p>
            <w:pPr>
              <w:pStyle w:val="yTableNAm"/>
            </w:pPr>
            <w:r>
              <w:t xml:space="preserve">Same day health service, other than a service subject to a charge set out in this Schedule and associated with the provision of such service — </w:t>
            </w:r>
          </w:p>
        </w:tc>
        <w:tc>
          <w:tcPr>
            <w:tcW w:w="1640" w:type="dxa"/>
            <w:noWrap/>
          </w:tcPr>
          <w:p>
            <w:pPr>
              <w:pStyle w:val="yTableNAm"/>
            </w:pPr>
          </w:p>
        </w:tc>
      </w:tr>
      <w:tr>
        <w:trPr>
          <w:cantSplit/>
        </w:trPr>
        <w:tc>
          <w:tcPr>
            <w:tcW w:w="567" w:type="dxa"/>
            <w:noWrap/>
          </w:tcPr>
          <w:p>
            <w:pPr>
              <w:pStyle w:val="yTableNAm"/>
            </w:pPr>
          </w:p>
        </w:tc>
        <w:tc>
          <w:tcPr>
            <w:tcW w:w="4597" w:type="dxa"/>
            <w:noWrap/>
          </w:tcPr>
          <w:p>
            <w:pPr>
              <w:pStyle w:val="yTableNAm"/>
              <w:tabs>
                <w:tab w:val="right" w:leader="dot" w:pos="4380"/>
              </w:tabs>
            </w:pPr>
            <w:r>
              <w:t>(a)</w:t>
            </w:r>
            <w:r>
              <w:tab/>
              <w:t xml:space="preserve">for public same day patients </w:t>
            </w:r>
            <w:r>
              <w:tab/>
            </w:r>
          </w:p>
        </w:tc>
        <w:tc>
          <w:tcPr>
            <w:tcW w:w="1640" w:type="dxa"/>
            <w:noWrap/>
          </w:tcPr>
          <w:p>
            <w:pPr>
              <w:pStyle w:val="yTableNAm"/>
            </w:pPr>
            <w:r>
              <w:t>no charge</w:t>
            </w:r>
          </w:p>
        </w:tc>
      </w:tr>
      <w:tr>
        <w:trPr>
          <w:cantSplit/>
        </w:trPr>
        <w:tc>
          <w:tcPr>
            <w:tcW w:w="567" w:type="dxa"/>
            <w:noWrap/>
          </w:tcPr>
          <w:p>
            <w:pPr>
              <w:pStyle w:val="yTableNAm"/>
            </w:pPr>
          </w:p>
        </w:tc>
        <w:tc>
          <w:tcPr>
            <w:tcW w:w="4597" w:type="dxa"/>
            <w:noWrap/>
          </w:tcPr>
          <w:p>
            <w:pPr>
              <w:pStyle w:val="yTableNAm"/>
              <w:tabs>
                <w:tab w:val="right" w:leader="dot" w:pos="4380"/>
              </w:tabs>
            </w:pPr>
            <w:r>
              <w:t>(b)</w:t>
            </w:r>
            <w:r>
              <w:tab/>
              <w:t xml:space="preserve">for private same day patients </w:t>
            </w:r>
            <w:r>
              <w:tab/>
            </w:r>
          </w:p>
        </w:tc>
        <w:tc>
          <w:tcPr>
            <w:tcW w:w="1640" w:type="dxa"/>
            <w:noWrap/>
          </w:tcPr>
          <w:p>
            <w:pPr>
              <w:pStyle w:val="yTableNAm"/>
            </w:pPr>
            <w:r>
              <w:t>$324 per day</w:t>
            </w:r>
          </w:p>
        </w:tc>
      </w:tr>
      <w:tr>
        <w:trPr>
          <w:cantSplit/>
        </w:trPr>
        <w:tc>
          <w:tcPr>
            <w:tcW w:w="567" w:type="dxa"/>
            <w:noWrap/>
          </w:tcPr>
          <w:p>
            <w:pPr>
              <w:pStyle w:val="yTableNAm"/>
            </w:pPr>
          </w:p>
        </w:tc>
        <w:tc>
          <w:tcPr>
            <w:tcW w:w="4597" w:type="dxa"/>
            <w:noWrap/>
          </w:tcPr>
          <w:p>
            <w:pPr>
              <w:pStyle w:val="yTableNAm"/>
              <w:tabs>
                <w:tab w:val="right" w:leader="dot" w:pos="4380"/>
              </w:tabs>
            </w:pPr>
            <w:r>
              <w:t>(c)</w:t>
            </w:r>
            <w:r>
              <w:tab/>
              <w:t xml:space="preserve">for eligible veteran same day patients </w:t>
            </w:r>
            <w:r>
              <w:tab/>
            </w:r>
          </w:p>
        </w:tc>
        <w:tc>
          <w:tcPr>
            <w:tcW w:w="1640" w:type="dxa"/>
            <w:noWrap/>
          </w:tcPr>
          <w:p>
            <w:pPr>
              <w:pStyle w:val="yTableNAm"/>
            </w:pPr>
            <w:r>
              <w:t>no charge</w:t>
            </w:r>
          </w:p>
        </w:tc>
      </w:tr>
      <w:tr>
        <w:trPr>
          <w:cantSplit/>
        </w:trPr>
        <w:tc>
          <w:tcPr>
            <w:tcW w:w="567" w:type="dxa"/>
            <w:noWrap/>
          </w:tcPr>
          <w:p>
            <w:pPr>
              <w:pStyle w:val="yTableNAm"/>
            </w:pPr>
          </w:p>
        </w:tc>
        <w:tc>
          <w:tcPr>
            <w:tcW w:w="4597" w:type="dxa"/>
            <w:noWrap/>
          </w:tcPr>
          <w:p>
            <w:pPr>
              <w:pStyle w:val="yTableNAm"/>
              <w:tabs>
                <w:tab w:val="right" w:leader="dot" w:pos="4380"/>
              </w:tabs>
            </w:pPr>
            <w:r>
              <w:t>(d)</w:t>
            </w:r>
            <w:r>
              <w:tab/>
              <w:t xml:space="preserve">for ineligible same day patients </w:t>
            </w:r>
            <w:r>
              <w:tab/>
            </w:r>
          </w:p>
        </w:tc>
        <w:tc>
          <w:tcPr>
            <w:tcW w:w="1640" w:type="dxa"/>
            <w:noWrap/>
          </w:tcPr>
          <w:p>
            <w:pPr>
              <w:pStyle w:val="yTableNAm"/>
            </w:pPr>
            <w:r>
              <w:t>$2 682 per day</w:t>
            </w:r>
          </w:p>
        </w:tc>
      </w:tr>
    </w:tbl>
    <w:p>
      <w:pPr>
        <w:pStyle w:val="yHeading4"/>
      </w:pPr>
      <w:bookmarkStart w:id="65" w:name="_Toc116477377"/>
      <w:bookmarkStart w:id="66" w:name="_Toc116478908"/>
      <w:bookmarkStart w:id="67" w:name="_Toc116480674"/>
      <w:bookmarkStart w:id="68" w:name="_Toc116481080"/>
      <w:bookmarkStart w:id="69" w:name="_Toc116481939"/>
      <w:r>
        <w:t>Subdivision 5 — Other services</w:t>
      </w:r>
      <w:bookmarkEnd w:id="65"/>
      <w:bookmarkEnd w:id="66"/>
      <w:bookmarkEnd w:id="67"/>
      <w:bookmarkEnd w:id="68"/>
      <w:bookmarkEnd w:id="69"/>
    </w:p>
    <w:p>
      <w:pPr>
        <w:pStyle w:val="yFootnoteheading"/>
      </w:pPr>
      <w:r>
        <w:tab/>
        <w:t>[Heading inserted: SL 2021/134 cl. 4.]</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97"/>
        <w:gridCol w:w="1640"/>
      </w:tblGrid>
      <w:tr>
        <w:trPr>
          <w:cantSplit/>
        </w:trPr>
        <w:tc>
          <w:tcPr>
            <w:tcW w:w="567" w:type="dxa"/>
            <w:tcBorders>
              <w:top w:val="nil"/>
              <w:left w:val="nil"/>
              <w:bottom w:val="nil"/>
              <w:right w:val="nil"/>
            </w:tcBorders>
            <w:noWrap/>
          </w:tcPr>
          <w:p>
            <w:pPr>
              <w:pStyle w:val="yTableNAm"/>
            </w:pPr>
            <w:r>
              <w:t>7.</w:t>
            </w:r>
          </w:p>
        </w:tc>
        <w:tc>
          <w:tcPr>
            <w:tcW w:w="4597" w:type="dxa"/>
            <w:tcBorders>
              <w:top w:val="nil"/>
              <w:left w:val="nil"/>
              <w:bottom w:val="nil"/>
              <w:right w:val="nil"/>
            </w:tcBorders>
            <w:noWrap/>
          </w:tcPr>
          <w:p>
            <w:pPr>
              <w:pStyle w:val="yTableNAm"/>
              <w:tabs>
                <w:tab w:val="right" w:leader="dot" w:pos="4380"/>
              </w:tabs>
            </w:pPr>
            <w:r>
              <w:t xml:space="preserve">Accommodation for persons accompanying patients (except when parent accompanies sick child for medical wellbeing of sick child or breastfeeding, or when breastfed child accompanies sick mother) </w:t>
            </w:r>
            <w:r>
              <w:tab/>
            </w:r>
          </w:p>
        </w:tc>
        <w:tc>
          <w:tcPr>
            <w:tcW w:w="1640" w:type="dxa"/>
            <w:tcBorders>
              <w:top w:val="nil"/>
              <w:left w:val="nil"/>
              <w:bottom w:val="nil"/>
              <w:right w:val="nil"/>
            </w:tcBorders>
            <w:noWrap/>
            <w:vAlign w:val="bottom"/>
          </w:tcPr>
          <w:p>
            <w:pPr>
              <w:pStyle w:val="yTableNAm"/>
            </w:pPr>
            <w:r>
              <w:t>$42 per day</w:t>
            </w:r>
          </w:p>
        </w:tc>
      </w:tr>
    </w:tbl>
    <w:p>
      <w:pPr>
        <w:pStyle w:val="yFootnotesection"/>
      </w:pPr>
      <w:r>
        <w:tab/>
        <w:t>[Division 1 inserted: SL 2021/134 cl. 4; amended: SL 2021/194 cl. 4; SL 2022/9 cl. 4; SL 2022/55 cl. 4; SL 2022/110 r. 4; SL 2022/166 cl. 4.]</w:t>
      </w:r>
    </w:p>
    <w:p>
      <w:pPr>
        <w:pStyle w:val="yHeading3"/>
      </w:pPr>
      <w:bookmarkStart w:id="70" w:name="_Toc116477378"/>
      <w:bookmarkStart w:id="71" w:name="_Toc116478909"/>
      <w:bookmarkStart w:id="72" w:name="_Toc116480675"/>
      <w:bookmarkStart w:id="73" w:name="_Toc116481081"/>
      <w:bookmarkStart w:id="74" w:name="_Toc116481940"/>
      <w:r>
        <w:rPr>
          <w:rStyle w:val="CharSDivNo"/>
        </w:rPr>
        <w:t>Division 2</w:t>
      </w:r>
      <w:r>
        <w:t> — </w:t>
      </w:r>
      <w:r>
        <w:rPr>
          <w:rStyle w:val="CharSDivText"/>
        </w:rPr>
        <w:t>Compensable patients</w:t>
      </w:r>
      <w:bookmarkEnd w:id="70"/>
      <w:bookmarkEnd w:id="71"/>
      <w:bookmarkEnd w:id="72"/>
      <w:bookmarkEnd w:id="73"/>
      <w:bookmarkEnd w:id="74"/>
    </w:p>
    <w:p>
      <w:pPr>
        <w:pStyle w:val="yFootnoteheading"/>
      </w:pPr>
      <w:r>
        <w:tab/>
        <w:t>[Heading inserted: SL 2021/134 cl. 4.]</w:t>
      </w:r>
    </w:p>
    <w:p>
      <w:pPr>
        <w:pStyle w:val="yHeading4"/>
      </w:pPr>
      <w:bookmarkStart w:id="75" w:name="_Toc116477379"/>
      <w:bookmarkStart w:id="76" w:name="_Toc116478910"/>
      <w:bookmarkStart w:id="77" w:name="_Toc116480676"/>
      <w:bookmarkStart w:id="78" w:name="_Toc116481082"/>
      <w:bookmarkStart w:id="79" w:name="_Toc116481941"/>
      <w:r>
        <w:t>Subdivision 1 — Compensable in</w:t>
      </w:r>
      <w:r>
        <w:noBreakHyphen/>
        <w:t>patients</w:t>
      </w:r>
      <w:bookmarkEnd w:id="75"/>
      <w:bookmarkEnd w:id="76"/>
      <w:bookmarkEnd w:id="77"/>
      <w:bookmarkEnd w:id="78"/>
      <w:bookmarkEnd w:id="79"/>
    </w:p>
    <w:p>
      <w:pPr>
        <w:pStyle w:val="yFootnoteheading"/>
      </w:pPr>
      <w:r>
        <w:tab/>
        <w:t>[Heading inserted: SL 2021/134 cl. 4.]</w:t>
      </w:r>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1.</w:t>
            </w:r>
          </w:p>
        </w:tc>
        <w:tc>
          <w:tcPr>
            <w:tcW w:w="4597" w:type="dxa"/>
            <w:noWrap/>
          </w:tcPr>
          <w:p>
            <w:pPr>
              <w:pStyle w:val="yTableNAm"/>
              <w:tabs>
                <w:tab w:val="right" w:leader="dot" w:pos="4380"/>
              </w:tabs>
              <w:rPr>
                <w:rStyle w:val="DraftersNotes"/>
              </w:rPr>
            </w:pPr>
            <w:r>
              <w:t xml:space="preserve">Accommodation, maintenance, nursing care and other services in a hospital bed, except services referred to in item 5 or 6 </w:t>
            </w:r>
            <w:r>
              <w:tab/>
            </w:r>
          </w:p>
        </w:tc>
        <w:tc>
          <w:tcPr>
            <w:tcW w:w="1640" w:type="dxa"/>
            <w:noWrap/>
            <w:vAlign w:val="bottom"/>
          </w:tcPr>
          <w:p>
            <w:pPr>
              <w:pStyle w:val="yTableNAm"/>
            </w:pPr>
            <w:r>
              <w:t>$3 026</w:t>
            </w:r>
            <w:r>
              <w:rPr>
                <w:szCs w:val="22"/>
              </w:rPr>
              <w:t xml:space="preserve"> </w:t>
            </w:r>
            <w:r>
              <w:t>per day</w:t>
            </w:r>
          </w:p>
        </w:tc>
      </w:tr>
      <w:tr>
        <w:trPr>
          <w:cantSplit/>
        </w:trPr>
        <w:tc>
          <w:tcPr>
            <w:tcW w:w="567" w:type="dxa"/>
            <w:noWrap/>
          </w:tcPr>
          <w:p>
            <w:pPr>
              <w:pStyle w:val="yTableNAm"/>
            </w:pPr>
            <w:r>
              <w:t>2.</w:t>
            </w:r>
          </w:p>
        </w:tc>
        <w:tc>
          <w:tcPr>
            <w:tcW w:w="4597" w:type="dxa"/>
            <w:noWrap/>
          </w:tcPr>
          <w:p>
            <w:pPr>
              <w:pStyle w:val="yTableNAm"/>
              <w:tabs>
                <w:tab w:val="right" w:leader="dot" w:pos="4380"/>
              </w:tabs>
            </w:pPr>
            <w:r>
              <w:t xml:space="preserve">Accommodation, maintenance, nursing care and other services in a hospital bed for a patient, not being a patient mentioned in item 3, in respect of whose health services the </w:t>
            </w:r>
            <w:r>
              <w:rPr>
                <w:i/>
              </w:rPr>
              <w:t>Motor Vehicle (Third Party Insurance) Act 1943</w:t>
            </w:r>
            <w:r>
              <w:t xml:space="preserve"> applies or prima facie appears to apply </w:t>
            </w:r>
            <w:r>
              <w:tab/>
            </w:r>
          </w:p>
        </w:tc>
        <w:tc>
          <w:tcPr>
            <w:tcW w:w="1640" w:type="dxa"/>
            <w:noWrap/>
            <w:vAlign w:val="bottom"/>
          </w:tcPr>
          <w:p>
            <w:pPr>
              <w:pStyle w:val="yTableNAm"/>
            </w:pPr>
            <w:r>
              <w:t>$2 336</w:t>
            </w:r>
            <w:r>
              <w:rPr>
                <w:szCs w:val="22"/>
              </w:rPr>
              <w:t xml:space="preserve"> </w:t>
            </w:r>
            <w:r>
              <w:t>per day</w:t>
            </w:r>
          </w:p>
        </w:tc>
      </w:tr>
      <w:tr>
        <w:trPr>
          <w:cantSplit/>
        </w:trPr>
        <w:tc>
          <w:tcPr>
            <w:tcW w:w="567" w:type="dxa"/>
            <w:noWrap/>
          </w:tcPr>
          <w:p>
            <w:pPr>
              <w:pStyle w:val="yTableNAm"/>
            </w:pPr>
            <w:r>
              <w:t>3.</w:t>
            </w:r>
          </w:p>
        </w:tc>
        <w:tc>
          <w:tcPr>
            <w:tcW w:w="4597" w:type="dxa"/>
            <w:noWrap/>
          </w:tcPr>
          <w:p>
            <w:pPr>
              <w:pStyle w:val="yTableNAm"/>
              <w:tabs>
                <w:tab w:val="right" w:leader="dot" w:pos="4380"/>
              </w:tabs>
            </w:pPr>
            <w:r>
              <w:t xml:space="preserve">Accommodation, maintenance, nursing care and other services in a hospital bed for a patient in Perth Children’s Hospital in respect of whose health services the </w:t>
            </w:r>
            <w:r>
              <w:rPr>
                <w:i/>
                <w:iCs/>
              </w:rPr>
              <w:t>Motor Vehicle (Third Party Insurance) Act 1943</w:t>
            </w:r>
            <w:r>
              <w:t xml:space="preserve"> applies or prima facie appears to apply </w:t>
            </w:r>
            <w:r>
              <w:tab/>
            </w:r>
          </w:p>
        </w:tc>
        <w:tc>
          <w:tcPr>
            <w:tcW w:w="1640" w:type="dxa"/>
            <w:noWrap/>
            <w:vAlign w:val="bottom"/>
          </w:tcPr>
          <w:p>
            <w:pPr>
              <w:pStyle w:val="yTableNAm"/>
            </w:pPr>
            <w:r>
              <w:t>$3 244</w:t>
            </w:r>
            <w:r>
              <w:rPr>
                <w:szCs w:val="22"/>
              </w:rPr>
              <w:t xml:space="preserve"> </w:t>
            </w:r>
            <w:r>
              <w:t xml:space="preserve">per day </w:t>
            </w:r>
          </w:p>
        </w:tc>
      </w:tr>
      <w:tr>
        <w:trPr>
          <w:cantSplit/>
        </w:trPr>
        <w:tc>
          <w:tcPr>
            <w:tcW w:w="567" w:type="dxa"/>
            <w:noWrap/>
          </w:tcPr>
          <w:p>
            <w:pPr>
              <w:pStyle w:val="yTableNAm"/>
            </w:pPr>
            <w:r>
              <w:lastRenderedPageBreak/>
              <w:t>4.</w:t>
            </w:r>
          </w:p>
        </w:tc>
        <w:tc>
          <w:tcPr>
            <w:tcW w:w="4597" w:type="dxa"/>
            <w:noWrap/>
          </w:tcPr>
          <w:p>
            <w:pPr>
              <w:pStyle w:val="yTableNAm"/>
              <w:tabs>
                <w:tab w:val="right" w:leader="dot" w:pos="4380"/>
              </w:tabs>
            </w:pPr>
            <w:r>
              <w:t xml:space="preserve">Accommodation, maintenance, nursing care and other services in a nursing home bed </w:t>
            </w:r>
            <w:r>
              <w:tab/>
            </w:r>
          </w:p>
        </w:tc>
        <w:tc>
          <w:tcPr>
            <w:tcW w:w="1640" w:type="dxa"/>
            <w:noWrap/>
            <w:vAlign w:val="bottom"/>
          </w:tcPr>
          <w:p>
            <w:pPr>
              <w:pStyle w:val="yTableNAm"/>
            </w:pPr>
            <w:r>
              <w:t>$324</w:t>
            </w:r>
            <w:r>
              <w:rPr>
                <w:szCs w:val="22"/>
              </w:rPr>
              <w:t xml:space="preserve"> </w:t>
            </w:r>
            <w:r>
              <w:t>per day</w:t>
            </w:r>
          </w:p>
        </w:tc>
      </w:tr>
      <w:tr>
        <w:trPr>
          <w:cantSplit/>
        </w:trPr>
        <w:tc>
          <w:tcPr>
            <w:tcW w:w="567" w:type="dxa"/>
            <w:noWrap/>
          </w:tcPr>
          <w:p>
            <w:pPr>
              <w:pStyle w:val="yTableNAm"/>
            </w:pPr>
            <w:r>
              <w:t>5.</w:t>
            </w:r>
          </w:p>
        </w:tc>
        <w:tc>
          <w:tcPr>
            <w:tcW w:w="4597" w:type="dxa"/>
            <w:noWrap/>
          </w:tcPr>
          <w:p>
            <w:pPr>
              <w:pStyle w:val="yTableNAm"/>
              <w:tabs>
                <w:tab w:val="clear" w:pos="567"/>
                <w:tab w:val="right" w:leader="dot" w:pos="4380"/>
              </w:tabs>
            </w:pPr>
            <w:r>
              <w:t>Accommodation, maintenance, nursing care and other services in a hospital bed for a ventilator dependent compensable in</w:t>
            </w:r>
            <w:r>
              <w:noBreakHyphen/>
              <w:t>patient with tracheostomy requiring 24 hour a day individual care</w:t>
            </w:r>
            <w:r>
              <w:tab/>
            </w:r>
          </w:p>
        </w:tc>
        <w:tc>
          <w:tcPr>
            <w:tcW w:w="1640" w:type="dxa"/>
            <w:noWrap/>
            <w:vAlign w:val="bottom"/>
          </w:tcPr>
          <w:p>
            <w:pPr>
              <w:pStyle w:val="yTableNAm"/>
            </w:pPr>
            <w:r>
              <w:t>$6 574</w:t>
            </w:r>
            <w:r>
              <w:rPr>
                <w:szCs w:val="22"/>
              </w:rPr>
              <w:t xml:space="preserve"> </w:t>
            </w:r>
            <w:r>
              <w:t>per day</w:t>
            </w:r>
          </w:p>
        </w:tc>
      </w:tr>
      <w:tr>
        <w:trPr>
          <w:cantSplit/>
        </w:trPr>
        <w:tc>
          <w:tcPr>
            <w:tcW w:w="567" w:type="dxa"/>
            <w:noWrap/>
          </w:tcPr>
          <w:p>
            <w:pPr>
              <w:pStyle w:val="yTableNAm"/>
            </w:pPr>
            <w:r>
              <w:t>6.</w:t>
            </w:r>
          </w:p>
        </w:tc>
        <w:tc>
          <w:tcPr>
            <w:tcW w:w="4597" w:type="dxa"/>
            <w:noWrap/>
          </w:tcPr>
          <w:p>
            <w:pPr>
              <w:pStyle w:val="yTableNAm"/>
              <w:tabs>
                <w:tab w:val="right" w:leader="dot" w:pos="4380"/>
              </w:tabs>
            </w:pPr>
            <w:r>
              <w:t>Accommodation, maintenance, nursing care and other services in a hospital bed for a patient requiring 24 hour a day care for airway management, with or without tracheostomy</w:t>
            </w:r>
            <w:r>
              <w:tab/>
            </w:r>
          </w:p>
        </w:tc>
        <w:tc>
          <w:tcPr>
            <w:tcW w:w="1640" w:type="dxa"/>
            <w:noWrap/>
            <w:vAlign w:val="bottom"/>
          </w:tcPr>
          <w:p>
            <w:pPr>
              <w:pStyle w:val="yTableNAm"/>
            </w:pPr>
            <w:r>
              <w:t>$3 931</w:t>
            </w:r>
            <w:r>
              <w:rPr>
                <w:szCs w:val="22"/>
              </w:rPr>
              <w:t xml:space="preserve"> </w:t>
            </w:r>
            <w:r>
              <w:t>per day</w:t>
            </w:r>
          </w:p>
        </w:tc>
      </w:tr>
    </w:tbl>
    <w:p>
      <w:pPr>
        <w:pStyle w:val="yHeading4"/>
      </w:pPr>
      <w:bookmarkStart w:id="80" w:name="_Toc116477380"/>
      <w:bookmarkStart w:id="81" w:name="_Toc116478911"/>
      <w:bookmarkStart w:id="82" w:name="_Toc116480677"/>
      <w:bookmarkStart w:id="83" w:name="_Toc116481083"/>
      <w:bookmarkStart w:id="84" w:name="_Toc116481942"/>
      <w:r>
        <w:t>Subdivision 2 — Compensable out</w:t>
      </w:r>
      <w:r>
        <w:noBreakHyphen/>
        <w:t>patients</w:t>
      </w:r>
      <w:bookmarkEnd w:id="80"/>
      <w:bookmarkEnd w:id="81"/>
      <w:bookmarkEnd w:id="82"/>
      <w:bookmarkEnd w:id="83"/>
      <w:bookmarkEnd w:id="84"/>
    </w:p>
    <w:p>
      <w:pPr>
        <w:pStyle w:val="yFootnoteheading"/>
      </w:pPr>
      <w:r>
        <w:tab/>
        <w:t>[Heading inserted: SL 2021/134 cl. 4.]</w:t>
      </w:r>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7.</w:t>
            </w:r>
          </w:p>
        </w:tc>
        <w:tc>
          <w:tcPr>
            <w:tcW w:w="4597" w:type="dxa"/>
            <w:noWrap/>
          </w:tcPr>
          <w:p>
            <w:pPr>
              <w:pStyle w:val="yTableNAm"/>
            </w:pPr>
            <w:r>
              <w:t>For radiological service — for each item of service</w:t>
            </w:r>
          </w:p>
        </w:tc>
        <w:tc>
          <w:tcPr>
            <w:tcW w:w="1640" w:type="dxa"/>
            <w:noWrap/>
            <w:vAlign w:val="bottom"/>
          </w:tcPr>
          <w:p>
            <w:pPr>
              <w:pStyle w:val="yTableNAm"/>
            </w:pPr>
            <w:r>
              <w:t>$351</w:t>
            </w:r>
          </w:p>
        </w:tc>
      </w:tr>
      <w:tr>
        <w:trPr>
          <w:cantSplit/>
        </w:trPr>
        <w:tc>
          <w:tcPr>
            <w:tcW w:w="567" w:type="dxa"/>
            <w:noWrap/>
          </w:tcPr>
          <w:p>
            <w:pPr>
              <w:pStyle w:val="yTableNAm"/>
            </w:pPr>
            <w:r>
              <w:t>8.</w:t>
            </w:r>
          </w:p>
        </w:tc>
        <w:tc>
          <w:tcPr>
            <w:tcW w:w="4597" w:type="dxa"/>
            <w:noWrap/>
          </w:tcPr>
          <w:p>
            <w:pPr>
              <w:pStyle w:val="yTableNAm"/>
            </w:pPr>
            <w:r>
              <w:t xml:space="preserve">For medicines, subject to item 9, for each item — </w:t>
            </w:r>
          </w:p>
          <w:p>
            <w:pPr>
              <w:pStyle w:val="yTableNAm"/>
              <w:tabs>
                <w:tab w:val="right" w:leader="dot" w:pos="4380"/>
              </w:tabs>
              <w:ind w:left="488" w:hanging="488"/>
            </w:pPr>
            <w:r>
              <w:t>(a)</w:t>
            </w:r>
            <w:r>
              <w:tab/>
              <w:t xml:space="preserve">at a participating hospital for an item on the PBS list </w:t>
            </w:r>
            <w:r>
              <w:tab/>
            </w:r>
            <w:r>
              <w:br/>
            </w:r>
            <w:r>
              <w:br/>
            </w:r>
          </w:p>
          <w:p>
            <w:pPr>
              <w:pStyle w:val="yTableNAm"/>
              <w:tabs>
                <w:tab w:val="clear" w:pos="567"/>
                <w:tab w:val="right" w:pos="771"/>
                <w:tab w:val="right" w:leader="dot" w:pos="4380"/>
              </w:tabs>
              <w:ind w:left="488" w:hanging="488"/>
            </w:pPr>
            <w:r>
              <w:t>(b)</w:t>
            </w:r>
            <w:r>
              <w:tab/>
            </w:r>
            <w:r>
              <w:tab/>
              <w:t xml:space="preserve">at a participating hospital for an item not on the PBS list </w:t>
            </w:r>
            <w:r>
              <w:tab/>
            </w:r>
          </w:p>
          <w:p>
            <w:pPr>
              <w:pStyle w:val="yTableNAm"/>
              <w:tabs>
                <w:tab w:val="right" w:leader="dot" w:pos="4380"/>
              </w:tabs>
              <w:ind w:left="488" w:hanging="488"/>
            </w:pPr>
            <w:r>
              <w:t>(c)</w:t>
            </w:r>
            <w:r>
              <w:tab/>
              <w:t xml:space="preserve">at a hospital that is not a participating hospital </w:t>
            </w:r>
            <w:r>
              <w:tab/>
            </w:r>
          </w:p>
        </w:tc>
        <w:tc>
          <w:tcPr>
            <w:tcW w:w="1640" w:type="dxa"/>
            <w:noWrap/>
            <w:vAlign w:val="bottom"/>
          </w:tcPr>
          <w:p>
            <w:pPr>
              <w:pStyle w:val="yTableNAm"/>
            </w:pPr>
          </w:p>
          <w:p>
            <w:pPr>
              <w:pStyle w:val="yTableNAm"/>
            </w:pPr>
            <w:r>
              <w:br/>
              <w:t>PBS price up to a maximum of $42.50</w:t>
            </w:r>
          </w:p>
          <w:p>
            <w:pPr>
              <w:pStyle w:val="yTableNAm"/>
            </w:pPr>
            <w:r>
              <w:br/>
              <w:t>$34</w:t>
            </w:r>
          </w:p>
          <w:p>
            <w:pPr>
              <w:pStyle w:val="yTableNAm"/>
            </w:pPr>
            <w:r>
              <w:br/>
              <w:t>$34</w:t>
            </w:r>
          </w:p>
        </w:tc>
      </w:tr>
      <w:tr>
        <w:trPr>
          <w:cantSplit/>
        </w:trPr>
        <w:tc>
          <w:tcPr>
            <w:tcW w:w="567" w:type="dxa"/>
            <w:noWrap/>
          </w:tcPr>
          <w:p>
            <w:pPr>
              <w:pStyle w:val="yTableNAm"/>
            </w:pPr>
            <w:r>
              <w:t>9.</w:t>
            </w:r>
          </w:p>
        </w:tc>
        <w:tc>
          <w:tcPr>
            <w:tcW w:w="4597" w:type="dxa"/>
            <w:noWrap/>
          </w:tcPr>
          <w:p>
            <w:pPr>
              <w:pStyle w:val="yTableNAm"/>
              <w:tabs>
                <w:tab w:val="right" w:leader="dot" w:pos="4380"/>
              </w:tabs>
            </w:pPr>
            <w:r>
              <w:t>For each other individual service (with any medicines supplied at the time of the initial service being treated as included in that service)</w:t>
            </w:r>
          </w:p>
        </w:tc>
        <w:tc>
          <w:tcPr>
            <w:tcW w:w="1640" w:type="dxa"/>
            <w:noWrap/>
            <w:vAlign w:val="bottom"/>
          </w:tcPr>
          <w:p>
            <w:pPr>
              <w:pStyle w:val="yTableNAm"/>
            </w:pPr>
            <w:r>
              <w:t>$351</w:t>
            </w:r>
          </w:p>
        </w:tc>
      </w:tr>
    </w:tbl>
    <w:p>
      <w:pPr>
        <w:pStyle w:val="yHeading4"/>
      </w:pPr>
      <w:bookmarkStart w:id="85" w:name="_Toc116477381"/>
      <w:bookmarkStart w:id="86" w:name="_Toc116478912"/>
      <w:bookmarkStart w:id="87" w:name="_Toc116480678"/>
      <w:bookmarkStart w:id="88" w:name="_Toc116481084"/>
      <w:bookmarkStart w:id="89" w:name="_Toc116481943"/>
      <w:r>
        <w:lastRenderedPageBreak/>
        <w:t>Subdivision 3 — Compensable same day patients</w:t>
      </w:r>
      <w:bookmarkEnd w:id="85"/>
      <w:bookmarkEnd w:id="86"/>
      <w:bookmarkEnd w:id="87"/>
      <w:bookmarkEnd w:id="88"/>
      <w:bookmarkEnd w:id="89"/>
    </w:p>
    <w:p>
      <w:pPr>
        <w:pStyle w:val="yFootnoteheading"/>
        <w:keepNext/>
      </w:pPr>
      <w:r>
        <w:tab/>
        <w:t>[Heading inserted: SL 2021/134 cl. 4.]</w:t>
      </w:r>
    </w:p>
    <w:tbl>
      <w:tblPr>
        <w:tblW w:w="6804" w:type="dxa"/>
        <w:tblInd w:w="250" w:type="dxa"/>
        <w:tblLayout w:type="fixed"/>
        <w:tblLook w:val="0000" w:firstRow="0" w:lastRow="0" w:firstColumn="0" w:lastColumn="0" w:noHBand="0" w:noVBand="0"/>
      </w:tblPr>
      <w:tblGrid>
        <w:gridCol w:w="567"/>
        <w:gridCol w:w="4597"/>
        <w:gridCol w:w="1640"/>
      </w:tblGrid>
      <w:tr>
        <w:trPr>
          <w:cantSplit/>
        </w:trPr>
        <w:tc>
          <w:tcPr>
            <w:tcW w:w="567" w:type="dxa"/>
            <w:noWrap/>
          </w:tcPr>
          <w:p>
            <w:pPr>
              <w:pStyle w:val="yTableNAm"/>
            </w:pPr>
            <w:r>
              <w:t>10.</w:t>
            </w:r>
          </w:p>
        </w:tc>
        <w:tc>
          <w:tcPr>
            <w:tcW w:w="4597" w:type="dxa"/>
            <w:noWrap/>
          </w:tcPr>
          <w:p>
            <w:pPr>
              <w:pStyle w:val="yTableNAm"/>
            </w:pPr>
            <w:r>
              <w:t xml:space="preserve">Same day treatment in hospitals, other than day hospitals, nursing homes and nursing posts — </w:t>
            </w:r>
          </w:p>
          <w:p>
            <w:pPr>
              <w:pStyle w:val="yTableNAm"/>
              <w:tabs>
                <w:tab w:val="right" w:leader="dot" w:pos="4380"/>
              </w:tabs>
              <w:ind w:left="488" w:hanging="488"/>
            </w:pPr>
            <w:r>
              <w:t>(a)</w:t>
            </w:r>
            <w:r>
              <w:tab/>
              <w:t xml:space="preserve">for a patient, not being a patient mentioned in paragraph (b), in respect of whose health services the </w:t>
            </w:r>
            <w:r>
              <w:rPr>
                <w:i/>
              </w:rPr>
              <w:t>Motor Vehicle (Third Party Insurance) Act 1943</w:t>
            </w:r>
            <w:r>
              <w:t xml:space="preserve"> applies or prima facie appears to apply </w:t>
            </w:r>
            <w:r>
              <w:tab/>
            </w:r>
          </w:p>
        </w:tc>
        <w:tc>
          <w:tcPr>
            <w:tcW w:w="1640" w:type="dxa"/>
            <w:noWrap/>
            <w:vAlign w:val="bottom"/>
          </w:tcPr>
          <w:p>
            <w:pPr>
              <w:pStyle w:val="yTableNAm"/>
            </w:pPr>
            <w:r>
              <w:t>$2 610 per day</w:t>
            </w:r>
          </w:p>
        </w:tc>
      </w:tr>
      <w:tr>
        <w:trPr>
          <w:cantSplit/>
        </w:trPr>
        <w:tc>
          <w:tcPr>
            <w:tcW w:w="567" w:type="dxa"/>
            <w:noWrap/>
          </w:tcPr>
          <w:p>
            <w:pPr>
              <w:pStyle w:val="yTableNAm"/>
            </w:pPr>
          </w:p>
        </w:tc>
        <w:tc>
          <w:tcPr>
            <w:tcW w:w="4597" w:type="dxa"/>
            <w:noWrap/>
          </w:tcPr>
          <w:p>
            <w:pPr>
              <w:pStyle w:val="yTableNAm"/>
              <w:tabs>
                <w:tab w:val="right" w:leader="dot" w:pos="4380"/>
              </w:tabs>
              <w:ind w:left="488" w:hanging="488"/>
            </w:pPr>
            <w:r>
              <w:t>(b)</w:t>
            </w:r>
            <w:r>
              <w:tab/>
              <w:t xml:space="preserve">for a patient in Perth Children’s Hospital in respect of whose health services the </w:t>
            </w:r>
            <w:r>
              <w:rPr>
                <w:i/>
              </w:rPr>
              <w:t>Motor Vehicle (Third Party Insurance) Act 1943</w:t>
            </w:r>
            <w:r>
              <w:t xml:space="preserve"> applies or prima facie appears to apply </w:t>
            </w:r>
            <w:r>
              <w:tab/>
            </w:r>
          </w:p>
        </w:tc>
        <w:tc>
          <w:tcPr>
            <w:tcW w:w="1640" w:type="dxa"/>
            <w:noWrap/>
            <w:vAlign w:val="bottom"/>
          </w:tcPr>
          <w:p>
            <w:pPr>
              <w:pStyle w:val="yTableNAm"/>
            </w:pPr>
            <w:r>
              <w:t>$3 597 per day</w:t>
            </w:r>
          </w:p>
        </w:tc>
      </w:tr>
      <w:tr>
        <w:trPr>
          <w:cantSplit/>
        </w:trPr>
        <w:tc>
          <w:tcPr>
            <w:tcW w:w="567" w:type="dxa"/>
            <w:noWrap/>
          </w:tcPr>
          <w:p>
            <w:pPr>
              <w:pStyle w:val="yTableNAm"/>
            </w:pPr>
          </w:p>
        </w:tc>
        <w:tc>
          <w:tcPr>
            <w:tcW w:w="4597" w:type="dxa"/>
            <w:noWrap/>
          </w:tcPr>
          <w:p>
            <w:pPr>
              <w:pStyle w:val="yTableNAm"/>
              <w:tabs>
                <w:tab w:val="right" w:leader="dot" w:pos="4380"/>
              </w:tabs>
              <w:ind w:left="488" w:hanging="488"/>
            </w:pPr>
            <w:r>
              <w:t>(c)</w:t>
            </w:r>
            <w:r>
              <w:tab/>
              <w:t>for any other patient</w:t>
            </w:r>
            <w:r>
              <w:tab/>
            </w:r>
          </w:p>
        </w:tc>
        <w:tc>
          <w:tcPr>
            <w:tcW w:w="1640" w:type="dxa"/>
            <w:noWrap/>
            <w:vAlign w:val="bottom"/>
          </w:tcPr>
          <w:p>
            <w:pPr>
              <w:pStyle w:val="yTableNAm"/>
            </w:pPr>
            <w:r>
              <w:t>$3 369 per day</w:t>
            </w:r>
          </w:p>
        </w:tc>
      </w:tr>
    </w:tbl>
    <w:p>
      <w:pPr>
        <w:pStyle w:val="yFootnotesection"/>
      </w:pPr>
      <w:r>
        <w:tab/>
        <w:t>[Division 2 inserted: SL 2021/134 cl. 4; amended: SL 2022/9 cl. 4; SL 2022/110 r. 4; SL 2022/166 cl. 4.]</w:t>
      </w:r>
    </w:p>
    <w:p>
      <w:pPr>
        <w:pStyle w:val="yHeading3"/>
        <w:rPr>
          <w:rStyle w:val="CharSDivNo"/>
          <w:b w:val="0"/>
        </w:rPr>
      </w:pPr>
      <w:bookmarkStart w:id="90" w:name="_Toc116477382"/>
      <w:bookmarkStart w:id="91" w:name="_Toc116478913"/>
      <w:bookmarkStart w:id="92" w:name="_Toc116480679"/>
      <w:bookmarkStart w:id="93" w:name="_Toc116481085"/>
      <w:bookmarkStart w:id="94" w:name="_Toc116481944"/>
      <w:r>
        <w:rPr>
          <w:rStyle w:val="CharSDivNo"/>
        </w:rPr>
        <w:t>Division 3</w:t>
      </w:r>
      <w:r>
        <w:t> — </w:t>
      </w:r>
      <w:r>
        <w:rPr>
          <w:rStyle w:val="CharSDivText"/>
        </w:rPr>
        <w:t>Magnetic resonance imaging</w:t>
      </w:r>
      <w:bookmarkEnd w:id="90"/>
      <w:bookmarkEnd w:id="91"/>
      <w:bookmarkEnd w:id="92"/>
      <w:bookmarkEnd w:id="93"/>
      <w:bookmarkEnd w:id="94"/>
    </w:p>
    <w:p>
      <w:pPr>
        <w:pStyle w:val="yTHeadingNAm"/>
        <w:spacing w:before="60"/>
      </w:pPr>
      <w:r>
        <w:t>Charges for magnetic resonance imaging services</w:t>
      </w:r>
    </w:p>
    <w:tbl>
      <w:tblPr>
        <w:tblW w:w="6804" w:type="dxa"/>
        <w:tblInd w:w="250" w:type="dxa"/>
        <w:tblLayout w:type="fixed"/>
        <w:tblLook w:val="0000" w:firstRow="0" w:lastRow="0" w:firstColumn="0" w:lastColumn="0" w:noHBand="0" w:noVBand="0"/>
      </w:tblPr>
      <w:tblGrid>
        <w:gridCol w:w="642"/>
        <w:gridCol w:w="4522"/>
        <w:gridCol w:w="1640"/>
      </w:tblGrid>
      <w:tr>
        <w:trPr>
          <w:cantSplit/>
        </w:trPr>
        <w:tc>
          <w:tcPr>
            <w:tcW w:w="642" w:type="dxa"/>
            <w:tcBorders>
              <w:top w:val="single" w:sz="4" w:space="0" w:color="auto"/>
              <w:bottom w:val="single" w:sz="4" w:space="0" w:color="auto"/>
            </w:tcBorders>
          </w:tcPr>
          <w:p>
            <w:pPr>
              <w:pStyle w:val="yTableNAm"/>
              <w:keepNext/>
              <w:tabs>
                <w:tab w:val="clear" w:pos="567"/>
              </w:tabs>
              <w:ind w:right="-33"/>
              <w:jc w:val="both"/>
              <w:rPr>
                <w:b/>
              </w:rPr>
            </w:pPr>
            <w:r>
              <w:rPr>
                <w:b/>
              </w:rPr>
              <w:t>Item</w:t>
            </w:r>
          </w:p>
        </w:tc>
        <w:tc>
          <w:tcPr>
            <w:tcW w:w="4522" w:type="dxa"/>
            <w:tcBorders>
              <w:top w:val="single" w:sz="4" w:space="0" w:color="auto"/>
              <w:bottom w:val="single" w:sz="4" w:space="0" w:color="auto"/>
            </w:tcBorders>
          </w:tcPr>
          <w:p>
            <w:pPr>
              <w:pStyle w:val="yTableNAm"/>
              <w:keepNext/>
              <w:rPr>
                <w:b/>
              </w:rPr>
            </w:pPr>
            <w:r>
              <w:rPr>
                <w:b/>
              </w:rPr>
              <w:t>Service</w:t>
            </w:r>
          </w:p>
        </w:tc>
        <w:tc>
          <w:tcPr>
            <w:tcW w:w="1640" w:type="dxa"/>
            <w:tcBorders>
              <w:top w:val="single" w:sz="4" w:space="0" w:color="auto"/>
              <w:bottom w:val="single" w:sz="4" w:space="0" w:color="auto"/>
            </w:tcBorders>
          </w:tcPr>
          <w:p>
            <w:pPr>
              <w:pStyle w:val="yTableNAm"/>
              <w:keepNext/>
              <w:rPr>
                <w:b/>
              </w:rPr>
            </w:pPr>
            <w:r>
              <w:rPr>
                <w:b/>
              </w:rPr>
              <w:t xml:space="preserve">Charge </w:t>
            </w:r>
            <w:r>
              <w:rPr>
                <w:b/>
              </w:rPr>
              <w:br/>
              <w:t>(per study)</w:t>
            </w:r>
          </w:p>
        </w:tc>
      </w:tr>
      <w:tr>
        <w:trPr>
          <w:cantSplit/>
        </w:trPr>
        <w:tc>
          <w:tcPr>
            <w:tcW w:w="642" w:type="dxa"/>
            <w:tcBorders>
              <w:top w:val="single" w:sz="4" w:space="0" w:color="auto"/>
            </w:tcBorders>
          </w:tcPr>
          <w:p>
            <w:pPr>
              <w:pStyle w:val="yTableNAm"/>
              <w:keepNext/>
            </w:pPr>
            <w:r>
              <w:t>1.</w:t>
            </w:r>
          </w:p>
        </w:tc>
        <w:tc>
          <w:tcPr>
            <w:tcW w:w="4522" w:type="dxa"/>
            <w:tcBorders>
              <w:top w:val="single" w:sz="4" w:space="0" w:color="auto"/>
            </w:tcBorders>
          </w:tcPr>
          <w:p>
            <w:pPr>
              <w:pStyle w:val="yTableNAm"/>
              <w:keepNext/>
            </w:pPr>
            <w:r>
              <w:t xml:space="preserve">For a magnetic resonance study of — </w:t>
            </w:r>
          </w:p>
        </w:tc>
        <w:tc>
          <w:tcPr>
            <w:tcW w:w="1640" w:type="dxa"/>
            <w:tcBorders>
              <w:top w:val="single" w:sz="4" w:space="0" w:color="auto"/>
            </w:tcBorders>
          </w:tcPr>
          <w:p>
            <w:pPr>
              <w:pStyle w:val="yTableNAm"/>
              <w:keepNext/>
            </w:pP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(a)</w:t>
            </w:r>
            <w:r>
              <w:tab/>
              <w:t xml:space="preserve">one region of the body </w:t>
            </w:r>
            <w:r>
              <w:tab/>
            </w:r>
          </w:p>
        </w:tc>
        <w:tc>
          <w:tcPr>
            <w:tcW w:w="1640" w:type="dxa"/>
          </w:tcPr>
          <w:p>
            <w:pPr>
              <w:pStyle w:val="yTableNAm"/>
            </w:pPr>
            <w:r>
              <w:rPr>
                <w:szCs w:val="22"/>
              </w:rPr>
              <w:t>$1 735</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(b)</w:t>
            </w:r>
            <w:r>
              <w:tab/>
              <w:t xml:space="preserve">2 contiguous regions of the body </w:t>
            </w:r>
            <w:r>
              <w:tab/>
            </w:r>
          </w:p>
        </w:tc>
        <w:tc>
          <w:tcPr>
            <w:tcW w:w="1640" w:type="dxa"/>
          </w:tcPr>
          <w:p>
            <w:pPr>
              <w:pStyle w:val="yTableNAm"/>
            </w:pPr>
            <w:r>
              <w:rPr>
                <w:szCs w:val="22"/>
              </w:rPr>
              <w:t>$1 735</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(c)</w:t>
            </w:r>
            <w:r>
              <w:tab/>
              <w:t xml:space="preserve">2 or more separate regions of the body </w:t>
            </w:r>
            <w:r>
              <w:tab/>
            </w:r>
          </w:p>
        </w:tc>
        <w:tc>
          <w:tcPr>
            <w:tcW w:w="1640" w:type="dxa"/>
          </w:tcPr>
          <w:p>
            <w:pPr>
              <w:pStyle w:val="yTableNAm"/>
            </w:pPr>
            <w:r>
              <w:rPr>
                <w:szCs w:val="22"/>
              </w:rPr>
              <w:t>$3 465</w:t>
            </w:r>
          </w:p>
        </w:tc>
      </w:tr>
      <w:tr>
        <w:trPr>
          <w:cantSplit/>
        </w:trPr>
        <w:tc>
          <w:tcPr>
            <w:tcW w:w="642" w:type="dxa"/>
          </w:tcPr>
          <w:p>
            <w:pPr>
              <w:pStyle w:val="yTableNAm"/>
            </w:pPr>
          </w:p>
        </w:tc>
        <w:tc>
          <w:tcPr>
            <w:tcW w:w="4522" w:type="dxa"/>
          </w:tcPr>
          <w:p>
            <w:pPr>
              <w:pStyle w:val="yTableNAm"/>
              <w:tabs>
                <w:tab w:val="clear" w:pos="567"/>
                <w:tab w:val="left" w:pos="459"/>
                <w:tab w:val="right" w:leader="dot" w:pos="4637"/>
              </w:tabs>
              <w:ind w:left="459" w:hanging="459"/>
            </w:pPr>
            <w:r>
              <w:t>(d)</w:t>
            </w:r>
            <w:r>
              <w:tab/>
              <w:t xml:space="preserve">3 or more contiguous regions of the body </w:t>
            </w:r>
            <w:r>
              <w:tab/>
            </w:r>
          </w:p>
        </w:tc>
        <w:tc>
          <w:tcPr>
            <w:tcW w:w="1640" w:type="dxa"/>
          </w:tcPr>
          <w:p>
            <w:pPr>
              <w:pStyle w:val="yTableNAm"/>
            </w:pPr>
            <w:r>
              <w:rPr>
                <w:szCs w:val="22"/>
              </w:rPr>
              <w:t>$3 465</w:t>
            </w:r>
          </w:p>
        </w:tc>
      </w:tr>
      <w:tr>
        <w:trPr>
          <w:cantSplit/>
        </w:trPr>
        <w:tc>
          <w:tcPr>
            <w:tcW w:w="642" w:type="dxa"/>
            <w:tcBorders>
              <w:bottom w:val="single" w:sz="4" w:space="0" w:color="auto"/>
            </w:tcBorders>
          </w:tcPr>
          <w:p>
            <w:pPr>
              <w:pStyle w:val="yTableNAm"/>
            </w:pPr>
            <w:r>
              <w:t>2.</w:t>
            </w:r>
          </w:p>
        </w:tc>
        <w:tc>
          <w:tcPr>
            <w:tcW w:w="4522" w:type="dxa"/>
            <w:tcBorders>
              <w:bottom w:val="single" w:sz="4" w:space="0" w:color="auto"/>
            </w:tcBorders>
          </w:tcPr>
          <w:p>
            <w:pPr>
              <w:pStyle w:val="yTableNAm"/>
              <w:tabs>
                <w:tab w:val="right" w:leader="dot" w:pos="4637"/>
              </w:tabs>
            </w:pPr>
            <w:r>
              <w:t>If Gadolinium used as a contrast medium an</w:t>
            </w:r>
            <w:r>
              <w:br/>
              <w:t xml:space="preserve">additional charge </w:t>
            </w:r>
            <w:r>
              <w:tab/>
            </w:r>
          </w:p>
        </w:tc>
        <w:tc>
          <w:tcPr>
            <w:tcW w:w="1640" w:type="dxa"/>
            <w:tcBorders>
              <w:bottom w:val="single" w:sz="4" w:space="0" w:color="auto"/>
            </w:tcBorders>
          </w:tcPr>
          <w:p>
            <w:pPr>
              <w:pStyle w:val="yTableNAm"/>
            </w:pPr>
            <w:r>
              <w:br/>
            </w:r>
            <w:r>
              <w:rPr>
                <w:szCs w:val="22"/>
              </w:rPr>
              <w:t>$205</w:t>
            </w:r>
          </w:p>
        </w:tc>
      </w:tr>
    </w:tbl>
    <w:p>
      <w:pPr>
        <w:pStyle w:val="yFootnotesection"/>
      </w:pPr>
      <w:r>
        <w:tab/>
        <w:t>[Division 3 amended: SL 2021/35 cl. 4.]</w:t>
      </w:r>
    </w:p>
    <w:p>
      <w:pPr>
        <w:pStyle w:val="yHeading3"/>
        <w:rPr>
          <w:szCs w:val="24"/>
        </w:rPr>
      </w:pPr>
      <w:bookmarkStart w:id="95" w:name="_Toc116477383"/>
      <w:bookmarkStart w:id="96" w:name="_Toc116478914"/>
      <w:bookmarkStart w:id="97" w:name="_Toc116480680"/>
      <w:bookmarkStart w:id="98" w:name="_Toc116481086"/>
      <w:bookmarkStart w:id="99" w:name="_Toc116481945"/>
      <w:r>
        <w:rPr>
          <w:rStyle w:val="CharSDivNo"/>
        </w:rPr>
        <w:lastRenderedPageBreak/>
        <w:t>Division 4</w:t>
      </w:r>
      <w:r>
        <w:rPr>
          <w:szCs w:val="24"/>
        </w:rPr>
        <w:t> — </w:t>
      </w:r>
      <w:r>
        <w:rPr>
          <w:rStyle w:val="CharSDivText"/>
        </w:rPr>
        <w:t>Pathology services</w:t>
      </w:r>
      <w:bookmarkEnd w:id="95"/>
      <w:bookmarkEnd w:id="96"/>
      <w:bookmarkEnd w:id="97"/>
      <w:bookmarkEnd w:id="98"/>
      <w:bookmarkEnd w:id="99"/>
    </w:p>
    <w:p>
      <w:pPr>
        <w:pStyle w:val="yNumberedItem"/>
        <w:keepNext/>
        <w:spacing w:before="60"/>
      </w:pPr>
      <w:r>
        <w:tab/>
        <w:t xml:space="preserve">In the Table — </w:t>
      </w:r>
    </w:p>
    <w:p>
      <w:pPr>
        <w:pStyle w:val="yDefstart"/>
      </w:pPr>
      <w:r>
        <w:tab/>
      </w:r>
      <w:r>
        <w:rPr>
          <w:rStyle w:val="CharDefText"/>
        </w:rPr>
        <w:t>MBS amount</w:t>
      </w:r>
      <w:r>
        <w:t>, for a pathology service, means the amount of the fee specified in the item for that pathology service in the Medicare Benefits Schedule.</w:t>
      </w:r>
    </w:p>
    <w:p>
      <w:pPr>
        <w:pStyle w:val="yTHeadingNAm"/>
        <w:spacing w:before="60"/>
      </w:pPr>
      <w:r>
        <w:t>Table</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09"/>
        <w:gridCol w:w="6095"/>
      </w:tblGrid>
      <w:tr>
        <w:trPr>
          <w:tblHeader/>
        </w:trPr>
        <w:tc>
          <w:tcPr>
            <w:tcW w:w="709" w:type="dxa"/>
          </w:tcPr>
          <w:p>
            <w:pPr>
              <w:pStyle w:val="yTableNAm"/>
              <w:keepNext/>
              <w:jc w:val="center"/>
              <w:rPr>
                <w:b/>
                <w:bCs/>
              </w:rPr>
            </w:pPr>
            <w:r>
              <w:rPr>
                <w:b/>
                <w:bCs/>
              </w:rPr>
              <w:t>Item</w:t>
            </w:r>
          </w:p>
        </w:tc>
        <w:tc>
          <w:tcPr>
            <w:tcW w:w="6095" w:type="dxa"/>
          </w:tcPr>
          <w:p>
            <w:pPr>
              <w:pStyle w:val="yTableNAm"/>
              <w:keepNext/>
              <w:jc w:val="center"/>
              <w:rPr>
                <w:b/>
                <w:bCs/>
              </w:rPr>
            </w:pPr>
            <w:r>
              <w:rPr>
                <w:b/>
                <w:bCs/>
              </w:rPr>
              <w:t>Charge</w:t>
            </w:r>
          </w:p>
        </w:tc>
      </w:tr>
      <w:tr>
        <w:tc>
          <w:tcPr>
            <w:tcW w:w="709" w:type="dxa"/>
          </w:tcPr>
          <w:p>
            <w:pPr>
              <w:pStyle w:val="yTableNAm"/>
              <w:keepNext/>
            </w:pPr>
            <w:r>
              <w:t>1.</w:t>
            </w:r>
          </w:p>
        </w:tc>
        <w:tc>
          <w:tcPr>
            <w:tcW w:w="6095" w:type="dxa"/>
          </w:tcPr>
          <w:p>
            <w:pPr>
              <w:pStyle w:val="yIndenta"/>
              <w:keepNext/>
              <w:spacing w:before="120"/>
            </w:pPr>
            <w:r>
              <w:t xml:space="preserve">The MBS amount for the service if the service is provided to — </w:t>
            </w:r>
          </w:p>
          <w:p>
            <w:pPr>
              <w:pStyle w:val="yIndenta"/>
              <w:keepNext/>
              <w:tabs>
                <w:tab w:val="clear" w:pos="1332"/>
                <w:tab w:val="clear" w:pos="1616"/>
                <w:tab w:val="left" w:pos="988"/>
              </w:tabs>
              <w:spacing w:before="60"/>
              <w:ind w:left="459" w:hanging="459"/>
            </w:pPr>
            <w:r>
              <w:tab/>
              <w:t>(a)</w:t>
            </w:r>
            <w:r>
              <w:tab/>
              <w:t>a private in</w:t>
            </w:r>
            <w:r>
              <w:noBreakHyphen/>
              <w:t>patient; or</w:t>
            </w:r>
          </w:p>
          <w:p>
            <w:pPr>
              <w:pStyle w:val="yIndenta"/>
              <w:keepNext/>
              <w:tabs>
                <w:tab w:val="clear" w:pos="1332"/>
                <w:tab w:val="clear" w:pos="1616"/>
                <w:tab w:val="left" w:pos="988"/>
              </w:tabs>
              <w:spacing w:before="60"/>
              <w:ind w:left="459" w:hanging="459"/>
            </w:pPr>
            <w:r>
              <w:tab/>
              <w:t>(b)</w:t>
            </w:r>
            <w:r>
              <w:tab/>
              <w:t>a compensable in</w:t>
            </w:r>
            <w:r>
              <w:noBreakHyphen/>
              <w:t>patient; or</w:t>
            </w:r>
          </w:p>
          <w:p>
            <w:pPr>
              <w:pStyle w:val="yIndenta"/>
              <w:keepNext/>
              <w:tabs>
                <w:tab w:val="clear" w:pos="1332"/>
                <w:tab w:val="clear" w:pos="1616"/>
                <w:tab w:val="left" w:pos="988"/>
              </w:tabs>
              <w:spacing w:before="60"/>
              <w:ind w:left="459" w:hanging="459"/>
            </w:pPr>
            <w:r>
              <w:tab/>
              <w:t>(c)</w:t>
            </w:r>
            <w:r>
              <w:tab/>
              <w:t>a nursing home type private patient; or</w:t>
            </w:r>
          </w:p>
          <w:p>
            <w:pPr>
              <w:pStyle w:val="yIndenta"/>
              <w:keepNext/>
              <w:tabs>
                <w:tab w:val="clear" w:pos="1332"/>
                <w:tab w:val="clear" w:pos="1616"/>
                <w:tab w:val="left" w:pos="988"/>
              </w:tabs>
              <w:spacing w:before="60"/>
              <w:ind w:left="459" w:hanging="459"/>
            </w:pPr>
            <w:r>
              <w:tab/>
              <w:t>(d)</w:t>
            </w:r>
            <w:r>
              <w:tab/>
              <w:t>an ineligible in</w:t>
            </w:r>
            <w:r>
              <w:noBreakHyphen/>
              <w:t>patient; or</w:t>
            </w:r>
          </w:p>
          <w:p>
            <w:pPr>
              <w:pStyle w:val="yIndenta"/>
              <w:keepNext/>
              <w:tabs>
                <w:tab w:val="clear" w:pos="1332"/>
                <w:tab w:val="clear" w:pos="1616"/>
                <w:tab w:val="left" w:pos="988"/>
              </w:tabs>
              <w:spacing w:before="60"/>
              <w:ind w:left="459" w:hanging="459"/>
            </w:pPr>
            <w:r>
              <w:tab/>
              <w:t>(e)</w:t>
            </w:r>
            <w:r>
              <w:tab/>
              <w:t>a compensable day patient; or</w:t>
            </w:r>
          </w:p>
          <w:p>
            <w:pPr>
              <w:pStyle w:val="yIndenta"/>
              <w:keepNext/>
              <w:tabs>
                <w:tab w:val="clear" w:pos="1332"/>
                <w:tab w:val="clear" w:pos="1616"/>
                <w:tab w:val="left" w:pos="988"/>
              </w:tabs>
              <w:spacing w:before="60"/>
              <w:ind w:left="459" w:hanging="459"/>
            </w:pPr>
            <w:r>
              <w:tab/>
              <w:t>(f)</w:t>
            </w:r>
            <w:r>
              <w:tab/>
              <w:t>an ineligible day patient; or</w:t>
            </w:r>
          </w:p>
          <w:p>
            <w:pPr>
              <w:pStyle w:val="yIndenta"/>
              <w:keepNext/>
              <w:tabs>
                <w:tab w:val="clear" w:pos="1332"/>
                <w:tab w:val="clear" w:pos="1616"/>
                <w:tab w:val="left" w:pos="988"/>
              </w:tabs>
              <w:spacing w:before="60"/>
              <w:ind w:left="459" w:hanging="459"/>
            </w:pPr>
            <w:r>
              <w:tab/>
              <w:t>(g)</w:t>
            </w:r>
            <w:r>
              <w:tab/>
              <w:t>a compensable out</w:t>
            </w:r>
            <w:r>
              <w:noBreakHyphen/>
              <w:t>patient; or</w:t>
            </w:r>
          </w:p>
          <w:p>
            <w:pPr>
              <w:pStyle w:val="yIndenta"/>
              <w:keepNext/>
              <w:tabs>
                <w:tab w:val="clear" w:pos="1332"/>
                <w:tab w:val="clear" w:pos="1616"/>
                <w:tab w:val="left" w:pos="988"/>
              </w:tabs>
              <w:spacing w:before="60"/>
              <w:ind w:left="459" w:hanging="459"/>
            </w:pPr>
            <w:r>
              <w:tab/>
              <w:t>(h)</w:t>
            </w:r>
            <w:r>
              <w:tab/>
              <w:t>an ineligible out</w:t>
            </w:r>
            <w:r>
              <w:noBreakHyphen/>
              <w:t>patient; or</w:t>
            </w:r>
          </w:p>
          <w:p>
            <w:pPr>
              <w:pStyle w:val="yIndenta"/>
              <w:keepNext/>
              <w:tabs>
                <w:tab w:val="clear" w:pos="1332"/>
                <w:tab w:val="clear" w:pos="1616"/>
                <w:tab w:val="left" w:pos="988"/>
              </w:tabs>
              <w:spacing w:before="60"/>
              <w:ind w:left="459" w:hanging="459"/>
            </w:pPr>
            <w:r>
              <w:tab/>
              <w:t>(i)</w:t>
            </w:r>
            <w:r>
              <w:tab/>
              <w:t>a private same day patient; or</w:t>
            </w:r>
          </w:p>
          <w:p>
            <w:pPr>
              <w:pStyle w:val="yIndenta"/>
              <w:keepNext/>
              <w:tabs>
                <w:tab w:val="clear" w:pos="1332"/>
                <w:tab w:val="clear" w:pos="1616"/>
                <w:tab w:val="left" w:pos="988"/>
              </w:tabs>
              <w:spacing w:before="60"/>
              <w:ind w:left="459" w:hanging="459"/>
            </w:pPr>
            <w:r>
              <w:tab/>
              <w:t>(j)</w:t>
            </w:r>
            <w:r>
              <w:tab/>
              <w:t>a compensable same day patient; or</w:t>
            </w:r>
          </w:p>
          <w:p>
            <w:pPr>
              <w:pStyle w:val="yIndenta"/>
              <w:keepNext/>
              <w:tabs>
                <w:tab w:val="clear" w:pos="1332"/>
                <w:tab w:val="clear" w:pos="1616"/>
                <w:tab w:val="left" w:pos="988"/>
              </w:tabs>
              <w:spacing w:before="60"/>
              <w:ind w:left="459" w:hanging="459"/>
            </w:pPr>
            <w:r>
              <w:tab/>
              <w:t>(k)</w:t>
            </w:r>
            <w:r>
              <w:tab/>
              <w:t>an ineligible same day patient.</w:t>
            </w:r>
          </w:p>
        </w:tc>
      </w:tr>
      <w:tr>
        <w:tc>
          <w:tcPr>
            <w:tcW w:w="709" w:type="dxa"/>
          </w:tcPr>
          <w:p>
            <w:pPr>
              <w:pStyle w:val="yTableNAm"/>
            </w:pPr>
            <w:r>
              <w:t>2.</w:t>
            </w:r>
          </w:p>
        </w:tc>
        <w:tc>
          <w:tcPr>
            <w:tcW w:w="6095" w:type="dxa"/>
          </w:tcPr>
          <w:p>
            <w:pPr>
              <w:pStyle w:val="yTableNAm"/>
            </w:pPr>
            <w:r>
              <w:t>If the service is provided to a private pathology out</w:t>
            </w:r>
            <w:r>
              <w:noBreakHyphen/>
              <w:t>patient — 85% of the MBS amount for the service.</w:t>
            </w:r>
          </w:p>
        </w:tc>
      </w:tr>
    </w:tbl>
    <w:p>
      <w:pPr>
        <w:pStyle w:val="yEdnotedivision"/>
      </w:pPr>
      <w:r>
        <w:t>[Division 5 deleted: SL 2020/58 cl. 7.]</w:t>
      </w:r>
    </w:p>
    <w:p>
      <w:pPr>
        <w:pStyle w:val="yHeading3"/>
      </w:pPr>
      <w:bookmarkStart w:id="100" w:name="_Toc116477384"/>
      <w:bookmarkStart w:id="101" w:name="_Toc116478915"/>
      <w:bookmarkStart w:id="102" w:name="_Toc116480681"/>
      <w:bookmarkStart w:id="103" w:name="_Toc116481087"/>
      <w:bookmarkStart w:id="104" w:name="_Toc116481946"/>
      <w:r>
        <w:rPr>
          <w:rStyle w:val="CharSDivNo"/>
        </w:rPr>
        <w:t>Division 6</w:t>
      </w:r>
      <w:r>
        <w:t> — </w:t>
      </w:r>
      <w:r>
        <w:rPr>
          <w:rStyle w:val="CharSDivText"/>
        </w:rPr>
        <w:t>Surgically implanted prostheses</w:t>
      </w:r>
      <w:bookmarkEnd w:id="100"/>
      <w:bookmarkEnd w:id="101"/>
      <w:bookmarkEnd w:id="102"/>
      <w:bookmarkEnd w:id="103"/>
      <w:bookmarkEnd w:id="104"/>
    </w:p>
    <w:p>
      <w:pPr>
        <w:pStyle w:val="yNumberedItem"/>
      </w:pPr>
      <w:r>
        <w:t>1.</w:t>
      </w:r>
      <w:r>
        <w:tab/>
        <w:t xml:space="preserve">In the Table — </w:t>
      </w:r>
    </w:p>
    <w:p>
      <w:pPr>
        <w:pStyle w:val="yDefstart"/>
      </w:pPr>
      <w:r>
        <w:tab/>
      </w:r>
      <w:r>
        <w:rPr>
          <w:rStyle w:val="CharDefText"/>
        </w:rPr>
        <w:t>listed amount</w:t>
      </w:r>
      <w:r>
        <w:t>, in relation to a surgically implanted prosthesis, means the amount specified for that prosthesis in the Prostheses List in the column under the heading “Minimum Benefit”;</w:t>
      </w:r>
    </w:p>
    <w:p>
      <w:pPr>
        <w:pStyle w:val="yDefstart"/>
      </w:pPr>
      <w:r>
        <w:tab/>
      </w:r>
      <w:r>
        <w:rPr>
          <w:rStyle w:val="CharDefText"/>
        </w:rPr>
        <w:t>Prostheses List</w:t>
      </w:r>
      <w:r>
        <w:t xml:space="preserve"> means the Schedule to the Private Health Insurance (Prostheses) Rules (Commonwealth) as in force from time to time.</w:t>
      </w:r>
    </w:p>
    <w:p>
      <w:pPr>
        <w:pStyle w:val="yTHeadingNAm"/>
      </w:pPr>
      <w:r>
        <w:lastRenderedPageBreak/>
        <w:t>Table</w:t>
      </w:r>
    </w:p>
    <w:tbl>
      <w:tblPr>
        <w:tblW w:w="6804"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992"/>
        <w:gridCol w:w="3544"/>
        <w:gridCol w:w="2268"/>
      </w:tblGrid>
      <w:tr>
        <w:trPr>
          <w:cantSplit/>
          <w:tblHeader/>
        </w:trPr>
        <w:tc>
          <w:tcPr>
            <w:tcW w:w="992" w:type="dxa"/>
          </w:tcPr>
          <w:p>
            <w:pPr>
              <w:pStyle w:val="yTableNAm"/>
              <w:jc w:val="center"/>
              <w:rPr>
                <w:b/>
                <w:bCs/>
              </w:rPr>
            </w:pPr>
            <w:r>
              <w:rPr>
                <w:b/>
                <w:bCs/>
              </w:rPr>
              <w:t>Item</w:t>
            </w:r>
          </w:p>
        </w:tc>
        <w:tc>
          <w:tcPr>
            <w:tcW w:w="3544" w:type="dxa"/>
          </w:tcPr>
          <w:p>
            <w:pPr>
              <w:pStyle w:val="yTableNAm"/>
              <w:jc w:val="center"/>
              <w:rPr>
                <w:b/>
                <w:bCs/>
              </w:rPr>
            </w:pPr>
            <w:r>
              <w:rPr>
                <w:b/>
                <w:bCs/>
              </w:rPr>
              <w:t>Description</w:t>
            </w:r>
          </w:p>
        </w:tc>
        <w:tc>
          <w:tcPr>
            <w:tcW w:w="2268" w:type="dxa"/>
          </w:tcPr>
          <w:p>
            <w:pPr>
              <w:pStyle w:val="yTableNAm"/>
              <w:jc w:val="center"/>
              <w:rPr>
                <w:b/>
                <w:bCs/>
              </w:rPr>
            </w:pPr>
            <w:r>
              <w:rPr>
                <w:b/>
                <w:bCs/>
              </w:rPr>
              <w:t>Charge</w:t>
            </w:r>
          </w:p>
        </w:tc>
      </w:tr>
      <w:tr>
        <w:trPr>
          <w:cantSplit/>
        </w:trPr>
        <w:tc>
          <w:tcPr>
            <w:tcW w:w="992" w:type="dxa"/>
          </w:tcPr>
          <w:p>
            <w:pPr>
              <w:pStyle w:val="yTableNAm"/>
            </w:pPr>
            <w:r>
              <w:t>1.</w:t>
            </w:r>
          </w:p>
        </w:tc>
        <w:tc>
          <w:tcPr>
            <w:tcW w:w="3544" w:type="dxa"/>
          </w:tcPr>
          <w:p>
            <w:pPr>
              <w:pStyle w:val="yTableNAm"/>
            </w:pPr>
            <w:r>
              <w:t>The supply of a surgically implanted prosthesis specified in the Prostheses List under the heading “CARDIO THORACIC”</w:t>
            </w:r>
          </w:p>
        </w:tc>
        <w:tc>
          <w:tcPr>
            <w:tcW w:w="2268" w:type="dxa"/>
          </w:tcPr>
          <w:p>
            <w:pPr>
              <w:pStyle w:val="yTableNAm"/>
            </w:pPr>
            <w:r>
              <w:t>92.5% of the listed amount</w:t>
            </w:r>
          </w:p>
        </w:tc>
      </w:tr>
      <w:tr>
        <w:trPr>
          <w:cantSplit/>
        </w:trPr>
        <w:tc>
          <w:tcPr>
            <w:tcW w:w="992" w:type="dxa"/>
          </w:tcPr>
          <w:p>
            <w:pPr>
              <w:pStyle w:val="yTableNAm"/>
            </w:pPr>
            <w:r>
              <w:t>2.</w:t>
            </w:r>
          </w:p>
        </w:tc>
        <w:tc>
          <w:tcPr>
            <w:tcW w:w="3544" w:type="dxa"/>
          </w:tcPr>
          <w:p>
            <w:pPr>
              <w:pStyle w:val="yTableNAm"/>
            </w:pPr>
            <w:r>
              <w:t>The supply of a surgically implanted prosthesis specified in the Prostheses List under the heading “OPHTHALMIC”</w:t>
            </w:r>
          </w:p>
        </w:tc>
        <w:tc>
          <w:tcPr>
            <w:tcW w:w="2268" w:type="dxa"/>
          </w:tcPr>
          <w:p>
            <w:pPr>
              <w:pStyle w:val="yTableNAm"/>
            </w:pPr>
            <w:r>
              <w:t>80% of the listed amount</w:t>
            </w:r>
          </w:p>
        </w:tc>
      </w:tr>
      <w:tr>
        <w:trPr>
          <w:cantSplit/>
        </w:trPr>
        <w:tc>
          <w:tcPr>
            <w:tcW w:w="992" w:type="dxa"/>
          </w:tcPr>
          <w:p>
            <w:pPr>
              <w:pStyle w:val="yTableNAm"/>
            </w:pPr>
            <w:r>
              <w:t>3.</w:t>
            </w:r>
          </w:p>
        </w:tc>
        <w:tc>
          <w:tcPr>
            <w:tcW w:w="3544" w:type="dxa"/>
          </w:tcPr>
          <w:p>
            <w:pPr>
              <w:pStyle w:val="yTableNAm"/>
            </w:pPr>
            <w:r>
              <w:t>The supply of a surgically implanted prosthesis not mentioned in item 1 or 2 but otherwise specified in the Prostheses List</w:t>
            </w:r>
          </w:p>
        </w:tc>
        <w:tc>
          <w:tcPr>
            <w:tcW w:w="2268" w:type="dxa"/>
          </w:tcPr>
          <w:p>
            <w:pPr>
              <w:pStyle w:val="yTableNAm"/>
            </w:pPr>
            <w:r>
              <w:t>the listed amount</w:t>
            </w:r>
          </w:p>
        </w:tc>
      </w:tr>
    </w:tbl>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Subsection"/>
        <w:outlineLvl w:val="0"/>
        <w:sectPr>
          <w:headerReference w:type="even" r:id="rId25"/>
          <w:headerReference w:type="default" r:id="rId26"/>
          <w:pgSz w:w="11907" w:h="16840" w:code="9"/>
          <w:pgMar w:top="2381" w:right="2410" w:bottom="3544" w:left="2410" w:header="720" w:footer="3544" w:gutter="0"/>
          <w:cols w:space="720"/>
        </w:sectPr>
      </w:pPr>
    </w:p>
    <w:p>
      <w:pPr>
        <w:pStyle w:val="nHeading2"/>
      </w:pPr>
      <w:bookmarkStart w:id="106" w:name="_Toc116477385"/>
      <w:bookmarkStart w:id="107" w:name="_Toc116478916"/>
      <w:bookmarkStart w:id="108" w:name="_Toc116480682"/>
      <w:bookmarkStart w:id="109" w:name="_Toc116481088"/>
      <w:bookmarkStart w:id="110" w:name="_Toc116481947"/>
      <w:r>
        <w:lastRenderedPageBreak/>
        <w:t>Notes</w:t>
      </w:r>
      <w:bookmarkEnd w:id="106"/>
      <w:bookmarkEnd w:id="107"/>
      <w:bookmarkEnd w:id="108"/>
      <w:bookmarkEnd w:id="109"/>
      <w:bookmarkEnd w:id="110"/>
    </w:p>
    <w:p>
      <w:pPr>
        <w:pStyle w:val="nStatement"/>
      </w:pPr>
      <w:r>
        <w:t xml:space="preserve">This is a compilation of the </w:t>
      </w:r>
      <w:r>
        <w:rPr>
          <w:i/>
          <w:noProof/>
        </w:rPr>
        <w:t>Health Services (Fees and Charges) Order 2016</w:t>
      </w:r>
      <w:r>
        <w:rPr>
          <w:i/>
        </w:rPr>
        <w:t xml:space="preserve"> </w:t>
      </w:r>
      <w:r>
        <w:rPr>
          <w:snapToGrid w:val="0"/>
        </w:rPr>
        <w:t>and includes amendments made by other written laws. For provisions that have come into operation see the compilation table</w:t>
      </w:r>
      <w:r>
        <w:t>.</w:t>
      </w:r>
    </w:p>
    <w:p>
      <w:pPr>
        <w:pStyle w:val="nHeading3"/>
      </w:pPr>
      <w:bookmarkStart w:id="111" w:name="_Toc116481948"/>
      <w:r>
        <w:t>Compilation table</w:t>
      </w:r>
      <w:bookmarkEnd w:id="111"/>
    </w:p>
    <w:tbl>
      <w:tblPr>
        <w:tblW w:w="7087"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rPr>
              <w:t>Health Services (Fees and Charges) Order 2016</w:t>
            </w:r>
          </w:p>
        </w:tc>
        <w:tc>
          <w:tcPr>
            <w:tcW w:w="1276" w:type="dxa"/>
            <w:tcBorders>
              <w:bottom w:val="nil"/>
            </w:tcBorders>
          </w:tcPr>
          <w:p>
            <w:pPr>
              <w:pStyle w:val="nTable"/>
              <w:spacing w:after="40"/>
            </w:pPr>
            <w:r>
              <w:t>1 Jul 2016 p. 2775-811</w:t>
            </w:r>
          </w:p>
        </w:tc>
        <w:tc>
          <w:tcPr>
            <w:tcW w:w="2693" w:type="dxa"/>
            <w:tcBorders>
              <w:bottom w:val="nil"/>
            </w:tcBorders>
          </w:tcPr>
          <w:p>
            <w:pPr>
              <w:pStyle w:val="nTable"/>
              <w:spacing w:after="40"/>
            </w:pPr>
            <w:r>
              <w:t xml:space="preserve">1 Jul 2016 (see cl. 2 and </w:t>
            </w:r>
            <w:r>
              <w:rPr>
                <w:i/>
              </w:rPr>
              <w:t>Gazette</w:t>
            </w:r>
            <w:r>
              <w:t xml:space="preserve"> 24 Jun 2016 p. 2291)</w:t>
            </w:r>
          </w:p>
        </w:tc>
      </w:tr>
      <w:tr>
        <w:tc>
          <w:tcPr>
            <w:tcW w:w="3118" w:type="dxa"/>
            <w:tcBorders>
              <w:top w:val="nil"/>
              <w:bottom w:val="nil"/>
            </w:tcBorders>
          </w:tcPr>
          <w:p>
            <w:pPr>
              <w:pStyle w:val="nTable"/>
              <w:spacing w:after="40"/>
              <w:rPr>
                <w:i/>
                <w:noProof/>
              </w:rPr>
            </w:pPr>
            <w:r>
              <w:rPr>
                <w:i/>
                <w:noProof/>
              </w:rPr>
              <w:t>Health Services (Fees and Charges) Amendment Order 2016</w:t>
            </w:r>
          </w:p>
        </w:tc>
        <w:tc>
          <w:tcPr>
            <w:tcW w:w="1276" w:type="dxa"/>
            <w:tcBorders>
              <w:top w:val="nil"/>
              <w:bottom w:val="nil"/>
            </w:tcBorders>
          </w:tcPr>
          <w:p>
            <w:pPr>
              <w:pStyle w:val="nTable"/>
              <w:spacing w:after="40"/>
            </w:pPr>
            <w:r>
              <w:t>21 Oct 2016 p. 4783</w:t>
            </w:r>
          </w:p>
        </w:tc>
        <w:tc>
          <w:tcPr>
            <w:tcW w:w="2693" w:type="dxa"/>
            <w:tcBorders>
              <w:top w:val="nil"/>
              <w:bottom w:val="nil"/>
            </w:tcBorders>
          </w:tcPr>
          <w:p>
            <w:pPr>
              <w:pStyle w:val="nTable"/>
              <w:spacing w:after="40"/>
            </w:pPr>
            <w:r>
              <w:t>cl. 1 and 2: 21 Oct 2016 (see cl. 2(a));</w:t>
            </w:r>
            <w:r>
              <w:br/>
              <w:t>Order other than cl. 1 and 2: 22 Oct 2016 (see cl. 2(b))</w:t>
            </w:r>
          </w:p>
        </w:tc>
      </w:tr>
      <w:tr>
        <w:tc>
          <w:tcPr>
            <w:tcW w:w="3118" w:type="dxa"/>
            <w:tcBorders>
              <w:top w:val="nil"/>
              <w:bottom w:val="nil"/>
            </w:tcBorders>
          </w:tcPr>
          <w:p>
            <w:pPr>
              <w:pStyle w:val="nTable"/>
              <w:spacing w:after="40"/>
              <w:rPr>
                <w:i/>
                <w:noProof/>
              </w:rPr>
            </w:pPr>
            <w:r>
              <w:rPr>
                <w:i/>
                <w:noProof/>
              </w:rPr>
              <w:t>Health Services (Fees and Charges) Amendment Order (No. 2) 2017</w:t>
            </w:r>
          </w:p>
        </w:tc>
        <w:tc>
          <w:tcPr>
            <w:tcW w:w="1276" w:type="dxa"/>
            <w:tcBorders>
              <w:top w:val="nil"/>
              <w:bottom w:val="nil"/>
            </w:tcBorders>
          </w:tcPr>
          <w:p>
            <w:pPr>
              <w:pStyle w:val="nTable"/>
              <w:spacing w:after="40"/>
            </w:pPr>
            <w:r>
              <w:t>3 Feb 2017 p. 1112</w:t>
            </w:r>
            <w:r>
              <w:noBreakHyphen/>
              <w:t>13</w:t>
            </w:r>
          </w:p>
        </w:tc>
        <w:tc>
          <w:tcPr>
            <w:tcW w:w="2693" w:type="dxa"/>
            <w:tcBorders>
              <w:top w:val="nil"/>
              <w:bottom w:val="nil"/>
            </w:tcBorders>
          </w:tcPr>
          <w:p>
            <w:pPr>
              <w:pStyle w:val="nTable"/>
              <w:spacing w:after="40"/>
            </w:pPr>
            <w:r>
              <w:t>cl. 1 and 2: 3 Feb 2017 (see cl. 2(a));</w:t>
            </w:r>
            <w:r>
              <w:br/>
              <w:t>Order other than cl. 1 and 2: 4 Feb 2017 (see cl. 2(b))</w:t>
            </w:r>
          </w:p>
        </w:tc>
      </w:tr>
      <w:tr>
        <w:tc>
          <w:tcPr>
            <w:tcW w:w="3118" w:type="dxa"/>
            <w:tcBorders>
              <w:top w:val="nil"/>
              <w:bottom w:val="nil"/>
            </w:tcBorders>
          </w:tcPr>
          <w:p>
            <w:pPr>
              <w:pStyle w:val="nTable"/>
              <w:spacing w:after="40"/>
              <w:rPr>
                <w:i/>
                <w:noProof/>
              </w:rPr>
            </w:pPr>
            <w:r>
              <w:rPr>
                <w:i/>
                <w:noProof/>
              </w:rPr>
              <w:t>Health Services (Fees and Charges) Amendment Order (No. 3) 2017</w:t>
            </w:r>
          </w:p>
        </w:tc>
        <w:tc>
          <w:tcPr>
            <w:tcW w:w="1276" w:type="dxa"/>
            <w:tcBorders>
              <w:top w:val="nil"/>
              <w:bottom w:val="nil"/>
            </w:tcBorders>
          </w:tcPr>
          <w:p>
            <w:pPr>
              <w:pStyle w:val="nTable"/>
              <w:spacing w:after="40"/>
            </w:pPr>
            <w:r>
              <w:t>5 May 2017 p. 2369</w:t>
            </w:r>
          </w:p>
        </w:tc>
        <w:tc>
          <w:tcPr>
            <w:tcW w:w="2693" w:type="dxa"/>
            <w:tcBorders>
              <w:top w:val="nil"/>
              <w:bottom w:val="nil"/>
            </w:tcBorders>
          </w:tcPr>
          <w:p>
            <w:pPr>
              <w:pStyle w:val="nTable"/>
              <w:spacing w:after="40"/>
            </w:pPr>
            <w:r>
              <w:t>cl. 1 and 2: 5 May 2017 (see cl. 2(a));</w:t>
            </w:r>
            <w:r>
              <w:br/>
              <w:t>Order other than cl. 1 and 2: 6 May 2017 (see cl. 2(b))</w:t>
            </w:r>
          </w:p>
        </w:tc>
      </w:tr>
      <w:tr>
        <w:tc>
          <w:tcPr>
            <w:tcW w:w="3118" w:type="dxa"/>
            <w:tcBorders>
              <w:top w:val="nil"/>
              <w:bottom w:val="nil"/>
            </w:tcBorders>
          </w:tcPr>
          <w:p>
            <w:pPr>
              <w:pStyle w:val="nTable"/>
              <w:spacing w:after="40"/>
              <w:rPr>
                <w:i/>
                <w:noProof/>
              </w:rPr>
            </w:pPr>
            <w:r>
              <w:rPr>
                <w:i/>
                <w:noProof/>
              </w:rPr>
              <w:t>Health Services (Fees and Charges) Amendment Order (No. 4) 2017</w:t>
            </w:r>
          </w:p>
        </w:tc>
        <w:tc>
          <w:tcPr>
            <w:tcW w:w="1276" w:type="dxa"/>
            <w:tcBorders>
              <w:top w:val="nil"/>
              <w:bottom w:val="nil"/>
            </w:tcBorders>
          </w:tcPr>
          <w:p>
            <w:pPr>
              <w:pStyle w:val="nTable"/>
              <w:spacing w:after="40"/>
            </w:pPr>
            <w:r>
              <w:t>30 Jun 2017 p. 3566</w:t>
            </w:r>
            <w:r>
              <w:noBreakHyphen/>
              <w:t>7</w:t>
            </w:r>
          </w:p>
        </w:tc>
        <w:tc>
          <w:tcPr>
            <w:tcW w:w="2693" w:type="dxa"/>
            <w:tcBorders>
              <w:top w:val="nil"/>
              <w:bottom w:val="nil"/>
            </w:tcBorders>
          </w:tcPr>
          <w:p>
            <w:pPr>
              <w:pStyle w:val="nTable"/>
              <w:spacing w:after="40"/>
            </w:pPr>
            <w:r>
              <w:t>cl. 1 and 2: 30 Jun 2017 (see cl. 2(a));</w:t>
            </w:r>
            <w:r>
              <w:br/>
              <w:t>Order other than cl. 1 and 2: 1 Jul 2017 (see cl. 2(b))</w:t>
            </w:r>
          </w:p>
        </w:tc>
      </w:tr>
      <w:tr>
        <w:tc>
          <w:tcPr>
            <w:tcW w:w="3118" w:type="dxa"/>
            <w:tcBorders>
              <w:top w:val="nil"/>
              <w:bottom w:val="nil"/>
            </w:tcBorders>
          </w:tcPr>
          <w:p>
            <w:pPr>
              <w:pStyle w:val="nTable"/>
              <w:spacing w:after="40"/>
              <w:rPr>
                <w:i/>
                <w:noProof/>
              </w:rPr>
            </w:pPr>
            <w:r>
              <w:rPr>
                <w:i/>
                <w:noProof/>
              </w:rPr>
              <w:t>Health Services (Fees and Charges) Amendment Order (No. 5) 2017</w:t>
            </w:r>
          </w:p>
        </w:tc>
        <w:tc>
          <w:tcPr>
            <w:tcW w:w="1276" w:type="dxa"/>
            <w:tcBorders>
              <w:top w:val="nil"/>
              <w:bottom w:val="nil"/>
            </w:tcBorders>
          </w:tcPr>
          <w:p>
            <w:pPr>
              <w:pStyle w:val="nTable"/>
              <w:spacing w:after="40"/>
            </w:pPr>
            <w:r>
              <w:t>22 Sep 2017 p. 4933</w:t>
            </w:r>
          </w:p>
        </w:tc>
        <w:tc>
          <w:tcPr>
            <w:tcW w:w="2693" w:type="dxa"/>
            <w:tcBorders>
              <w:top w:val="nil"/>
              <w:bottom w:val="nil"/>
            </w:tcBorders>
          </w:tcPr>
          <w:p>
            <w:pPr>
              <w:pStyle w:val="nTable"/>
              <w:spacing w:after="40"/>
            </w:pPr>
            <w:r>
              <w:rPr>
                <w:bCs/>
                <w:snapToGrid w:val="0"/>
              </w:rPr>
              <w:t>cl. 1 and 2: 22 Sep 2017 (see cl. 2(a));</w:t>
            </w:r>
            <w:r>
              <w:rPr>
                <w:bCs/>
                <w:snapToGrid w:val="0"/>
              </w:rPr>
              <w:br/>
              <w:t>Order other than cl. 1 and 2: 23 Sep 2017 (see cl. 2(b))</w:t>
            </w:r>
          </w:p>
        </w:tc>
      </w:tr>
      <w:tr>
        <w:tc>
          <w:tcPr>
            <w:tcW w:w="3118" w:type="dxa"/>
            <w:tcBorders>
              <w:top w:val="nil"/>
              <w:bottom w:val="nil"/>
            </w:tcBorders>
          </w:tcPr>
          <w:p>
            <w:pPr>
              <w:pStyle w:val="nTable"/>
              <w:spacing w:after="40"/>
              <w:rPr>
                <w:i/>
                <w:noProof/>
              </w:rPr>
            </w:pPr>
            <w:r>
              <w:rPr>
                <w:i/>
                <w:noProof/>
              </w:rPr>
              <w:t>Health Services (Fees and Charges) Amendment Order 2018</w:t>
            </w:r>
          </w:p>
        </w:tc>
        <w:tc>
          <w:tcPr>
            <w:tcW w:w="1276" w:type="dxa"/>
            <w:tcBorders>
              <w:top w:val="nil"/>
              <w:bottom w:val="nil"/>
            </w:tcBorders>
          </w:tcPr>
          <w:p>
            <w:pPr>
              <w:pStyle w:val="nTable"/>
              <w:spacing w:after="40"/>
            </w:pPr>
            <w:r>
              <w:t>2 Feb 2018 p. 315</w:t>
            </w:r>
            <w:r>
              <w:noBreakHyphen/>
              <w:t>16</w:t>
            </w:r>
          </w:p>
        </w:tc>
        <w:tc>
          <w:tcPr>
            <w:tcW w:w="2693" w:type="dxa"/>
            <w:tcBorders>
              <w:top w:val="nil"/>
              <w:bottom w:val="nil"/>
            </w:tcBorders>
          </w:tcPr>
          <w:p>
            <w:pPr>
              <w:pStyle w:val="nTable"/>
              <w:spacing w:after="40"/>
              <w:rPr>
                <w:bCs/>
                <w:snapToGrid w:val="0"/>
              </w:rPr>
            </w:pPr>
            <w:r>
              <w:rPr>
                <w:bCs/>
                <w:snapToGrid w:val="0"/>
                <w:spacing w:val="-2"/>
              </w:rPr>
              <w:t>cl. 1 and 2: 2 Feb 2018 (see cl. 2(a));</w:t>
            </w:r>
            <w:r>
              <w:rPr>
                <w:bCs/>
                <w:snapToGrid w:val="0"/>
                <w:spacing w:val="-2"/>
              </w:rPr>
              <w:br/>
              <w:t>Order other than cl. 1 and 2: 3 Feb 2018 (see cl. 2(b))</w:t>
            </w:r>
          </w:p>
        </w:tc>
      </w:tr>
      <w:tr>
        <w:tc>
          <w:tcPr>
            <w:tcW w:w="3118" w:type="dxa"/>
            <w:tcBorders>
              <w:top w:val="nil"/>
              <w:bottom w:val="nil"/>
            </w:tcBorders>
          </w:tcPr>
          <w:p>
            <w:pPr>
              <w:pStyle w:val="nTable"/>
              <w:spacing w:after="40"/>
              <w:rPr>
                <w:i/>
                <w:noProof/>
              </w:rPr>
            </w:pPr>
            <w:r>
              <w:rPr>
                <w:i/>
              </w:rPr>
              <w:t>Health Services (Fees and Charges) Amendment Order (No. 2) 2018</w:t>
            </w:r>
          </w:p>
        </w:tc>
        <w:tc>
          <w:tcPr>
            <w:tcW w:w="1276" w:type="dxa"/>
            <w:tcBorders>
              <w:top w:val="nil"/>
              <w:bottom w:val="nil"/>
            </w:tcBorders>
          </w:tcPr>
          <w:p>
            <w:pPr>
              <w:pStyle w:val="nTable"/>
              <w:spacing w:after="40"/>
            </w:pPr>
            <w:r>
              <w:t>9 Mar 2018 p. 797</w:t>
            </w:r>
            <w:r>
              <w:noBreakHyphen/>
              <w:t>9</w:t>
            </w:r>
          </w:p>
        </w:tc>
        <w:tc>
          <w:tcPr>
            <w:tcW w:w="2693" w:type="dxa"/>
            <w:tcBorders>
              <w:top w:val="nil"/>
              <w:bottom w:val="nil"/>
            </w:tcBorders>
          </w:tcPr>
          <w:p>
            <w:pPr>
              <w:pStyle w:val="nTable"/>
              <w:spacing w:after="40"/>
              <w:rPr>
                <w:bCs/>
                <w:snapToGrid w:val="0"/>
                <w:spacing w:val="-2"/>
              </w:rPr>
            </w:pPr>
            <w:r>
              <w:rPr>
                <w:bCs/>
                <w:snapToGrid w:val="0"/>
                <w:spacing w:val="-2"/>
              </w:rPr>
              <w:t>cl. 1 and 2: 9 Mar 2018 (see cl. 2(a));</w:t>
            </w:r>
            <w:r>
              <w:rPr>
                <w:bCs/>
                <w:snapToGrid w:val="0"/>
                <w:spacing w:val="-2"/>
              </w:rPr>
              <w:br/>
              <w:t>Order other than cl. 1 and 2: 10 Mar 2018 (see cl. 2(b))</w:t>
            </w:r>
          </w:p>
        </w:tc>
      </w:tr>
      <w:tr>
        <w:tc>
          <w:tcPr>
            <w:tcW w:w="3118" w:type="dxa"/>
            <w:tcBorders>
              <w:top w:val="nil"/>
              <w:bottom w:val="nil"/>
            </w:tcBorders>
          </w:tcPr>
          <w:p>
            <w:pPr>
              <w:pStyle w:val="nTable"/>
              <w:spacing w:after="40"/>
              <w:rPr>
                <w:i/>
              </w:rPr>
            </w:pPr>
            <w:r>
              <w:rPr>
                <w:i/>
              </w:rPr>
              <w:t>Health Services (Fees and Charges) Amendment Order (No. 4) 2018</w:t>
            </w:r>
          </w:p>
        </w:tc>
        <w:tc>
          <w:tcPr>
            <w:tcW w:w="1276" w:type="dxa"/>
            <w:tcBorders>
              <w:top w:val="nil"/>
              <w:bottom w:val="nil"/>
            </w:tcBorders>
          </w:tcPr>
          <w:p>
            <w:pPr>
              <w:pStyle w:val="nTable"/>
              <w:spacing w:after="40"/>
            </w:pPr>
            <w:r>
              <w:t>27 Apr 2018 p. 1392</w:t>
            </w:r>
            <w:r>
              <w:noBreakHyphen/>
              <w:t>3</w:t>
            </w:r>
          </w:p>
        </w:tc>
        <w:tc>
          <w:tcPr>
            <w:tcW w:w="2693" w:type="dxa"/>
            <w:tcBorders>
              <w:top w:val="nil"/>
              <w:bottom w:val="nil"/>
            </w:tcBorders>
          </w:tcPr>
          <w:p>
            <w:pPr>
              <w:pStyle w:val="nTable"/>
              <w:spacing w:after="40"/>
              <w:rPr>
                <w:bCs/>
                <w:snapToGrid w:val="0"/>
                <w:spacing w:val="-2"/>
              </w:rPr>
            </w:pPr>
            <w:r>
              <w:rPr>
                <w:bCs/>
                <w:snapToGrid w:val="0"/>
                <w:spacing w:val="-2"/>
              </w:rPr>
              <w:t>cl. 1 and 2: 27 Apr 2018 (see cl. 2(a));</w:t>
            </w:r>
            <w:r>
              <w:rPr>
                <w:bCs/>
                <w:snapToGrid w:val="0"/>
                <w:spacing w:val="-2"/>
              </w:rPr>
              <w:br/>
              <w:t>Order other than cl. 1 and 2: 28 Apr 2018 (see cl. 2(b))</w:t>
            </w:r>
          </w:p>
        </w:tc>
      </w:tr>
      <w:tr>
        <w:tc>
          <w:tcPr>
            <w:tcW w:w="3118" w:type="dxa"/>
            <w:tcBorders>
              <w:top w:val="nil"/>
              <w:bottom w:val="nil"/>
            </w:tcBorders>
          </w:tcPr>
          <w:p>
            <w:pPr>
              <w:pStyle w:val="nTable"/>
              <w:keepNext/>
              <w:spacing w:after="40"/>
              <w:rPr>
                <w:i/>
              </w:rPr>
            </w:pPr>
            <w:r>
              <w:rPr>
                <w:i/>
              </w:rPr>
              <w:lastRenderedPageBreak/>
              <w:t>Health Services (Fees and Charges) Amendment Order (No. 3) 2018</w:t>
            </w:r>
          </w:p>
        </w:tc>
        <w:tc>
          <w:tcPr>
            <w:tcW w:w="1276" w:type="dxa"/>
            <w:tcBorders>
              <w:top w:val="nil"/>
              <w:bottom w:val="nil"/>
            </w:tcBorders>
          </w:tcPr>
          <w:p>
            <w:pPr>
              <w:pStyle w:val="nTable"/>
              <w:keepNext/>
              <w:spacing w:after="40"/>
            </w:pPr>
            <w:r>
              <w:t>11 May 2018 p. 1503</w:t>
            </w:r>
          </w:p>
        </w:tc>
        <w:tc>
          <w:tcPr>
            <w:tcW w:w="2693" w:type="dxa"/>
            <w:tcBorders>
              <w:top w:val="nil"/>
              <w:bottom w:val="nil"/>
            </w:tcBorders>
          </w:tcPr>
          <w:p>
            <w:pPr>
              <w:pStyle w:val="nTable"/>
              <w:keepNext/>
              <w:spacing w:after="40"/>
              <w:rPr>
                <w:bCs/>
                <w:snapToGrid w:val="0"/>
                <w:spacing w:val="-2"/>
              </w:rPr>
            </w:pPr>
            <w:r>
              <w:rPr>
                <w:bCs/>
                <w:snapToGrid w:val="0"/>
                <w:spacing w:val="-2"/>
              </w:rPr>
              <w:t>cl. 1 and 2: 11 May 2018 (see cl. 2(a));</w:t>
            </w:r>
            <w:r>
              <w:rPr>
                <w:bCs/>
                <w:snapToGrid w:val="0"/>
                <w:spacing w:val="-2"/>
              </w:rPr>
              <w:br/>
              <w:t>Order other than cl. 1 and 2: 12 May 2018 (see cl. 2(b))</w:t>
            </w:r>
          </w:p>
        </w:tc>
      </w:tr>
      <w:tr>
        <w:tc>
          <w:tcPr>
            <w:tcW w:w="3118" w:type="dxa"/>
            <w:tcBorders>
              <w:top w:val="nil"/>
              <w:bottom w:val="nil"/>
            </w:tcBorders>
          </w:tcPr>
          <w:p>
            <w:pPr>
              <w:pStyle w:val="nTable"/>
              <w:spacing w:after="40"/>
              <w:rPr>
                <w:i/>
              </w:rPr>
            </w:pPr>
            <w:r>
              <w:rPr>
                <w:i/>
              </w:rPr>
              <w:t>Health Services (Fees and Charges) Amendment Order (No. 6) 2018</w:t>
            </w:r>
          </w:p>
        </w:tc>
        <w:tc>
          <w:tcPr>
            <w:tcW w:w="1276" w:type="dxa"/>
            <w:tcBorders>
              <w:top w:val="nil"/>
              <w:bottom w:val="nil"/>
            </w:tcBorders>
          </w:tcPr>
          <w:p>
            <w:pPr>
              <w:pStyle w:val="nTable"/>
              <w:spacing w:after="40"/>
            </w:pPr>
            <w:r>
              <w:t>25 May 2018 p. 1631</w:t>
            </w:r>
            <w:r>
              <w:noBreakHyphen/>
              <w:t>2</w:t>
            </w:r>
          </w:p>
        </w:tc>
        <w:tc>
          <w:tcPr>
            <w:tcW w:w="2693" w:type="dxa"/>
            <w:tcBorders>
              <w:top w:val="nil"/>
              <w:bottom w:val="nil"/>
            </w:tcBorders>
          </w:tcPr>
          <w:p>
            <w:pPr>
              <w:pStyle w:val="nTable"/>
              <w:spacing w:after="40"/>
              <w:rPr>
                <w:bCs/>
                <w:snapToGrid w:val="0"/>
                <w:spacing w:val="-2"/>
              </w:rPr>
            </w:pPr>
            <w:r>
              <w:rPr>
                <w:bCs/>
                <w:snapToGrid w:val="0"/>
                <w:spacing w:val="-2"/>
              </w:rPr>
              <w:t>cl. 1 and 2: 25 May 2018 (see cl. 2(a));</w:t>
            </w:r>
            <w:r>
              <w:rPr>
                <w:bCs/>
                <w:snapToGrid w:val="0"/>
                <w:spacing w:val="-2"/>
              </w:rPr>
              <w:br/>
              <w:t xml:space="preserve">Order other than cl. 1 and 2: </w:t>
            </w:r>
            <w:r>
              <w:t>1 Jul 2018 (see cl. 2(b))</w:t>
            </w:r>
          </w:p>
        </w:tc>
      </w:tr>
      <w:tr>
        <w:tc>
          <w:tcPr>
            <w:tcW w:w="3118" w:type="dxa"/>
            <w:tcBorders>
              <w:top w:val="nil"/>
              <w:bottom w:val="nil"/>
            </w:tcBorders>
          </w:tcPr>
          <w:p>
            <w:pPr>
              <w:pStyle w:val="nTable"/>
              <w:spacing w:after="40"/>
              <w:rPr>
                <w:i/>
              </w:rPr>
            </w:pPr>
            <w:r>
              <w:rPr>
                <w:i/>
              </w:rPr>
              <w:t>Health Services (Fees and Charges) Amendment Order (No. 5) 2018</w:t>
            </w:r>
          </w:p>
        </w:tc>
        <w:tc>
          <w:tcPr>
            <w:tcW w:w="1276" w:type="dxa"/>
            <w:tcBorders>
              <w:top w:val="nil"/>
              <w:bottom w:val="nil"/>
            </w:tcBorders>
          </w:tcPr>
          <w:p>
            <w:pPr>
              <w:pStyle w:val="nTable"/>
              <w:spacing w:after="40"/>
            </w:pPr>
            <w:r>
              <w:t>12 Jun 2018 p. 1895</w:t>
            </w:r>
          </w:p>
        </w:tc>
        <w:tc>
          <w:tcPr>
            <w:tcW w:w="2693" w:type="dxa"/>
            <w:tcBorders>
              <w:top w:val="nil"/>
              <w:bottom w:val="nil"/>
            </w:tcBorders>
          </w:tcPr>
          <w:p>
            <w:pPr>
              <w:pStyle w:val="nTable"/>
              <w:spacing w:after="40"/>
              <w:rPr>
                <w:bCs/>
                <w:snapToGrid w:val="0"/>
                <w:spacing w:val="-2"/>
              </w:rPr>
            </w:pPr>
            <w:r>
              <w:rPr>
                <w:bCs/>
                <w:snapToGrid w:val="0"/>
                <w:spacing w:val="-2"/>
              </w:rPr>
              <w:t>cl. 1 and 2: 12 Jun 2018 (see cl. 2(a));</w:t>
            </w:r>
            <w:r>
              <w:rPr>
                <w:bCs/>
                <w:snapToGrid w:val="0"/>
                <w:spacing w:val="-2"/>
              </w:rPr>
              <w:br/>
              <w:t>Order other than cl. 1 and 2: 13 Jun 2018 (see cl. 2(b))</w:t>
            </w:r>
          </w:p>
        </w:tc>
      </w:tr>
      <w:tr>
        <w:tc>
          <w:tcPr>
            <w:tcW w:w="3118" w:type="dxa"/>
            <w:tcBorders>
              <w:top w:val="nil"/>
              <w:bottom w:val="nil"/>
            </w:tcBorders>
          </w:tcPr>
          <w:p>
            <w:pPr>
              <w:pStyle w:val="nTable"/>
              <w:spacing w:after="40"/>
              <w:rPr>
                <w:i/>
              </w:rPr>
            </w:pPr>
            <w:r>
              <w:rPr>
                <w:i/>
                <w:noProof/>
              </w:rPr>
              <w:t>Health Services (Fees and Charges) Amendment Order (No.7) 2018</w:t>
            </w:r>
          </w:p>
        </w:tc>
        <w:tc>
          <w:tcPr>
            <w:tcW w:w="1276" w:type="dxa"/>
            <w:tcBorders>
              <w:top w:val="nil"/>
              <w:bottom w:val="nil"/>
            </w:tcBorders>
          </w:tcPr>
          <w:p>
            <w:pPr>
              <w:pStyle w:val="nTable"/>
              <w:spacing w:after="40"/>
            </w:pPr>
            <w:r>
              <w:t>13 Nov 2018 p. 4432</w:t>
            </w:r>
          </w:p>
        </w:tc>
        <w:tc>
          <w:tcPr>
            <w:tcW w:w="2693" w:type="dxa"/>
            <w:tcBorders>
              <w:top w:val="nil"/>
              <w:bottom w:val="nil"/>
            </w:tcBorders>
          </w:tcPr>
          <w:p>
            <w:pPr>
              <w:pStyle w:val="nTable"/>
              <w:spacing w:after="40"/>
              <w:rPr>
                <w:bCs/>
                <w:snapToGrid w:val="0"/>
                <w:spacing w:val="-2"/>
              </w:rPr>
            </w:pPr>
            <w:r>
              <w:rPr>
                <w:bCs/>
                <w:snapToGrid w:val="0"/>
                <w:spacing w:val="-2"/>
              </w:rPr>
              <w:t>cl. 1 and 2: 13 Nov 2018 (see cl. 2(a));</w:t>
            </w:r>
            <w:r>
              <w:rPr>
                <w:bCs/>
                <w:snapToGrid w:val="0"/>
                <w:spacing w:val="-2"/>
              </w:rPr>
              <w:br/>
              <w:t xml:space="preserve">Order other than cl. 1 and 2: </w:t>
            </w:r>
            <w:r>
              <w:rPr>
                <w:noProof/>
              </w:rPr>
              <w:t>1 Dec 2018 (see cl. 2(b))</w:t>
            </w:r>
          </w:p>
        </w:tc>
      </w:tr>
      <w:tr>
        <w:tc>
          <w:tcPr>
            <w:tcW w:w="3118" w:type="dxa"/>
            <w:tcBorders>
              <w:top w:val="nil"/>
              <w:bottom w:val="nil"/>
            </w:tcBorders>
          </w:tcPr>
          <w:p>
            <w:pPr>
              <w:pStyle w:val="nTable"/>
              <w:spacing w:after="40"/>
              <w:rPr>
                <w:i/>
                <w:noProof/>
              </w:rPr>
            </w:pPr>
            <w:r>
              <w:rPr>
                <w:i/>
                <w:noProof/>
              </w:rPr>
              <w:t>Health Services (Fees and Charges) Amendment Order 2019</w:t>
            </w:r>
          </w:p>
        </w:tc>
        <w:tc>
          <w:tcPr>
            <w:tcW w:w="1276" w:type="dxa"/>
            <w:tcBorders>
              <w:top w:val="nil"/>
              <w:bottom w:val="nil"/>
            </w:tcBorders>
          </w:tcPr>
          <w:p>
            <w:pPr>
              <w:pStyle w:val="nTable"/>
              <w:spacing w:after="40"/>
            </w:pPr>
            <w:r>
              <w:t>26 Feb 2019 p. 439</w:t>
            </w:r>
            <w:r>
              <w:noBreakHyphen/>
              <w:t>40</w:t>
            </w:r>
          </w:p>
        </w:tc>
        <w:tc>
          <w:tcPr>
            <w:tcW w:w="2693" w:type="dxa"/>
            <w:tcBorders>
              <w:top w:val="nil"/>
              <w:bottom w:val="nil"/>
            </w:tcBorders>
          </w:tcPr>
          <w:p>
            <w:pPr>
              <w:pStyle w:val="nTable"/>
              <w:spacing w:after="40"/>
              <w:rPr>
                <w:bCs/>
                <w:snapToGrid w:val="0"/>
                <w:spacing w:val="-2"/>
              </w:rPr>
            </w:pPr>
            <w:r>
              <w:rPr>
                <w:bCs/>
                <w:snapToGrid w:val="0"/>
                <w:spacing w:val="-2"/>
              </w:rPr>
              <w:t>cl. 1 and 2: 26 Feb 2019 (see cl. 2(a));</w:t>
            </w:r>
            <w:r>
              <w:rPr>
                <w:bCs/>
                <w:snapToGrid w:val="0"/>
                <w:spacing w:val="-2"/>
              </w:rPr>
              <w:br/>
              <w:t>Order other than cl. 1 and 2: 27</w:t>
            </w:r>
            <w:r>
              <w:rPr>
                <w:noProof/>
              </w:rPr>
              <w:t> Feb 2019 (see cl. 2(b))</w:t>
            </w:r>
          </w:p>
        </w:tc>
      </w:tr>
      <w:tr>
        <w:tc>
          <w:tcPr>
            <w:tcW w:w="3118" w:type="dxa"/>
            <w:tcBorders>
              <w:top w:val="nil"/>
              <w:bottom w:val="nil"/>
            </w:tcBorders>
          </w:tcPr>
          <w:p>
            <w:pPr>
              <w:pStyle w:val="nTable"/>
              <w:spacing w:after="40"/>
              <w:rPr>
                <w:i/>
                <w:noProof/>
              </w:rPr>
            </w:pPr>
            <w:r>
              <w:rPr>
                <w:i/>
                <w:noProof/>
              </w:rPr>
              <w:t>Health Services (Fees and Charges) Amendment Order (No. 2) 2019</w:t>
            </w:r>
          </w:p>
        </w:tc>
        <w:tc>
          <w:tcPr>
            <w:tcW w:w="1276" w:type="dxa"/>
            <w:tcBorders>
              <w:top w:val="nil"/>
              <w:bottom w:val="nil"/>
            </w:tcBorders>
          </w:tcPr>
          <w:p>
            <w:pPr>
              <w:pStyle w:val="nTable"/>
              <w:spacing w:after="40"/>
            </w:pPr>
            <w:r>
              <w:t>7 May 2019 p. 1351</w:t>
            </w:r>
          </w:p>
        </w:tc>
        <w:tc>
          <w:tcPr>
            <w:tcW w:w="2693" w:type="dxa"/>
            <w:tcBorders>
              <w:top w:val="nil"/>
              <w:bottom w:val="nil"/>
            </w:tcBorders>
          </w:tcPr>
          <w:p>
            <w:pPr>
              <w:pStyle w:val="nTable"/>
              <w:spacing w:after="40"/>
              <w:rPr>
                <w:bCs/>
                <w:snapToGrid w:val="0"/>
                <w:spacing w:val="-2"/>
              </w:rPr>
            </w:pPr>
            <w:r>
              <w:rPr>
                <w:bCs/>
                <w:snapToGrid w:val="0"/>
                <w:spacing w:val="-2"/>
              </w:rPr>
              <w:t>cl. 1 and 2: 7 May 2019 (see cl. 2(a));</w:t>
            </w:r>
            <w:r>
              <w:rPr>
                <w:bCs/>
                <w:snapToGrid w:val="0"/>
                <w:spacing w:val="-2"/>
              </w:rPr>
              <w:br/>
              <w:t>Order other than cl. 1 and 2: 8</w:t>
            </w:r>
            <w:r>
              <w:rPr>
                <w:noProof/>
              </w:rPr>
              <w:t> May 2019 (see cl. 2(b))</w:t>
            </w:r>
          </w:p>
        </w:tc>
      </w:tr>
      <w:tr>
        <w:tc>
          <w:tcPr>
            <w:tcW w:w="3118" w:type="dxa"/>
            <w:tcBorders>
              <w:top w:val="nil"/>
              <w:bottom w:val="nil"/>
            </w:tcBorders>
          </w:tcPr>
          <w:p>
            <w:pPr>
              <w:pStyle w:val="nTable"/>
              <w:spacing w:after="40"/>
              <w:rPr>
                <w:i/>
                <w:noProof/>
              </w:rPr>
            </w:pPr>
            <w:r>
              <w:rPr>
                <w:i/>
              </w:rPr>
              <w:t>Health Services (Fees and Charges) Amendment Order (No. 3) 2019</w:t>
            </w:r>
          </w:p>
        </w:tc>
        <w:tc>
          <w:tcPr>
            <w:tcW w:w="1276" w:type="dxa"/>
            <w:tcBorders>
              <w:top w:val="nil"/>
              <w:bottom w:val="nil"/>
            </w:tcBorders>
          </w:tcPr>
          <w:p>
            <w:pPr>
              <w:pStyle w:val="nTable"/>
              <w:spacing w:after="40"/>
            </w:pPr>
            <w:r>
              <w:t>7 Jun 2019 p. 1826</w:t>
            </w:r>
            <w:r>
              <w:noBreakHyphen/>
              <w:t>7</w:t>
            </w:r>
          </w:p>
        </w:tc>
        <w:tc>
          <w:tcPr>
            <w:tcW w:w="2693" w:type="dxa"/>
            <w:tcBorders>
              <w:top w:val="nil"/>
              <w:bottom w:val="nil"/>
            </w:tcBorders>
          </w:tcPr>
          <w:p>
            <w:pPr>
              <w:pStyle w:val="nTable"/>
              <w:spacing w:after="40"/>
              <w:rPr>
                <w:bCs/>
                <w:snapToGrid w:val="0"/>
                <w:spacing w:val="-2"/>
              </w:rPr>
            </w:pPr>
            <w:r>
              <w:rPr>
                <w:bCs/>
                <w:snapToGrid w:val="0"/>
                <w:spacing w:val="-2"/>
              </w:rPr>
              <w:t>cl. 1 and 2: 7 Jun 2019 (see cl. 2(a));</w:t>
            </w:r>
            <w:r>
              <w:rPr>
                <w:bCs/>
                <w:snapToGrid w:val="0"/>
                <w:spacing w:val="-2"/>
              </w:rPr>
              <w:br/>
              <w:t>Order other than cl. 1 and 2: 1</w:t>
            </w:r>
            <w:r>
              <w:rPr>
                <w:noProof/>
              </w:rPr>
              <w:t> Jul 2019 (see cl. 2(b))</w:t>
            </w:r>
          </w:p>
        </w:tc>
      </w:tr>
      <w:tr>
        <w:tc>
          <w:tcPr>
            <w:tcW w:w="3118" w:type="dxa"/>
            <w:tcBorders>
              <w:top w:val="nil"/>
              <w:bottom w:val="nil"/>
            </w:tcBorders>
          </w:tcPr>
          <w:p>
            <w:pPr>
              <w:pStyle w:val="nTable"/>
              <w:spacing w:after="40"/>
              <w:rPr>
                <w:i/>
              </w:rPr>
            </w:pPr>
            <w:r>
              <w:rPr>
                <w:i/>
              </w:rPr>
              <w:t>Health Services (Fees and Charges) Amendment Order (No. 5) 2019</w:t>
            </w:r>
          </w:p>
        </w:tc>
        <w:tc>
          <w:tcPr>
            <w:tcW w:w="1276" w:type="dxa"/>
            <w:tcBorders>
              <w:top w:val="nil"/>
              <w:bottom w:val="nil"/>
            </w:tcBorders>
          </w:tcPr>
          <w:p>
            <w:pPr>
              <w:pStyle w:val="nTable"/>
              <w:spacing w:after="40"/>
            </w:pPr>
            <w:r>
              <w:t>27 Sep 2019 p. 3419</w:t>
            </w:r>
          </w:p>
        </w:tc>
        <w:tc>
          <w:tcPr>
            <w:tcW w:w="2693" w:type="dxa"/>
            <w:tcBorders>
              <w:top w:val="nil"/>
              <w:bottom w:val="nil"/>
            </w:tcBorders>
          </w:tcPr>
          <w:p>
            <w:pPr>
              <w:pStyle w:val="nTable"/>
              <w:spacing w:after="40"/>
              <w:rPr>
                <w:bCs/>
                <w:snapToGrid w:val="0"/>
                <w:spacing w:val="-2"/>
              </w:rPr>
            </w:pPr>
            <w:r>
              <w:t>cl. 1 and 2: 27 Sep 2019 (see cl. 2(a));</w:t>
            </w:r>
            <w:r>
              <w:br/>
              <w:t>Order other than cl. 1 and 2: 28 Sep 2019 (see cl. 2(b))</w:t>
            </w:r>
          </w:p>
        </w:tc>
      </w:tr>
      <w:tr>
        <w:tc>
          <w:tcPr>
            <w:tcW w:w="3118" w:type="dxa"/>
            <w:tcBorders>
              <w:top w:val="nil"/>
              <w:bottom w:val="nil"/>
            </w:tcBorders>
          </w:tcPr>
          <w:p>
            <w:pPr>
              <w:pStyle w:val="nTable"/>
              <w:spacing w:after="40"/>
              <w:rPr>
                <w:i/>
              </w:rPr>
            </w:pPr>
            <w:r>
              <w:rPr>
                <w:i/>
                <w:noProof/>
              </w:rPr>
              <w:t>Health Services (Fees and Charges) Amendment Order 2020</w:t>
            </w:r>
          </w:p>
        </w:tc>
        <w:tc>
          <w:tcPr>
            <w:tcW w:w="1276" w:type="dxa"/>
            <w:tcBorders>
              <w:top w:val="nil"/>
              <w:bottom w:val="nil"/>
            </w:tcBorders>
          </w:tcPr>
          <w:p>
            <w:pPr>
              <w:pStyle w:val="nTable"/>
              <w:spacing w:after="40"/>
            </w:pPr>
            <w:r>
              <w:t>SL 2020/5 7 Feb 2020</w:t>
            </w:r>
          </w:p>
        </w:tc>
        <w:tc>
          <w:tcPr>
            <w:tcW w:w="2693" w:type="dxa"/>
            <w:tcBorders>
              <w:top w:val="nil"/>
              <w:bottom w:val="nil"/>
            </w:tcBorders>
          </w:tcPr>
          <w:p>
            <w:pPr>
              <w:pStyle w:val="nTable"/>
              <w:spacing w:after="40"/>
            </w:pPr>
            <w:r>
              <w:t>cl. 1 and 2: 7 Feb 2020 (see cl. 2(a));</w:t>
            </w:r>
            <w:r>
              <w:br/>
              <w:t>Order other than cl. 1 and 2: 8 Feb 2020 (see cl. 2(b))</w:t>
            </w:r>
          </w:p>
        </w:tc>
      </w:tr>
      <w:tr>
        <w:tc>
          <w:tcPr>
            <w:tcW w:w="3118" w:type="dxa"/>
            <w:tcBorders>
              <w:top w:val="nil"/>
              <w:bottom w:val="nil"/>
            </w:tcBorders>
          </w:tcPr>
          <w:p>
            <w:pPr>
              <w:pStyle w:val="nTable"/>
              <w:spacing w:after="40"/>
              <w:rPr>
                <w:i/>
                <w:noProof/>
              </w:rPr>
            </w:pPr>
            <w:r>
              <w:rPr>
                <w:i/>
                <w:noProof/>
              </w:rPr>
              <w:t>Health Services (Fees and Charges) Amendment Order (No. 2) 2020</w:t>
            </w:r>
          </w:p>
        </w:tc>
        <w:tc>
          <w:tcPr>
            <w:tcW w:w="1276" w:type="dxa"/>
            <w:tcBorders>
              <w:top w:val="nil"/>
              <w:bottom w:val="nil"/>
            </w:tcBorders>
          </w:tcPr>
          <w:p>
            <w:pPr>
              <w:pStyle w:val="nTable"/>
              <w:spacing w:after="40"/>
            </w:pPr>
            <w:r>
              <w:t>SL 2020/19 24 Mar 2020</w:t>
            </w:r>
          </w:p>
        </w:tc>
        <w:tc>
          <w:tcPr>
            <w:tcW w:w="2693" w:type="dxa"/>
            <w:tcBorders>
              <w:top w:val="nil"/>
              <w:bottom w:val="nil"/>
            </w:tcBorders>
          </w:tcPr>
          <w:p>
            <w:pPr>
              <w:pStyle w:val="nTable"/>
              <w:spacing w:after="40"/>
            </w:pPr>
            <w:r>
              <w:t>cl. 1 and 2: 24 Mar 2020 (see cl. 2(a));</w:t>
            </w:r>
            <w:r>
              <w:br/>
              <w:t>Order other than cl. 1 and 2: 25 Mar 2020 (see cl. 2(b))</w:t>
            </w:r>
          </w:p>
        </w:tc>
      </w:tr>
      <w:tr>
        <w:tc>
          <w:tcPr>
            <w:tcW w:w="3118" w:type="dxa"/>
            <w:tcBorders>
              <w:top w:val="nil"/>
              <w:bottom w:val="nil"/>
            </w:tcBorders>
          </w:tcPr>
          <w:p>
            <w:pPr>
              <w:pStyle w:val="nTable"/>
              <w:keepNext/>
              <w:spacing w:after="40"/>
              <w:rPr>
                <w:i/>
                <w:noProof/>
              </w:rPr>
            </w:pPr>
            <w:r>
              <w:rPr>
                <w:i/>
                <w:noProof/>
              </w:rPr>
              <w:lastRenderedPageBreak/>
              <w:t>Health Services (Fees and Charges) Amendment Order (No. 3) 2020</w:t>
            </w:r>
          </w:p>
        </w:tc>
        <w:tc>
          <w:tcPr>
            <w:tcW w:w="1276" w:type="dxa"/>
            <w:tcBorders>
              <w:top w:val="nil"/>
              <w:bottom w:val="nil"/>
            </w:tcBorders>
          </w:tcPr>
          <w:p>
            <w:pPr>
              <w:pStyle w:val="nTable"/>
              <w:spacing w:after="40"/>
            </w:pPr>
            <w:r>
              <w:t>SL 2020/58 19 May 2020</w:t>
            </w:r>
          </w:p>
        </w:tc>
        <w:tc>
          <w:tcPr>
            <w:tcW w:w="2693" w:type="dxa"/>
            <w:tcBorders>
              <w:top w:val="nil"/>
              <w:bottom w:val="nil"/>
            </w:tcBorders>
          </w:tcPr>
          <w:p>
            <w:pPr>
              <w:pStyle w:val="nTable"/>
              <w:spacing w:after="40"/>
            </w:pPr>
            <w:r>
              <w:t>cl. 1 and 2: 19 May 2020 (see cl. 2(a));</w:t>
            </w:r>
            <w:r>
              <w:br/>
              <w:t>Order other than cl. 1 and 2: 20 May 2020 (see cl. 2(b))</w:t>
            </w:r>
          </w:p>
        </w:tc>
      </w:tr>
      <w:tr>
        <w:tc>
          <w:tcPr>
            <w:tcW w:w="3118" w:type="dxa"/>
            <w:tcBorders>
              <w:top w:val="nil"/>
              <w:bottom w:val="nil"/>
            </w:tcBorders>
          </w:tcPr>
          <w:p>
            <w:pPr>
              <w:pStyle w:val="nTable"/>
              <w:keepNext/>
              <w:spacing w:after="40"/>
              <w:rPr>
                <w:i/>
                <w:noProof/>
              </w:rPr>
            </w:pPr>
            <w:r>
              <w:rPr>
                <w:i/>
                <w:noProof/>
              </w:rPr>
              <w:t>Health Services (Fees and Charges) Amendment Order (No. 4) 2020</w:t>
            </w:r>
          </w:p>
        </w:tc>
        <w:tc>
          <w:tcPr>
            <w:tcW w:w="1276" w:type="dxa"/>
            <w:tcBorders>
              <w:top w:val="nil"/>
              <w:bottom w:val="nil"/>
            </w:tcBorders>
          </w:tcPr>
          <w:p>
            <w:pPr>
              <w:pStyle w:val="nTable"/>
              <w:spacing w:after="40"/>
            </w:pPr>
            <w:r>
              <w:t>SL 2020/102 30 Jun 2020</w:t>
            </w:r>
          </w:p>
        </w:tc>
        <w:tc>
          <w:tcPr>
            <w:tcW w:w="2693" w:type="dxa"/>
            <w:tcBorders>
              <w:top w:val="nil"/>
              <w:bottom w:val="nil"/>
            </w:tcBorders>
          </w:tcPr>
          <w:p>
            <w:pPr>
              <w:pStyle w:val="nTable"/>
              <w:spacing w:after="40"/>
            </w:pPr>
            <w:r>
              <w:t>cl. 1 and 2: 30 Jun 2020 (see cl. 2(a));</w:t>
            </w:r>
            <w:r>
              <w:br/>
              <w:t>Order other than cl. 1 and 2: 1 Jul 2020 (see cl. 2(b))</w:t>
            </w:r>
          </w:p>
        </w:tc>
      </w:tr>
      <w:tr>
        <w:tc>
          <w:tcPr>
            <w:tcW w:w="3118" w:type="dxa"/>
            <w:tcBorders>
              <w:top w:val="nil"/>
              <w:bottom w:val="nil"/>
            </w:tcBorders>
          </w:tcPr>
          <w:p>
            <w:pPr>
              <w:pStyle w:val="nTable"/>
              <w:keepNext/>
              <w:spacing w:after="40"/>
              <w:rPr>
                <w:i/>
                <w:noProof/>
              </w:rPr>
            </w:pPr>
            <w:r>
              <w:rPr>
                <w:i/>
              </w:rPr>
              <w:t>Health Services (Fees and Charges) Amendment Order 2021</w:t>
            </w:r>
          </w:p>
        </w:tc>
        <w:tc>
          <w:tcPr>
            <w:tcW w:w="1276" w:type="dxa"/>
            <w:tcBorders>
              <w:top w:val="nil"/>
              <w:bottom w:val="nil"/>
            </w:tcBorders>
          </w:tcPr>
          <w:p>
            <w:pPr>
              <w:pStyle w:val="nTable"/>
              <w:spacing w:after="40"/>
            </w:pPr>
            <w:r>
              <w:t>SL 2021/20 9 Feb 2021</w:t>
            </w:r>
          </w:p>
        </w:tc>
        <w:tc>
          <w:tcPr>
            <w:tcW w:w="2693" w:type="dxa"/>
            <w:tcBorders>
              <w:top w:val="nil"/>
              <w:bottom w:val="nil"/>
            </w:tcBorders>
          </w:tcPr>
          <w:p>
            <w:pPr>
              <w:pStyle w:val="nTable"/>
              <w:spacing w:after="40"/>
            </w:pPr>
            <w:r>
              <w:t>cl. 1 and 2: 9 Feb 2021 (see cl. 2(a));</w:t>
            </w:r>
            <w:r>
              <w:br/>
              <w:t>Order other than cl. 1 and 2: 10 Feb 2021 (see cl. 2(b))</w:t>
            </w:r>
          </w:p>
        </w:tc>
      </w:tr>
      <w:tr>
        <w:tc>
          <w:tcPr>
            <w:tcW w:w="3118" w:type="dxa"/>
            <w:tcBorders>
              <w:top w:val="nil"/>
              <w:bottom w:val="nil"/>
            </w:tcBorders>
          </w:tcPr>
          <w:p>
            <w:pPr>
              <w:pStyle w:val="nTable"/>
              <w:keepNext/>
              <w:spacing w:after="40"/>
              <w:rPr>
                <w:i/>
              </w:rPr>
            </w:pPr>
            <w:r>
              <w:rPr>
                <w:i/>
              </w:rPr>
              <w:t>Health Services (Fees and Charges) Amendment Order (No. 3) 2021</w:t>
            </w:r>
          </w:p>
        </w:tc>
        <w:tc>
          <w:tcPr>
            <w:tcW w:w="1276" w:type="dxa"/>
            <w:tcBorders>
              <w:top w:val="nil"/>
              <w:bottom w:val="nil"/>
            </w:tcBorders>
          </w:tcPr>
          <w:p>
            <w:pPr>
              <w:pStyle w:val="nTable"/>
              <w:spacing w:after="40"/>
            </w:pPr>
            <w:r>
              <w:t>SL 2021/35 9 Apr 2021</w:t>
            </w:r>
          </w:p>
        </w:tc>
        <w:tc>
          <w:tcPr>
            <w:tcW w:w="2693" w:type="dxa"/>
            <w:tcBorders>
              <w:top w:val="nil"/>
              <w:bottom w:val="nil"/>
            </w:tcBorders>
          </w:tcPr>
          <w:p>
            <w:pPr>
              <w:pStyle w:val="nTable"/>
              <w:spacing w:after="40"/>
            </w:pPr>
            <w:r>
              <w:t>cl. 1 and 2: 9 Apr 2021 (see cl. 2(a));</w:t>
            </w:r>
            <w:r>
              <w:br/>
              <w:t>Order other than cl. 1 and 2: 10 Apr 2021 (see cl. 2(b))</w:t>
            </w:r>
          </w:p>
        </w:tc>
      </w:tr>
      <w:tr>
        <w:tc>
          <w:tcPr>
            <w:tcW w:w="3118" w:type="dxa"/>
            <w:tcBorders>
              <w:top w:val="nil"/>
              <w:bottom w:val="nil"/>
            </w:tcBorders>
          </w:tcPr>
          <w:p>
            <w:pPr>
              <w:pStyle w:val="nTable"/>
              <w:keepNext/>
              <w:spacing w:after="40"/>
              <w:rPr>
                <w:i/>
              </w:rPr>
            </w:pPr>
            <w:r>
              <w:rPr>
                <w:i/>
              </w:rPr>
              <w:t>Health Services (Fees and Charges) Amendment Order (No. 4) 2021</w:t>
            </w:r>
          </w:p>
        </w:tc>
        <w:tc>
          <w:tcPr>
            <w:tcW w:w="1276" w:type="dxa"/>
            <w:tcBorders>
              <w:top w:val="nil"/>
              <w:bottom w:val="nil"/>
            </w:tcBorders>
          </w:tcPr>
          <w:p>
            <w:pPr>
              <w:pStyle w:val="nTable"/>
              <w:spacing w:after="40"/>
            </w:pPr>
            <w:r>
              <w:t>SL 2021/134 27 Jul 2021</w:t>
            </w:r>
          </w:p>
        </w:tc>
        <w:tc>
          <w:tcPr>
            <w:tcW w:w="2693" w:type="dxa"/>
            <w:tcBorders>
              <w:top w:val="nil"/>
              <w:bottom w:val="nil"/>
            </w:tcBorders>
          </w:tcPr>
          <w:p>
            <w:pPr>
              <w:pStyle w:val="nTable"/>
              <w:spacing w:after="40"/>
            </w:pPr>
            <w:r>
              <w:t>cl. 1 and 2: 27 Jul 2021 (see cl. 2(a));</w:t>
            </w:r>
            <w:r>
              <w:br/>
              <w:t>Order other than cl. 1 and 2: 28 Jul 2021 (see cl. 2(b))</w:t>
            </w:r>
          </w:p>
        </w:tc>
      </w:tr>
      <w:tr>
        <w:tc>
          <w:tcPr>
            <w:tcW w:w="3118" w:type="dxa"/>
            <w:tcBorders>
              <w:top w:val="nil"/>
              <w:bottom w:val="nil"/>
            </w:tcBorders>
          </w:tcPr>
          <w:p>
            <w:pPr>
              <w:pStyle w:val="nTable"/>
              <w:keepNext/>
              <w:spacing w:after="40"/>
              <w:rPr>
                <w:i/>
              </w:rPr>
            </w:pPr>
            <w:r>
              <w:rPr>
                <w:i/>
              </w:rPr>
              <w:t>Health Services (Fees and Charges) Amendment Order (No. 5) 2021</w:t>
            </w:r>
          </w:p>
        </w:tc>
        <w:tc>
          <w:tcPr>
            <w:tcW w:w="1276" w:type="dxa"/>
            <w:tcBorders>
              <w:top w:val="nil"/>
              <w:bottom w:val="nil"/>
            </w:tcBorders>
          </w:tcPr>
          <w:p>
            <w:pPr>
              <w:pStyle w:val="nTable"/>
              <w:spacing w:after="40"/>
            </w:pPr>
            <w:r>
              <w:t>SL 2021/194 26 Nov 2021</w:t>
            </w:r>
          </w:p>
        </w:tc>
        <w:tc>
          <w:tcPr>
            <w:tcW w:w="2693" w:type="dxa"/>
            <w:tcBorders>
              <w:top w:val="nil"/>
              <w:bottom w:val="nil"/>
            </w:tcBorders>
          </w:tcPr>
          <w:p>
            <w:pPr>
              <w:pStyle w:val="nTable"/>
              <w:spacing w:after="40"/>
            </w:pPr>
            <w:r>
              <w:t>cl. 1 and 2: 26 Nov 2021 (see cl. 2(a));</w:t>
            </w:r>
            <w:r>
              <w:br/>
              <w:t>Order other than cl. 1 and 2: 27 Nov 2021 (see cl. 2(b))</w:t>
            </w:r>
          </w:p>
        </w:tc>
      </w:tr>
      <w:tr>
        <w:tc>
          <w:tcPr>
            <w:tcW w:w="3118" w:type="dxa"/>
            <w:tcBorders>
              <w:top w:val="nil"/>
              <w:bottom w:val="nil"/>
            </w:tcBorders>
          </w:tcPr>
          <w:p>
            <w:pPr>
              <w:pStyle w:val="nTable"/>
              <w:keepNext/>
              <w:spacing w:after="40"/>
              <w:rPr>
                <w:i/>
              </w:rPr>
            </w:pPr>
            <w:r>
              <w:rPr>
                <w:i/>
              </w:rPr>
              <w:t>Health Services (Fees and Charges) Amendment Order 2022</w:t>
            </w:r>
          </w:p>
        </w:tc>
        <w:tc>
          <w:tcPr>
            <w:tcW w:w="1276" w:type="dxa"/>
            <w:tcBorders>
              <w:top w:val="nil"/>
              <w:bottom w:val="nil"/>
            </w:tcBorders>
          </w:tcPr>
          <w:p>
            <w:pPr>
              <w:pStyle w:val="nTable"/>
              <w:spacing w:after="40"/>
            </w:pPr>
            <w:r>
              <w:t>SL 2022/9 11 Feb 2022</w:t>
            </w:r>
          </w:p>
        </w:tc>
        <w:tc>
          <w:tcPr>
            <w:tcW w:w="2693" w:type="dxa"/>
            <w:tcBorders>
              <w:top w:val="nil"/>
              <w:bottom w:val="nil"/>
            </w:tcBorders>
          </w:tcPr>
          <w:p>
            <w:pPr>
              <w:pStyle w:val="nTable"/>
              <w:spacing w:after="40"/>
            </w:pPr>
            <w:r>
              <w:t>cl. 1 and 2: 11 Feb 2022 (see cl. 2(a));</w:t>
            </w:r>
            <w:r>
              <w:br/>
              <w:t>Order other than cl. 1 and 2: 12 Feb 2022 (see cl. 2(b))</w:t>
            </w:r>
          </w:p>
        </w:tc>
      </w:tr>
      <w:tr>
        <w:tc>
          <w:tcPr>
            <w:tcW w:w="3118" w:type="dxa"/>
            <w:tcBorders>
              <w:top w:val="nil"/>
              <w:bottom w:val="nil"/>
            </w:tcBorders>
          </w:tcPr>
          <w:p>
            <w:pPr>
              <w:pStyle w:val="nTable"/>
              <w:keepNext/>
              <w:spacing w:after="40"/>
              <w:rPr>
                <w:i/>
              </w:rPr>
            </w:pPr>
            <w:r>
              <w:rPr>
                <w:i/>
              </w:rPr>
              <w:t>Health Services (Fees and Charges) Amendment Order (No. 2) 2022</w:t>
            </w:r>
          </w:p>
        </w:tc>
        <w:tc>
          <w:tcPr>
            <w:tcW w:w="1276" w:type="dxa"/>
            <w:tcBorders>
              <w:top w:val="nil"/>
              <w:bottom w:val="nil"/>
            </w:tcBorders>
          </w:tcPr>
          <w:p>
            <w:pPr>
              <w:pStyle w:val="nTable"/>
              <w:spacing w:after="40"/>
            </w:pPr>
            <w:r>
              <w:t>SL 2022/55 20 May 2022</w:t>
            </w:r>
          </w:p>
        </w:tc>
        <w:tc>
          <w:tcPr>
            <w:tcW w:w="2693" w:type="dxa"/>
            <w:tcBorders>
              <w:top w:val="nil"/>
              <w:bottom w:val="nil"/>
            </w:tcBorders>
          </w:tcPr>
          <w:p>
            <w:pPr>
              <w:pStyle w:val="nTable"/>
              <w:spacing w:after="40"/>
            </w:pPr>
            <w:r>
              <w:t>cl. 1 and 2: 20 May 2022 (see cl. 2(a));</w:t>
            </w:r>
            <w:r>
              <w:br/>
              <w:t>Order other than cl. 1 and 2: 21 May 2022 (see cl. 2(b))</w:t>
            </w:r>
          </w:p>
        </w:tc>
      </w:tr>
      <w:tr>
        <w:tc>
          <w:tcPr>
            <w:tcW w:w="3118" w:type="dxa"/>
            <w:tcBorders>
              <w:top w:val="nil"/>
              <w:bottom w:val="nil"/>
            </w:tcBorders>
          </w:tcPr>
          <w:p>
            <w:pPr>
              <w:pStyle w:val="nTable"/>
              <w:keepNext/>
              <w:spacing w:after="40"/>
              <w:rPr>
                <w:i/>
              </w:rPr>
            </w:pPr>
            <w:r>
              <w:rPr>
                <w:i/>
              </w:rPr>
              <w:t>Health Services (Fees and Charges) Amendment Order (No. 3) 2022</w:t>
            </w:r>
          </w:p>
        </w:tc>
        <w:tc>
          <w:tcPr>
            <w:tcW w:w="1276" w:type="dxa"/>
            <w:tcBorders>
              <w:top w:val="nil"/>
              <w:bottom w:val="nil"/>
            </w:tcBorders>
          </w:tcPr>
          <w:p>
            <w:pPr>
              <w:pStyle w:val="nTable"/>
              <w:spacing w:after="40"/>
            </w:pPr>
            <w:r>
              <w:t>SL 2022/110 28 Jun 2022</w:t>
            </w:r>
          </w:p>
        </w:tc>
        <w:tc>
          <w:tcPr>
            <w:tcW w:w="2693" w:type="dxa"/>
            <w:tcBorders>
              <w:top w:val="nil"/>
              <w:bottom w:val="nil"/>
            </w:tcBorders>
          </w:tcPr>
          <w:p>
            <w:pPr>
              <w:pStyle w:val="nTable"/>
              <w:spacing w:after="40"/>
            </w:pPr>
            <w:r>
              <w:t>cl. 1 and 2: 28 Jun 2022 (see cl. 2(a));</w:t>
            </w:r>
            <w:r>
              <w:br/>
              <w:t>Order other than cl. 1 and 2: 1 Jul 2022 (see cl. 2(b))</w:t>
            </w:r>
          </w:p>
        </w:tc>
      </w:tr>
      <w:tr>
        <w:tc>
          <w:tcPr>
            <w:tcW w:w="3118" w:type="dxa"/>
            <w:tcBorders>
              <w:top w:val="nil"/>
              <w:bottom w:val="single" w:sz="4" w:space="0" w:color="auto"/>
            </w:tcBorders>
          </w:tcPr>
          <w:p>
            <w:pPr>
              <w:pStyle w:val="nTable"/>
              <w:keepNext/>
              <w:spacing w:after="40"/>
              <w:rPr>
                <w:i/>
              </w:rPr>
            </w:pPr>
            <w:r>
              <w:rPr>
                <w:i/>
              </w:rPr>
              <w:t>Health Services (Fees and Charges) Amendment Order (No. 4) 2022</w:t>
            </w:r>
          </w:p>
        </w:tc>
        <w:tc>
          <w:tcPr>
            <w:tcW w:w="1276" w:type="dxa"/>
            <w:tcBorders>
              <w:top w:val="nil"/>
              <w:bottom w:val="single" w:sz="4" w:space="0" w:color="auto"/>
            </w:tcBorders>
          </w:tcPr>
          <w:p>
            <w:pPr>
              <w:pStyle w:val="nTable"/>
              <w:spacing w:after="40"/>
            </w:pPr>
            <w:r>
              <w:t>SL 2022/166 18 Oct 2022</w:t>
            </w:r>
          </w:p>
        </w:tc>
        <w:tc>
          <w:tcPr>
            <w:tcW w:w="2693" w:type="dxa"/>
            <w:tcBorders>
              <w:top w:val="nil"/>
              <w:bottom w:val="single" w:sz="4" w:space="0" w:color="auto"/>
            </w:tcBorders>
          </w:tcPr>
          <w:p>
            <w:pPr>
              <w:pStyle w:val="nTable"/>
              <w:spacing w:after="40"/>
            </w:pPr>
            <w:r>
              <w:t>cl. 1 and 2: 18 Oct 2022 (see cl. 2(a));</w:t>
            </w:r>
            <w:r>
              <w:br/>
              <w:t>Order other than cl. 1 and 2: 19 Oct 2022 (see cl. 2(b))</w:t>
            </w:r>
          </w:p>
        </w:tc>
      </w:tr>
    </w:tbl>
    <w:p/>
    <w:p>
      <w:pPr>
        <w:sectPr>
          <w:headerReference w:type="even" r:id="rId27"/>
          <w:headerReference w:type="default" r:id="rId28"/>
          <w:pgSz w:w="11907" w:h="16840" w:code="9"/>
          <w:pgMar w:top="2376" w:right="2404" w:bottom="3544" w:left="2404" w:header="720" w:footer="3380" w:gutter="0"/>
          <w:cols w:space="720"/>
          <w:noEndnote/>
          <w:docGrid w:linePitch="326"/>
        </w:sectPr>
      </w:pPr>
    </w:p>
    <w:p>
      <w:pPr>
        <w:pStyle w:val="nHeading2"/>
        <w:rPr>
          <w:sz w:val="28"/>
        </w:rPr>
      </w:pPr>
      <w:bookmarkStart w:id="113" w:name="_Toc116477387"/>
      <w:bookmarkStart w:id="114" w:name="_Toc116478918"/>
      <w:bookmarkStart w:id="115" w:name="_Toc116480684"/>
      <w:bookmarkStart w:id="116" w:name="_Toc116481090"/>
      <w:bookmarkStart w:id="117" w:name="_Toc116481949"/>
      <w:r>
        <w:rPr>
          <w:sz w:val="28"/>
        </w:rPr>
        <w:lastRenderedPageBreak/>
        <w:t>Defined terms</w:t>
      </w:r>
      <w:bookmarkEnd w:id="113"/>
      <w:bookmarkEnd w:id="114"/>
      <w:bookmarkEnd w:id="115"/>
      <w:bookmarkEnd w:id="116"/>
      <w:bookmarkEnd w:id="1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adult chargeable patient</w:t>
      </w:r>
      <w:r>
        <w:tab/>
        <w:t>9(1)</w:t>
      </w:r>
    </w:p>
    <w:p>
      <w:pPr>
        <w:pStyle w:val="DefinedTerms"/>
      </w:pPr>
      <w:r>
        <w:t>Benefits Schedule</w:t>
      </w:r>
      <w:r>
        <w:tab/>
        <w:t>3(1)</w:t>
      </w:r>
    </w:p>
    <w:p>
      <w:pPr>
        <w:pStyle w:val="DefinedTerms"/>
      </w:pPr>
      <w:r>
        <w:t>chargeable patient</w:t>
      </w:r>
      <w:r>
        <w:tab/>
        <w:t>9(1)</w:t>
      </w:r>
    </w:p>
    <w:p>
      <w:pPr>
        <w:pStyle w:val="DefinedTerms"/>
      </w:pPr>
      <w:r>
        <w:t>child chargeable patient</w:t>
      </w:r>
      <w:r>
        <w:tab/>
        <w:t>9(1)</w:t>
      </w:r>
    </w:p>
    <w:p>
      <w:pPr>
        <w:pStyle w:val="DefinedTerms"/>
      </w:pPr>
      <w:r>
        <w:t>compensable day patient</w:t>
      </w:r>
      <w:r>
        <w:tab/>
        <w:t>3(1)</w:t>
      </w:r>
    </w:p>
    <w:p>
      <w:pPr>
        <w:pStyle w:val="DefinedTerms"/>
      </w:pPr>
      <w:r>
        <w:t>compensable in-patient</w:t>
      </w:r>
      <w:r>
        <w:tab/>
        <w:t>3(1)</w:t>
      </w:r>
    </w:p>
    <w:p>
      <w:pPr>
        <w:pStyle w:val="DefinedTerms"/>
      </w:pPr>
      <w:r>
        <w:t>compensable out-patient</w:t>
      </w:r>
      <w:r>
        <w:tab/>
        <w:t>3(1)</w:t>
      </w:r>
    </w:p>
    <w:p>
      <w:pPr>
        <w:pStyle w:val="DefinedTerms"/>
      </w:pPr>
      <w:r>
        <w:t>compensable same day patient</w:t>
      </w:r>
      <w:r>
        <w:tab/>
        <w:t>3(1)</w:t>
      </w:r>
    </w:p>
    <w:p>
      <w:pPr>
        <w:pStyle w:val="DefinedTerms"/>
      </w:pPr>
      <w:r>
        <w:t>concessional beneficiary</w:t>
      </w:r>
      <w:r>
        <w:tab/>
        <w:t>3(1)</w:t>
      </w:r>
    </w:p>
    <w:p>
      <w:pPr>
        <w:pStyle w:val="DefinedTerms"/>
      </w:pPr>
      <w:r>
        <w:t>day hospital</w:t>
      </w:r>
      <w:r>
        <w:tab/>
        <w:t>3(1)</w:t>
      </w:r>
    </w:p>
    <w:p>
      <w:pPr>
        <w:pStyle w:val="DefinedTerms"/>
      </w:pPr>
      <w:r>
        <w:t>day patient</w:t>
      </w:r>
      <w:r>
        <w:tab/>
        <w:t>3(1)</w:t>
      </w:r>
    </w:p>
    <w:p>
      <w:pPr>
        <w:pStyle w:val="DefinedTerms"/>
      </w:pPr>
      <w:r>
        <w:t>DVA arrangement</w:t>
      </w:r>
      <w:r>
        <w:tab/>
        <w:t>3(1)</w:t>
      </w:r>
    </w:p>
    <w:p>
      <w:pPr>
        <w:pStyle w:val="DefinedTerms"/>
      </w:pPr>
      <w:r>
        <w:t>eligible day patient</w:t>
      </w:r>
      <w:r>
        <w:tab/>
        <w:t>3(1)</w:t>
      </w:r>
    </w:p>
    <w:p>
      <w:pPr>
        <w:pStyle w:val="DefinedTerms"/>
      </w:pPr>
      <w:r>
        <w:t>eligible out-patient</w:t>
      </w:r>
      <w:r>
        <w:tab/>
        <w:t>3(1)</w:t>
      </w:r>
    </w:p>
    <w:p>
      <w:pPr>
        <w:pStyle w:val="DefinedTerms"/>
      </w:pPr>
      <w:r>
        <w:t>eligible person</w:t>
      </w:r>
      <w:r>
        <w:tab/>
        <w:t>3(1)</w:t>
      </w:r>
    </w:p>
    <w:p>
      <w:pPr>
        <w:pStyle w:val="DefinedTerms"/>
      </w:pPr>
      <w:r>
        <w:t>eligible veteran in-patient</w:t>
      </w:r>
      <w:r>
        <w:tab/>
        <w:t>3(1)</w:t>
      </w:r>
    </w:p>
    <w:p>
      <w:pPr>
        <w:pStyle w:val="DefinedTerms"/>
      </w:pPr>
      <w:r>
        <w:t>eligible veteran out-patient</w:t>
      </w:r>
      <w:r>
        <w:tab/>
        <w:t>3(1)</w:t>
      </w:r>
    </w:p>
    <w:p>
      <w:pPr>
        <w:pStyle w:val="DefinedTerms"/>
      </w:pPr>
      <w:r>
        <w:t>eligible veteran same day patient</w:t>
      </w:r>
      <w:r>
        <w:tab/>
        <w:t>3(1)</w:t>
      </w:r>
    </w:p>
    <w:p>
      <w:pPr>
        <w:pStyle w:val="DefinedTerms"/>
      </w:pPr>
      <w:r>
        <w:t>entitlement card</w:t>
      </w:r>
      <w:r>
        <w:tab/>
        <w:t>3(1)</w:t>
      </w:r>
    </w:p>
    <w:p>
      <w:pPr>
        <w:pStyle w:val="DefinedTerms"/>
      </w:pPr>
      <w:r>
        <w:t>Gold Card</w:t>
      </w:r>
      <w:r>
        <w:tab/>
        <w:t>3(1)</w:t>
      </w:r>
    </w:p>
    <w:p>
      <w:pPr>
        <w:pStyle w:val="DefinedTerms"/>
      </w:pPr>
      <w:r>
        <w:t>hospital</w:t>
      </w:r>
      <w:r>
        <w:tab/>
        <w:t>3(1)</w:t>
      </w:r>
    </w:p>
    <w:p>
      <w:pPr>
        <w:pStyle w:val="DefinedTerms"/>
      </w:pPr>
      <w:r>
        <w:t>hospital bed</w:t>
      </w:r>
      <w:r>
        <w:tab/>
        <w:t>3(1)</w:t>
      </w:r>
    </w:p>
    <w:p>
      <w:pPr>
        <w:pStyle w:val="DefinedTerms"/>
      </w:pPr>
      <w:r>
        <w:t>ineligible day patient</w:t>
      </w:r>
      <w:r>
        <w:tab/>
        <w:t>3(1)</w:t>
      </w:r>
    </w:p>
    <w:p>
      <w:pPr>
        <w:pStyle w:val="DefinedTerms"/>
      </w:pPr>
      <w:r>
        <w:t>ineligible in-patient</w:t>
      </w:r>
      <w:r>
        <w:tab/>
        <w:t>3(1)</w:t>
      </w:r>
    </w:p>
    <w:p>
      <w:pPr>
        <w:pStyle w:val="DefinedTerms"/>
      </w:pPr>
      <w:r>
        <w:t>ineligible out-patient</w:t>
      </w:r>
      <w:r>
        <w:tab/>
        <w:t>3(1)</w:t>
      </w:r>
    </w:p>
    <w:p>
      <w:pPr>
        <w:pStyle w:val="DefinedTerms"/>
      </w:pPr>
      <w:r>
        <w:t>ineligible same day patient</w:t>
      </w:r>
      <w:r>
        <w:tab/>
        <w:t>3(1)</w:t>
      </w:r>
    </w:p>
    <w:p>
      <w:pPr>
        <w:pStyle w:val="DefinedTerms"/>
      </w:pPr>
      <w:r>
        <w:t>in-patient</w:t>
      </w:r>
      <w:r>
        <w:tab/>
        <w:t>3(1)</w:t>
      </w:r>
    </w:p>
    <w:p>
      <w:pPr>
        <w:pStyle w:val="DefinedTerms"/>
      </w:pPr>
      <w:r>
        <w:t>internal Territory</w:t>
      </w:r>
      <w:r>
        <w:tab/>
        <w:t>3(1)</w:t>
      </w:r>
    </w:p>
    <w:p>
      <w:pPr>
        <w:pStyle w:val="DefinedTerms"/>
      </w:pPr>
      <w:r>
        <w:t>listed amount</w:t>
      </w:r>
      <w:r>
        <w:tab/>
        <w:t>Sch. 1</w:t>
      </w:r>
    </w:p>
    <w:p>
      <w:pPr>
        <w:pStyle w:val="DefinedTerms"/>
      </w:pPr>
      <w:r>
        <w:t>MBS amount</w:t>
      </w:r>
      <w:r>
        <w:tab/>
        <w:t>Sch. 1</w:t>
      </w:r>
    </w:p>
    <w:p>
      <w:pPr>
        <w:pStyle w:val="DefinedTerms"/>
      </w:pPr>
      <w:r>
        <w:t>Medicare</w:t>
      </w:r>
      <w:r>
        <w:tab/>
        <w:t>3(1)</w:t>
      </w:r>
    </w:p>
    <w:p>
      <w:pPr>
        <w:pStyle w:val="DefinedTerms"/>
      </w:pPr>
      <w:r>
        <w:t>midwife</w:t>
      </w:r>
      <w:r>
        <w:tab/>
        <w:t>3(1)</w:t>
      </w:r>
    </w:p>
    <w:p>
      <w:pPr>
        <w:pStyle w:val="DefinedTerms"/>
      </w:pPr>
      <w:r>
        <w:t>midwifery service</w:t>
      </w:r>
      <w:r>
        <w:tab/>
        <w:t>3(1)</w:t>
      </w:r>
    </w:p>
    <w:p>
      <w:pPr>
        <w:pStyle w:val="DefinedTerms"/>
      </w:pPr>
      <w:r>
        <w:t>National Health Act</w:t>
      </w:r>
      <w:r>
        <w:tab/>
        <w:t>3(1)</w:t>
      </w:r>
    </w:p>
    <w:p>
      <w:pPr>
        <w:pStyle w:val="DefinedTerms"/>
      </w:pPr>
      <w:r>
        <w:t>nursing home bed</w:t>
      </w:r>
      <w:r>
        <w:tab/>
        <w:t>3(1)</w:t>
      </w:r>
    </w:p>
    <w:p>
      <w:pPr>
        <w:pStyle w:val="DefinedTerms"/>
      </w:pPr>
      <w:r>
        <w:t>nursing home type patient</w:t>
      </w:r>
      <w:r>
        <w:tab/>
        <w:t>3(1)</w:t>
      </w:r>
    </w:p>
    <w:p>
      <w:pPr>
        <w:pStyle w:val="DefinedTerms"/>
      </w:pPr>
      <w:r>
        <w:t>nursing home type private patient</w:t>
      </w:r>
      <w:r>
        <w:tab/>
        <w:t>3(1)</w:t>
      </w:r>
    </w:p>
    <w:p>
      <w:pPr>
        <w:pStyle w:val="DefinedTerms"/>
      </w:pPr>
      <w:r>
        <w:t>out-patient</w:t>
      </w:r>
      <w:r>
        <w:tab/>
        <w:t>3(1)</w:t>
      </w:r>
    </w:p>
    <w:p>
      <w:pPr>
        <w:pStyle w:val="DefinedTerms"/>
      </w:pPr>
      <w:r>
        <w:t>participating hospital</w:t>
      </w:r>
      <w:r>
        <w:tab/>
        <w:t>3(1)</w:t>
      </w:r>
    </w:p>
    <w:p>
      <w:pPr>
        <w:pStyle w:val="DefinedTerms"/>
      </w:pPr>
      <w:r>
        <w:t>PBS list</w:t>
      </w:r>
      <w:r>
        <w:tab/>
        <w:t>3(1)</w:t>
      </w:r>
    </w:p>
    <w:p>
      <w:pPr>
        <w:pStyle w:val="DefinedTerms"/>
      </w:pPr>
      <w:r>
        <w:lastRenderedPageBreak/>
        <w:t>PBS price</w:t>
      </w:r>
      <w:r>
        <w:tab/>
        <w:t>3(1)</w:t>
      </w:r>
    </w:p>
    <w:p>
      <w:pPr>
        <w:pStyle w:val="DefinedTerms"/>
      </w:pPr>
      <w:r>
        <w:t>pensioner</w:t>
      </w:r>
      <w:r>
        <w:tab/>
        <w:t>3(1)</w:t>
      </w:r>
    </w:p>
    <w:p>
      <w:pPr>
        <w:pStyle w:val="DefinedTerms"/>
      </w:pPr>
      <w:r>
        <w:t>pensioner concession card</w:t>
      </w:r>
      <w:r>
        <w:tab/>
        <w:t>3(1)</w:t>
      </w:r>
    </w:p>
    <w:p>
      <w:pPr>
        <w:pStyle w:val="DefinedTerms"/>
      </w:pPr>
      <w:r>
        <w:t>private in-patient</w:t>
      </w:r>
      <w:r>
        <w:tab/>
        <w:t>3(1)</w:t>
      </w:r>
    </w:p>
    <w:p>
      <w:pPr>
        <w:pStyle w:val="DefinedTerms"/>
      </w:pPr>
      <w:r>
        <w:t>private pathology out-patient</w:t>
      </w:r>
      <w:r>
        <w:tab/>
        <w:t>3(1)</w:t>
      </w:r>
    </w:p>
    <w:p>
      <w:pPr>
        <w:pStyle w:val="DefinedTerms"/>
      </w:pPr>
      <w:r>
        <w:t>private same day patient</w:t>
      </w:r>
      <w:r>
        <w:tab/>
        <w:t>3(1)</w:t>
      </w:r>
    </w:p>
    <w:p>
      <w:pPr>
        <w:pStyle w:val="DefinedTerms"/>
      </w:pPr>
      <w:r>
        <w:t>professional service</w:t>
      </w:r>
      <w:r>
        <w:tab/>
        <w:t>3(1)</w:t>
      </w:r>
    </w:p>
    <w:p>
      <w:pPr>
        <w:pStyle w:val="DefinedTerms"/>
      </w:pPr>
      <w:r>
        <w:t>Prostheses List</w:t>
      </w:r>
      <w:r>
        <w:tab/>
        <w:t>Sch. 1</w:t>
      </w:r>
    </w:p>
    <w:p>
      <w:pPr>
        <w:pStyle w:val="DefinedTerms"/>
      </w:pPr>
      <w:r>
        <w:t>provider hospital</w:t>
      </w:r>
      <w:r>
        <w:tab/>
        <w:t>7(1), 10(1)</w:t>
      </w:r>
    </w:p>
    <w:p>
      <w:pPr>
        <w:pStyle w:val="DefinedTerms"/>
      </w:pPr>
      <w:r>
        <w:t>public in-patient</w:t>
      </w:r>
      <w:r>
        <w:tab/>
        <w:t>3(1)</w:t>
      </w:r>
    </w:p>
    <w:p>
      <w:pPr>
        <w:pStyle w:val="DefinedTerms"/>
      </w:pPr>
      <w:r>
        <w:t>public same day patient</w:t>
      </w:r>
      <w:r>
        <w:tab/>
        <w:t>3(1)</w:t>
      </w:r>
    </w:p>
    <w:p>
      <w:pPr>
        <w:pStyle w:val="DefinedTerms"/>
      </w:pPr>
      <w:r>
        <w:t>same day patient</w:t>
      </w:r>
      <w:r>
        <w:tab/>
        <w:t>3(1)</w:t>
      </w:r>
    </w:p>
    <w:p>
      <w:pPr>
        <w:pStyle w:val="DefinedTerms"/>
      </w:pPr>
      <w:r>
        <w:t xml:space="preserve">surgically implanted prosthesis </w:t>
      </w:r>
      <w:r>
        <w:tab/>
        <w:t>3(1)</w:t>
      </w:r>
    </w:p>
    <w:p>
      <w:pPr>
        <w:pStyle w:val="DefinedTerms"/>
      </w:pPr>
      <w:r>
        <w:t>veteran</w:t>
      </w:r>
      <w:r>
        <w:tab/>
        <w:t>3(1)</w:t>
      </w:r>
    </w:p>
    <w:p>
      <w:pPr>
        <w:pStyle w:val="DefinedTerms"/>
      </w:pPr>
      <w:r>
        <w:t>White Card</w:t>
      </w:r>
      <w:r>
        <w:tab/>
        <w:t>3(1)</w:t>
      </w:r>
    </w:p>
    <w:p/>
    <w:p>
      <w:pPr>
        <w:sectPr>
          <w:headerReference w:type="even" r:id="rId29"/>
          <w:headerReference w:type="default" r:id="rId30"/>
          <w:pgSz w:w="11907" w:h="16840" w:code="9"/>
          <w:pgMar w:top="2381" w:right="2409" w:bottom="3543" w:left="2409" w:header="720" w:footer="3380" w:gutter="0"/>
          <w:cols w:space="720"/>
          <w:noEndnote/>
          <w:docGrid w:linePitch="326"/>
        </w:sectPr>
      </w:pPr>
    </w:p>
    <w:p/>
    <w:sectPr>
      <w:headerReference w:type="even" r:id="rId31"/>
      <w:headerReference w:type="default" r:id="rId32"/>
      <w:footerReference w:type="even" r:id="rId33"/>
      <w:footerReference w:type="default" r:id="rId34"/>
      <w:headerReference w:type="first" r:id="rId35"/>
      <w:footerReference w:type="first" r:id="rId36"/>
      <w:endnotePr>
        <w:numFmt w:val="decimal"/>
      </w:endnotePr>
      <w:type w:val="continuous"/>
      <w:pgSz w:w="11907" w:h="16840" w:code="9"/>
      <w:pgMar w:top="567" w:right="1701" w:bottom="567" w:left="1701"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00-af0-00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00-af0-00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19 Oct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19 Oct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00-af0-00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Cs/>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rPr>
        <w:jc w:val="center"/>
      </w:trPr>
      <w:tc>
        <w:tcPr>
          <w:tcW w:w="7258"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jc w:val="center"/>
      <w:tblLayout w:type="fixed"/>
      <w:tblCellMar>
        <w:left w:w="72" w:type="dxa"/>
        <w:right w:w="72" w:type="dxa"/>
      </w:tblCellMar>
      <w:tblLook w:val="0000" w:firstRow="0" w:lastRow="0" w:firstColumn="0" w:lastColumn="0" w:noHBand="0" w:noVBand="0"/>
    </w:tblPr>
    <w:tblGrid>
      <w:gridCol w:w="5797"/>
      <w:gridCol w:w="1466"/>
    </w:tblGrid>
    <w:tr>
      <w:trPr>
        <w:jc w:val="center"/>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rPr>
        <w:jc w:val="center"/>
      </w:trP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7160" w:type="dxa"/>
          <w:gridSpan w:val="2"/>
        </w:tcPr>
        <w:p>
          <w:pPr>
            <w:pStyle w:val="Header"/>
            <w:spacing w:before="40"/>
            <w:ind w:right="17"/>
            <w:jc w:val="right"/>
          </w:pPr>
        </w:p>
      </w:tc>
    </w:tr>
  </w:tbl>
  <w:p>
    <w:pPr>
      <w:pStyle w:val="Header"/>
      <w:pBdr>
        <w:top w:val="single" w:sz="4" w:space="1" w:color="auto"/>
      </w:pBdr>
    </w:pPr>
    <w:bookmarkStart w:id="105" w:name="Schedule"/>
    <w:bookmarkEnd w:id="105"/>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112" w:name="Compilation"/>
    <w:bookmarkEnd w:id="112"/>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fldChar w:fldCharType="begin"/>
          </w:r>
          <w:r>
            <w:instrText xml:space="preserve"> STYLEREF "nHeading 2" </w:instrText>
          </w:r>
          <w:r>
            <w:fldChar w:fldCharType="separate"/>
          </w:r>
          <w:r>
            <w:t>Notes</w:t>
          </w:r>
          <w:r>
            <w:fldChar w:fldCharType="end"/>
          </w:r>
        </w:p>
      </w:tc>
    </w:tr>
  </w:tbl>
  <w:p>
    <w:pPr>
      <w:pStyle w:val="Header"/>
      <w:pBdr>
        <w:top w:val="single" w:sz="4" w:space="1" w:color="auto"/>
      </w:pBdr>
    </w:pPr>
    <w:bookmarkStart w:id="118" w:name="DefinedTerms"/>
    <w:bookmarkEnd w:id="118"/>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19" w:name="Coversheet"/>
    <w:bookmarkEnd w:id="119"/>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rPr>
        <w:jc w:val="center"/>
      </w:trP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instrText>"</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jc w:val="center"/>
      </w:trPr>
      <w:tc>
        <w:tcPr>
          <w:tcW w:w="7263"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spacing w:before="40"/>
            <w:jc w:val="right"/>
          </w:pPr>
          <w:r>
            <w:rPr>
              <w:b/>
              <w:i/>
            </w:rPr>
            <w:fldChar w:fldCharType="begin"/>
          </w:r>
          <w:r>
            <w:rPr>
              <w:b/>
              <w:i/>
            </w:rPr>
            <w:instrText xml:space="preserve"> STYLEREF "Name of Act/Reg" </w:instrText>
          </w:r>
          <w:r>
            <w:rPr>
              <w:b/>
              <w:i/>
            </w:rPr>
            <w:fldChar w:fldCharType="separate"/>
          </w:r>
          <w:r>
            <w:rPr>
              <w:b/>
              <w:i/>
            </w:rPr>
            <w:t>Health Services (Fees and Charges) Order 2016</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CharPartNo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CharPartNo </w:instrText>
          </w:r>
          <w:r>
            <w:rPr>
              <w:b/>
            </w:rPr>
            <w:fldChar w:fldCharType="end"/>
          </w:r>
          <w:r>
            <w:rPr>
              <w:b/>
            </w:rPr>
            <w:instrText>" "</w:instrText>
          </w:r>
          <w:r>
            <w:rPr>
              <w:b/>
            </w:rPr>
            <w:fldChar w:fldCharType="begin"/>
          </w:r>
          <w:r>
            <w:rPr>
              <w:b/>
            </w:rPr>
            <w:instrText xml:space="preserve"> STYLEREF CharPartNo </w:instrText>
          </w:r>
          <w:r>
            <w:rPr>
              <w:b/>
            </w:rPr>
            <w:fldChar w:fldCharType="separate"/>
          </w:r>
          <w:r>
            <w:rPr>
              <w:b/>
            </w:rPr>
            <w:instrText>Part</w:instrText>
          </w:r>
          <w:r>
            <w:rPr>
              <w:b/>
            </w:rPr>
            <w:fldChar w:fldCharType="end"/>
          </w:r>
          <w:r>
            <w:rPr>
              <w:b/>
            </w:rPr>
            <w:instrText xml:space="preserve"> </w:instrText>
          </w:r>
          <w:r>
            <w:rPr>
              <w:b/>
            </w:rPr>
            <w:fldChar w:fldCharType="begin"/>
          </w:r>
          <w:r>
            <w:rPr>
              <w:b/>
            </w:rPr>
            <w:instrText xml:space="preserve"> STYLEREF CharPartNo \n </w:instrText>
          </w:r>
          <w:r>
            <w:rPr>
              <w:b/>
            </w:rPr>
            <w:fldChar w:fldCharType="separate"/>
          </w:r>
          <w:r>
            <w:rPr>
              <w:b/>
            </w:rPr>
            <w:instrText>3</w:instrText>
          </w:r>
          <w:r>
            <w:rPr>
              <w:b/>
            </w:rPr>
            <w:fldChar w:fldCharType="end"/>
          </w:r>
          <w:r>
            <w:rPr>
              <w:b/>
            </w:rPr>
            <w:instrText>"</w:instrText>
          </w:r>
          <w:r>
            <w:rPr>
              <w:b/>
            </w:rPr>
            <w:fldChar w:fldCharType="end"/>
          </w:r>
        </w:p>
      </w:tc>
    </w:tr>
    <w:tr>
      <w:trPr>
        <w:jc w:val="center"/>
      </w:trPr>
      <w:tc>
        <w:tcPr>
          <w:tcW w:w="5715" w:type="dxa"/>
          <w:vAlign w:val="bottom"/>
        </w:tcPr>
        <w:p>
          <w:pPr>
            <w:pStyle w:val="Header"/>
            <w:jc w:val="right"/>
          </w:pPr>
          <w:r>
            <w:rPr>
              <w:b/>
            </w:rPr>
            <w:fldChar w:fldCharType="begin"/>
          </w:r>
          <w:r>
            <w:rPr>
              <w:b/>
            </w:rPr>
            <w:instrText xml:space="preserve"> styleref CharDivText </w:instrText>
          </w:r>
          <w:r>
            <w:rPr>
              <w:b/>
            </w:rPr>
            <w:fldChar w:fldCharType="end"/>
          </w:r>
        </w:p>
      </w:tc>
      <w:tc>
        <w:tcPr>
          <w:tcW w:w="1548" w:type="dxa"/>
        </w:tcPr>
        <w:p>
          <w:pPr>
            <w:pStyle w:val="Header"/>
            <w:spacing w:before="40"/>
            <w:jc w:val="right"/>
          </w:pPr>
          <w:r>
            <w:rPr>
              <w:b/>
            </w:rPr>
            <w:fldChar w:fldCharType="begin"/>
          </w:r>
          <w:r>
            <w:rPr>
              <w:b/>
            </w:rPr>
            <w:instrText xml:space="preserve"> IF </w:instrText>
          </w:r>
          <w:r>
            <w:rPr>
              <w:b/>
            </w:rPr>
            <w:fldChar w:fldCharType="begin"/>
          </w:r>
          <w:r>
            <w:rPr>
              <w:b/>
            </w:rPr>
            <w:instrText xml:space="preserve"> STYLEREF CharDivNo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CharDivNo </w:instrText>
          </w:r>
          <w:r>
            <w:rPr>
              <w:b/>
            </w:rPr>
            <w:fldChar w:fldCharType="end"/>
          </w:r>
          <w:r>
            <w:rPr>
              <w:b/>
            </w:rPr>
            <w:instrText>" "</w:instrText>
          </w:r>
          <w:r>
            <w:rPr>
              <w:b/>
            </w:rPr>
            <w:fldChar w:fldCharType="begin"/>
          </w:r>
          <w:r>
            <w:rPr>
              <w:b/>
            </w:rPr>
            <w:instrText xml:space="preserve"> STYLEREF CharDivNo </w:instrText>
          </w:r>
          <w:r>
            <w:rPr>
              <w:b/>
            </w:rPr>
            <w:fldChar w:fldCharType="separate"/>
          </w:r>
          <w:r>
            <w:rPr>
              <w:b/>
            </w:rPr>
            <w:instrText>Division</w:instrText>
          </w:r>
          <w:r>
            <w:rPr>
              <w:b/>
            </w:rPr>
            <w:fldChar w:fldCharType="end"/>
          </w:r>
          <w:r>
            <w:rPr>
              <w:b/>
            </w:rPr>
            <w:instrText xml:space="preserve"> </w:instrText>
          </w:r>
          <w:r>
            <w:rPr>
              <w:b/>
            </w:rPr>
            <w:fldChar w:fldCharType="begin"/>
          </w:r>
          <w:r>
            <w:rPr>
              <w:b/>
            </w:rPr>
            <w:instrText xml:space="preserve"> STYLEREF CharDivNo \n </w:instrText>
          </w:r>
          <w:r>
            <w:rPr>
              <w:b/>
            </w:rPr>
            <w:fldChar w:fldCharType="separate"/>
          </w:r>
          <w:r>
            <w:rPr>
              <w:b/>
            </w:rPr>
            <w:instrText>1</w:instrText>
          </w:r>
          <w:r>
            <w:rPr>
              <w:b/>
            </w:rPr>
            <w:fldChar w:fldCharType="end"/>
          </w:r>
          <w:r>
            <w:rPr>
              <w:b/>
            </w:rPr>
            <w:instrText>"</w:instrText>
          </w:r>
          <w:r>
            <w:rPr>
              <w:b/>
            </w:rPr>
            <w:fldChar w:fldCharType="end"/>
          </w:r>
        </w:p>
      </w:tc>
    </w:tr>
    <w:tr>
      <w:trPr>
        <w:cantSplit/>
        <w:jc w:val="center"/>
      </w:trPr>
      <w:tc>
        <w:tcPr>
          <w:tcW w:w="7263" w:type="dxa"/>
          <w:gridSpan w:val="2"/>
        </w:tcPr>
        <w:p>
          <w:pPr>
            <w:pStyle w:val="Header"/>
            <w:spacing w:before="40"/>
            <w:jc w:val="right"/>
          </w:pPr>
          <w:r>
            <w:rPr>
              <w:b/>
            </w:rPr>
            <w:t xml:space="preserve">cl. </w:t>
          </w:r>
          <w:r>
            <w:rPr>
              <w:b/>
            </w:rPr>
            <w:fldChar w:fldCharType="begin"/>
          </w:r>
          <w:r>
            <w:rPr>
              <w:b/>
            </w:rPr>
            <w:instrText xml:space="preserve"> IF </w:instrText>
          </w:r>
          <w:r>
            <w:rPr>
              <w:b/>
            </w:rPr>
            <w:fldChar w:fldCharType="begin"/>
          </w:r>
          <w:r>
            <w:rPr>
              <w:b/>
            </w:rPr>
            <w:instrText xml:space="preserve"> STYLEREF CharSectNo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CharSectNo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CharSectNo \n </w:instrText>
          </w:r>
          <w:r>
            <w:rPr>
              <w:b/>
            </w:rPr>
            <w:fldChar w:fldCharType="separate"/>
          </w:r>
          <w:r>
            <w:rPr>
              <w:b/>
            </w:rPr>
            <w:instrText>15</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F066C2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F88F7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E44E0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15A2A1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F54AD3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5784C55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56E670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7006F51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3E2D3D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A14993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1B9085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4CC03303"/>
    <w:multiLevelType w:val="singleLevel"/>
    <w:tmpl w:val="0809000F"/>
    <w:lvl w:ilvl="0">
      <w:start w:val="1"/>
      <w:numFmt w:val="decimal"/>
      <w:lvlText w:val="%1."/>
      <w:lvlJc w:val="left"/>
      <w:pPr>
        <w:tabs>
          <w:tab w:val="num" w:pos="360"/>
        </w:tabs>
        <w:ind w:left="360" w:hanging="360"/>
      </w:p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1"/>
  </w:num>
  <w:num w:numId="2">
    <w:abstractNumId w:val="12"/>
  </w:num>
  <w:num w:numId="3">
    <w:abstractNumId w:val="15"/>
  </w:num>
  <w:num w:numId="4">
    <w:abstractNumId w:val="14"/>
  </w:num>
  <w:num w:numId="5">
    <w:abstractNumId w:val="20"/>
  </w:num>
  <w:num w:numId="6">
    <w:abstractNumId w:val="23"/>
  </w:num>
  <w:num w:numId="7">
    <w:abstractNumId w:val="18"/>
  </w:num>
  <w:num w:numId="8">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isplayHorizontalDrawingGridEvery w:val="0"/>
  <w:displayVerticalDrawingGridEvery w:val="0"/>
  <w:doNotUseMarginsForDrawingGridOrigin/>
  <w:noPunctuationKerning/>
  <w:characterSpacingControl w:val="doNotCompress"/>
  <w:hdrShapeDefaults>
    <o:shapedefaults v:ext="edit" spidmax="219137"/>
  </w:hdrShapeDefaults>
  <w:footnotePr>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1012142718"/>
    <w:docVar w:name="WAFER_20150206084300" w:val="ResetPageSize"/>
    <w:docVar w:name="WAFER_20150206084300_GUID" w:val="de2fbc3d-acf0-43f4-a0fa-d2631ba8b5df"/>
    <w:docVar w:name="WAFER_20151016170500" w:val="UpdateStyles"/>
    <w:docVar w:name="WAFER_20151016170500_GUID" w:val="b265764f-9cc9-4051-b597-28966bcc0033"/>
    <w:docVar w:name="WAFER_20151016171156" w:val="UsedStyles"/>
    <w:docVar w:name="WAFER_20151016171156_GUID" w:val="65b8bf31-20ff-4e33-a7f5-3e8a982d38e1"/>
    <w:docVar w:name="WAFER_20151016171216" w:val="UpdateStyles"/>
    <w:docVar w:name="WAFER_20151016171216_GUID" w:val="6c2db7ef-daac-4b3e-9dc6-438f5d0ef0de"/>
    <w:docVar w:name="WAFER_20151019113755" w:val="UpdateStyles,UsedStyles"/>
    <w:docVar w:name="WAFER_20151019113755_GUID" w:val="94d94bff-48d8-4137-a72c-5fd727eea17c"/>
    <w:docVar w:name="WAFER_20151102150240" w:val="UpdateStyles,UsedStyles"/>
    <w:docVar w:name="WAFER_20151102150240_GUID" w:val="2391df09-cb41-4aa3-adeb-85763481adf4"/>
    <w:docVar w:name="WAFER_20160603125842" w:val="RemoveTocBookmarks,RemoveUnusedBookmarks,RemoveLanguageTags,UsedStyles,ResetPageSize"/>
    <w:docVar w:name="WAFER_20160603125842_GUID" w:val="d23c4e65-8fde-465c-8ede-ae51ade289e3"/>
    <w:docVar w:name="WAFER_20180201151927" w:val="RemoveTocBookmarks,RemoveUnusedBookmarks,RemoveLanguageTags,UsedStyles,ResetPageSize"/>
    <w:docVar w:name="WAFER_20180201151927_GUID" w:val="6f10a817-ba77-448f-bfac-abdc42e61dc2"/>
    <w:docVar w:name="WAFER_20180510142120" w:val="RemoveTocBookmarks,RemoveUnusedBookmarks,RemoveLanguageTags,UsedStyles,ResetPageSize"/>
    <w:docVar w:name="WAFER_20180510142120_GUID" w:val="65e00c45-5887-47e5-b722-45ecc6ff7da2"/>
    <w:docVar w:name="WAFER_20181113094022" w:val="RemoveTocBookmarks,RemoveUnusedBookmarks,RemoveLanguageTags,UsedStyles,ResetPageSize"/>
    <w:docVar w:name="WAFER_20181113094022_GUID" w:val="d2f35709-7e56-4e02-80aa-c6f6cd0d7880"/>
    <w:docVar w:name="WAFER_20181128112253" w:val="RemoveTocBookmarks,RemoveUnusedBookmarks,RemoveLanguageTags,UsedStyles,ResetPageSize"/>
    <w:docVar w:name="WAFER_20181128112253_GUID" w:val="67fa1a22-0485-44a2-b702-365d32abe7f8"/>
    <w:docVar w:name="WAFER_20190926143829" w:val="RemoveTocBookmarks,RemoveUnusedBookmarks,RemoveLanguageTags,ResetPageSize,RunningHeaders,UpdateStyles,UsedStyles"/>
    <w:docVar w:name="WAFER_20190926143829_GUID" w:val="0b61da81-39f6-4506-a5be-d6647ec4e8ab"/>
    <w:docVar w:name="WAFER_20200206090841" w:val="RemoveTocBookmarks,RemoveUnusedBookmarks,RemoveLanguageTags,RemoveSmartTags,ResetPageSize,RunningHeaders,UpdateStyles,UsedStyles"/>
    <w:docVar w:name="WAFER_20200206090841_GUID" w:val="edcd3703-b6f2-463f-a13b-d03c79e07450"/>
    <w:docVar w:name="WAFER_20200207105642" w:val="UpdateStyles.ProcessFixes,UpdateStyles.ProcessFixes"/>
    <w:docVar w:name="WAFER_20200207105642_GUID" w:val="b8fea31e-0f21-4252-b54f-df93e8388bda"/>
    <w:docVar w:name="WAFER_20200207111207" w:val="RemoveTocBookmarks.RemoveBookmarks,RemoveUnusedBookmarks.RemoveBookmarks,RemoveLanguageTags.RemoveTags,RemoveSmartTags.RemoveTags,ResetPageSize.Reset,RunningHeaders.Run,UpdateStyles.ProcessFixes,UpdateStyles.ProcessFixes,UpdateStyles.ProcessFixes,RemoveIncorrectStyles.ProcessStyles,RemoveIncorrectStyles.ProcessStyles,RemoveIncorrectStyles.ProcessStyles"/>
    <w:docVar w:name="WAFER_20200207111207_GUID" w:val="29ce963c-76b9-4216-807d-3278897778f1"/>
    <w:docVar w:name="WAFER_202003231041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323104131_GUID" w:val="6ac9f3f2-32a9-4c62-b58b-046a1760b92e"/>
    <w:docVar w:name="WAFER_202005181044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00518104425_GUID" w:val="3b24bc97-092f-447b-914e-e8b4b713a18a"/>
    <w:docVar w:name="WAFER_2020063009381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630093815_GUID" w:val="d0845b36-6ab5-4931-9c0b-4f71cdf20acf"/>
    <w:docVar w:name="WAFER_2021020809394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208093942_GUID" w:val="bec2515c-161e-4821-89c1-21e83f92850e"/>
    <w:docVar w:name="WAFER_20210406130049"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406130049_GUID" w:val="e936e66e-f2c0-4148-8f3c-8a2429ba7bae"/>
    <w:docVar w:name="WAFER_20210723141846"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0723141846_GUID" w:val="143e1963-c093-4a70-b444-67c91af17419"/>
    <w:docVar w:name="WAFER_20211122114802"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11122114802_GUID" w:val="a9239631-cbb3-4277-b332-d45a9f45e6a1"/>
    <w:docVar w:name="WAFER_20220207114700"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
    <w:docVar w:name="WAFER_20220207114700_GUID" w:val="08b13ac0-8301-4223-a280-7d7ebe1616fe"/>
    <w:docVar w:name="WAFER_202205171055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517105518_GUID" w:val="9ffc3b01-6232-47af-a1e2-ed8392d9d07c"/>
    <w:docVar w:name="WAFER_2022062810243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0628102438_GUID" w:val="45e6527c-bb57-4167-914a-6c26aed36479"/>
    <w:docVar w:name="WAFER_20221012142718" w:val="RemoveAutoUpdateStyles.CheckForAutoUpdateStyles,RemoveDocumentProtection.CheckForDocumentProtection,RemoveCustomizations.CheckForCustomization,RemoveBackground.CheckForBackground,ChangeTrackAuthors.CountDifferentAuthors,RemoveTocBookmarks.RemoveBookmarks,RemoveUnusedBookmarks.RemoveBookmarks,RemoveLanguageTags.RemoveTags,RemoveSmartTags.RemoveTags,ResetPageSize.Reset,RunningHeaders.Run,UpdateStyles.ProcessFixes,UpdateStyles.ProcessFixes,RemoveIncorrectStyles.ProcessStyles"/>
    <w:docVar w:name="WAFER_20221012142718_GUID" w:val="8f7059dd-31a3-46e3-b545-adb2360fd33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9137"/>
    <o:shapelayout v:ext="edit">
      <o:idmap v:ext="edit" data="1"/>
    </o:shapelayout>
  </w:shapeDefaults>
  <w:decimalSymbol w:val="."/>
  <w:listSeparator w:val=","/>
  <w15:docId w15:val="{5BED6F39-64F8-479F-921D-C5CCEFDC87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iPriority="39"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BlankClose">
    <w:name w:val="BlankClose"/>
    <w:basedOn w:val="Normal"/>
    <w:pPr>
      <w:keepLines/>
      <w:jc w:val="center"/>
    </w:pPr>
    <w:rPr>
      <w:szCs w:val="24"/>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right" w:pos="7088"/>
      </w:tabs>
      <w:spacing w:before="108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customStyle="1" w:styleId="SignatureText">
    <w:name w:val="SignatureText"/>
    <w:basedOn w:val="Normal"/>
  </w:style>
  <w:style w:type="paragraph" w:customStyle="1" w:styleId="ExCo">
    <w:name w:val="ExCo"/>
    <w:qFormat/>
    <w:rPr>
      <w:sz w:val="24"/>
    </w:rPr>
  </w:style>
  <w:style w:type="paragraph" w:customStyle="1" w:styleId="Certificate">
    <w:name w:val="Certificate"/>
    <w:qFormat/>
    <w:rPr>
      <w:sz w:val="24"/>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table" w:styleId="TableGrid">
    <w:name w:val="Table Grid"/>
    <w:basedOn w:val="TableNormal"/>
    <w:uiPriority w:val="59"/>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21" Type="http://schemas.openxmlformats.org/officeDocument/2006/relationships/header" Target="header7.xml"/><Relationship Id="rId34"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footer" Target="footer7.xm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18.xm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50FFC-637E-4D90-A64C-B995AD4E4A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7069</Words>
  <Characters>34075</Characters>
  <Application>Microsoft Office Word</Application>
  <DocSecurity>0</DocSecurity>
  <Lines>1262</Lines>
  <Paragraphs>806</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40338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Health Services (Fees and Charges) Order 2016 - 00-af0-00</dc:title>
  <dc:subject/>
  <dc:creator/>
  <cp:keywords/>
  <dc:description/>
  <cp:lastModifiedBy>Master Repository Process</cp:lastModifiedBy>
  <cp:revision>4</cp:revision>
  <cp:lastPrinted>2020-02-06T02:07:00Z</cp:lastPrinted>
  <dcterms:created xsi:type="dcterms:W3CDTF">2022-10-18T01:10:00Z</dcterms:created>
  <dcterms:modified xsi:type="dcterms:W3CDTF">2022-10-18T01:10:00Z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Type">
    <vt:lpwstr>Reg</vt:lpwstr>
  </property>
  <property fmtid="{D5CDD505-2E9C-101B-9397-08002B2CF9AE}" pid="3" name="RegID">
    <vt:i4>48245</vt:i4>
  </property>
  <property fmtid="{D5CDD505-2E9C-101B-9397-08002B2CF9AE}" pid="4" name="ID">
    <vt:lpwstr>1 Jul 2016 p 2775-811</vt:lpwstr>
  </property>
  <property fmtid="{D5CDD505-2E9C-101B-9397-08002B2CF9AE}" pid="5" name="AsAtDate">
    <vt:lpwstr>19 Oct 2022</vt:lpwstr>
  </property>
  <property fmtid="{D5CDD505-2E9C-101B-9397-08002B2CF9AE}" pid="6" name="Suffix">
    <vt:lpwstr>00-af0-00</vt:lpwstr>
  </property>
  <property fmtid="{D5CDD505-2E9C-101B-9397-08002B2CF9AE}" pid="7" name="CommencementDate">
    <vt:lpwstr>20221019</vt:lpwstr>
  </property>
</Properties>
</file>