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434"/>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and Disability Services (Complaints)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_Toc117776011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_Toc117776012 \h </w:instrText>
      </w:r>
      <w:r>
        <w:fldChar w:fldCharType="separate"/>
      </w:r>
      <w:r>
        <w:t>2</w:t>
      </w:r>
      <w:r>
        <w:fldChar w:fldCharType="end"/>
      </w:r>
    </w:p>
    <w:p>
      <w:pPr>
        <w:pStyle w:val="TOC8"/>
        <w:rPr>
          <w:rFonts w:asciiTheme="minorHAnsi" w:eastAsiaTheme="minorEastAsia" w:hAnsiTheme="minorHAnsi" w:cstheme="minorBidi"/>
          <w:szCs w:val="22"/>
        </w:rPr>
      </w:pPr>
      <w:r>
        <w:t>3A.</w:t>
      </w:r>
      <w:r>
        <w:tab/>
        <w:t>Act to be read with other legislation about health and disability complaints</w:t>
      </w:r>
      <w:r>
        <w:tab/>
      </w:r>
      <w:r>
        <w:fldChar w:fldCharType="begin"/>
      </w:r>
      <w:r>
        <w:instrText xml:space="preserve"> PAGEREF _Toc117776013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_Toc117776014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Guiding principles for the provision of health services</w:t>
      </w:r>
      <w:r>
        <w:tab/>
      </w:r>
      <w:r>
        <w:fldChar w:fldCharType="begin"/>
      </w:r>
      <w:r>
        <w:instrText xml:space="preserve"> PAGEREF _Toc117776015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_Toc117776016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arrangements</w:t>
      </w:r>
    </w:p>
    <w:p>
      <w:pPr>
        <w:pStyle w:val="TOC8"/>
        <w:rPr>
          <w:rFonts w:asciiTheme="minorHAnsi" w:eastAsiaTheme="minorEastAsia" w:hAnsiTheme="minorHAnsi" w:cstheme="minorBidi"/>
          <w:szCs w:val="22"/>
        </w:rPr>
      </w:pPr>
      <w:r>
        <w:t>6</w:t>
      </w:r>
      <w:r>
        <w:rPr>
          <w:snapToGrid w:val="0"/>
        </w:rPr>
        <w:t>.</w:t>
      </w:r>
      <w:r>
        <w:rPr>
          <w:snapToGrid w:val="0"/>
        </w:rPr>
        <w:tab/>
        <w:t>Health and Disability Services Complaints Office</w:t>
      </w:r>
      <w:r>
        <w:tab/>
      </w:r>
      <w:r>
        <w:fldChar w:fldCharType="begin"/>
      </w:r>
      <w:r>
        <w:instrText xml:space="preserve"> PAGEREF _Toc117776018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 of Office</w:t>
      </w:r>
      <w:r>
        <w:tab/>
      </w:r>
      <w:r>
        <w:fldChar w:fldCharType="begin"/>
      </w:r>
      <w:r>
        <w:instrText xml:space="preserve"> PAGEREF _Toc117776019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salary etc. of Director</w:t>
      </w:r>
      <w:r>
        <w:tab/>
      </w:r>
      <w:r>
        <w:fldChar w:fldCharType="begin"/>
      </w:r>
      <w:r>
        <w:instrText xml:space="preserve"> PAGEREF _Toc117776020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Judicial notice of Director’s appointment and signature</w:t>
      </w:r>
      <w:r>
        <w:tab/>
      </w:r>
      <w:r>
        <w:fldChar w:fldCharType="begin"/>
      </w:r>
      <w:r>
        <w:instrText xml:space="preserve"> PAGEREF _Toc117776021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Director’s functions</w:t>
      </w:r>
      <w:r>
        <w:tab/>
      </w:r>
      <w:r>
        <w:fldChar w:fldCharType="begin"/>
      </w:r>
      <w:r>
        <w:instrText xml:space="preserve"> PAGEREF _Toc117776022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give Director directions</w:t>
      </w:r>
      <w:r>
        <w:tab/>
      </w:r>
      <w:r>
        <w:fldChar w:fldCharType="begin"/>
      </w:r>
      <w:r>
        <w:instrText xml:space="preserve"> PAGEREF _Toc117776023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to have access to information</w:t>
      </w:r>
      <w:r>
        <w:tab/>
      </w:r>
      <w:r>
        <w:fldChar w:fldCharType="begin"/>
      </w:r>
      <w:r>
        <w:instrText xml:space="preserve"> PAGEREF _Toc117776024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Financial provisions</w:t>
      </w:r>
      <w:r>
        <w:tab/>
      </w:r>
      <w:r>
        <w:fldChar w:fldCharType="begin"/>
      </w:r>
      <w:r>
        <w:instrText xml:space="preserve"> PAGEREF _Toc117776025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Staff</w:t>
      </w:r>
      <w:r>
        <w:tab/>
      </w:r>
      <w:r>
        <w:fldChar w:fldCharType="begin"/>
      </w:r>
      <w:r>
        <w:instrText xml:space="preserve"> PAGEREF _Toc117776026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Consultants</w:t>
      </w:r>
      <w:r>
        <w:tab/>
      </w:r>
      <w:r>
        <w:fldChar w:fldCharType="begin"/>
      </w:r>
      <w:r>
        <w:instrText xml:space="preserve"> PAGEREF _Toc117776027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Use of other government staff etc.</w:t>
      </w:r>
      <w:r>
        <w:tab/>
      </w:r>
      <w:r>
        <w:fldChar w:fldCharType="begin"/>
      </w:r>
      <w:r>
        <w:instrText xml:space="preserve"> PAGEREF _Toc117776028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Oath of office by Director and staff</w:t>
      </w:r>
      <w:r>
        <w:tab/>
      </w:r>
      <w:r>
        <w:fldChar w:fldCharType="begin"/>
      </w:r>
      <w:r>
        <w:instrText xml:space="preserve"> PAGEREF _Toc117776029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Director</w:t>
      </w:r>
      <w:r>
        <w:tab/>
      </w:r>
      <w:r>
        <w:fldChar w:fldCharType="begin"/>
      </w:r>
      <w:r>
        <w:instrText xml:space="preserve"> PAGEREF _Toc117776030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Complaints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to complain conferred</w:t>
      </w:r>
    </w:p>
    <w:p>
      <w:pPr>
        <w:pStyle w:val="TOC8"/>
        <w:rPr>
          <w:rFonts w:asciiTheme="minorHAnsi" w:eastAsiaTheme="minorEastAsia" w:hAnsiTheme="minorHAnsi" w:cstheme="minorBidi"/>
          <w:szCs w:val="22"/>
        </w:rPr>
      </w:pPr>
      <w:r>
        <w:t>19</w:t>
      </w:r>
      <w:r>
        <w:rPr>
          <w:snapToGrid w:val="0"/>
        </w:rPr>
        <w:t>.</w:t>
      </w:r>
      <w:r>
        <w:rPr>
          <w:snapToGrid w:val="0"/>
        </w:rPr>
        <w:tab/>
        <w:t>Who may complain</w:t>
      </w:r>
      <w:r>
        <w:tab/>
      </w:r>
      <w:r>
        <w:fldChar w:fldCharType="begin"/>
      </w:r>
      <w:r>
        <w:instrText xml:space="preserve"> PAGEREF _Toc117776033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Representatives of users</w:t>
      </w:r>
      <w:r>
        <w:tab/>
      </w:r>
      <w:r>
        <w:fldChar w:fldCharType="begin"/>
      </w:r>
      <w:r>
        <w:instrText xml:space="preserve"> PAGEREF _Toc117776034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Representative not to be paid</w:t>
      </w:r>
      <w:r>
        <w:tab/>
      </w:r>
      <w:r>
        <w:fldChar w:fldCharType="begin"/>
      </w:r>
      <w:r>
        <w:instrText xml:space="preserve"> PAGEREF _Toc117776035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Provider may complain for user</w:t>
      </w:r>
      <w:r>
        <w:tab/>
      </w:r>
      <w:r>
        <w:fldChar w:fldCharType="begin"/>
      </w:r>
      <w:r>
        <w:instrText xml:space="preserve"> PAGEREF _Toc117776036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Complaints to public providers, referral under administrative instructions</w:t>
      </w:r>
      <w:r>
        <w:tab/>
      </w:r>
      <w:r>
        <w:fldChar w:fldCharType="begin"/>
      </w:r>
      <w:r>
        <w:instrText xml:space="preserve"> PAGEREF _Toc117776037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Time limit for complaints</w:t>
      </w:r>
      <w:r>
        <w:tab/>
      </w:r>
      <w:r>
        <w:fldChar w:fldCharType="begin"/>
      </w:r>
      <w:r>
        <w:instrText xml:space="preserve"> PAGEREF _Toc117776038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What complaints can be about</w:t>
      </w:r>
      <w:r>
        <w:tab/>
      </w:r>
      <w:r>
        <w:fldChar w:fldCharType="begin"/>
      </w:r>
      <w:r>
        <w:instrText xml:space="preserve"> PAGEREF _Toc117776039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Complaints that must be rejected</w:t>
      </w:r>
      <w:r>
        <w:tab/>
      </w:r>
      <w:r>
        <w:fldChar w:fldCharType="begin"/>
      </w:r>
      <w:r>
        <w:instrText xml:space="preserve"> PAGEREF _Toc117776040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Initial procedures</w:t>
      </w:r>
    </w:p>
    <w:p>
      <w:pPr>
        <w:pStyle w:val="TOC8"/>
        <w:rPr>
          <w:rFonts w:asciiTheme="minorHAnsi" w:eastAsiaTheme="minorEastAsia" w:hAnsiTheme="minorHAnsi" w:cstheme="minorBidi"/>
          <w:szCs w:val="22"/>
        </w:rPr>
      </w:pPr>
      <w:r>
        <w:t>27</w:t>
      </w:r>
      <w:r>
        <w:rPr>
          <w:snapToGrid w:val="0"/>
        </w:rPr>
        <w:t>.</w:t>
      </w:r>
      <w:r>
        <w:rPr>
          <w:snapToGrid w:val="0"/>
        </w:rPr>
        <w:tab/>
        <w:t>How to complain</w:t>
      </w:r>
      <w:r>
        <w:tab/>
      </w:r>
      <w:r>
        <w:fldChar w:fldCharType="begin"/>
      </w:r>
      <w:r>
        <w:instrText xml:space="preserve"> PAGEREF _Toc117776042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Referral of complaint where Act inapplicable</w:t>
      </w:r>
      <w:r>
        <w:tab/>
      </w:r>
      <w:r>
        <w:fldChar w:fldCharType="begin"/>
      </w:r>
      <w:r>
        <w:instrText xml:space="preserve"> PAGEREF _Toc117776043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Withdrawal of complaint</w:t>
      </w:r>
      <w:r>
        <w:tab/>
      </w:r>
      <w:r>
        <w:fldChar w:fldCharType="begin"/>
      </w:r>
      <w:r>
        <w:instrText xml:space="preserve"> PAGEREF _Toc117776044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User or carer must try to resolve matter</w:t>
      </w:r>
      <w:r>
        <w:tab/>
      </w:r>
      <w:r>
        <w:fldChar w:fldCharType="begin"/>
      </w:r>
      <w:r>
        <w:instrText xml:space="preserve"> PAGEREF _Toc117776045 \h </w:instrText>
      </w:r>
      <w:r>
        <w:fldChar w:fldCharType="separate"/>
      </w:r>
      <w:r>
        <w:t>19</w:t>
      </w:r>
      <w:r>
        <w:fldChar w:fldCharType="end"/>
      </w:r>
    </w:p>
    <w:p>
      <w:pPr>
        <w:pStyle w:val="TOC8"/>
        <w:rPr>
          <w:rFonts w:asciiTheme="minorHAnsi" w:eastAsiaTheme="minorEastAsia" w:hAnsiTheme="minorHAnsi" w:cstheme="minorBidi"/>
          <w:szCs w:val="22"/>
        </w:rPr>
      </w:pPr>
      <w:r>
        <w:t>31.</w:t>
      </w:r>
      <w:r>
        <w:tab/>
        <w:t xml:space="preserve">Complaints not dealt with by National Board under </w:t>
      </w:r>
      <w:r>
        <w:rPr>
          <w:i/>
          <w:iCs/>
        </w:rPr>
        <w:t>Health Practitioner Regulation National Law (Western Australia)</w:t>
      </w:r>
      <w:r>
        <w:tab/>
      </w:r>
      <w:r>
        <w:fldChar w:fldCharType="begin"/>
      </w:r>
      <w:r>
        <w:instrText xml:space="preserve"> PAGEREF _Toc117776046 \h </w:instrText>
      </w:r>
      <w:r>
        <w:fldChar w:fldCharType="separate"/>
      </w:r>
      <w:r>
        <w:t>20</w:t>
      </w:r>
      <w:r>
        <w:fldChar w:fldCharType="end"/>
      </w:r>
    </w:p>
    <w:p>
      <w:pPr>
        <w:pStyle w:val="TOC8"/>
        <w:rPr>
          <w:rFonts w:asciiTheme="minorHAnsi" w:eastAsiaTheme="minorEastAsia" w:hAnsiTheme="minorHAnsi" w:cstheme="minorBidi"/>
          <w:szCs w:val="22"/>
        </w:rPr>
      </w:pPr>
      <w:r>
        <w:t>32A.</w:t>
      </w:r>
      <w:r>
        <w:tab/>
        <w:t>Notice that complaint being dealt with by National Board</w:t>
      </w:r>
      <w:r>
        <w:tab/>
      </w:r>
      <w:r>
        <w:fldChar w:fldCharType="begin"/>
      </w:r>
      <w:r>
        <w:instrText xml:space="preserve"> PAGEREF _Toc117776047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Referral to other bodies</w:t>
      </w:r>
      <w:r>
        <w:tab/>
      </w:r>
      <w:r>
        <w:fldChar w:fldCharType="begin"/>
      </w:r>
      <w:r>
        <w:instrText xml:space="preserve"> PAGEREF _Toc117776048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Director’s duties if complaint referred under s. 32</w:t>
      </w:r>
      <w:r>
        <w:tab/>
      </w:r>
      <w:r>
        <w:fldChar w:fldCharType="begin"/>
      </w:r>
      <w:r>
        <w:instrText xml:space="preserve"> PAGEREF _Toc117776049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Preliminary assessment by Director</w:t>
      </w:r>
      <w:r>
        <w:tab/>
      </w:r>
      <w:r>
        <w:fldChar w:fldCharType="begin"/>
      </w:r>
      <w:r>
        <w:instrText xml:space="preserve"> PAGEREF _Toc117776050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to provider and others</w:t>
      </w:r>
      <w:r>
        <w:tab/>
      </w:r>
      <w:r>
        <w:fldChar w:fldCharType="begin"/>
      </w:r>
      <w:r>
        <w:instrText xml:space="preserve"> PAGEREF _Toc117776051 \h </w:instrText>
      </w:r>
      <w:r>
        <w:fldChar w:fldCharType="separate"/>
      </w:r>
      <w:r>
        <w:t>22</w:t>
      </w:r>
      <w:r>
        <w:fldChar w:fldCharType="end"/>
      </w:r>
    </w:p>
    <w:p>
      <w:pPr>
        <w:pStyle w:val="TOC8"/>
        <w:rPr>
          <w:rFonts w:asciiTheme="minorHAnsi" w:eastAsiaTheme="minorEastAsia" w:hAnsiTheme="minorHAnsi" w:cstheme="minorBidi"/>
          <w:szCs w:val="22"/>
        </w:rPr>
      </w:pPr>
      <w:r>
        <w:t>36A.</w:t>
      </w:r>
      <w:r>
        <w:tab/>
        <w:t>Response by provider</w:t>
      </w:r>
      <w:r>
        <w:tab/>
      </w:r>
      <w:r>
        <w:fldChar w:fldCharType="begin"/>
      </w:r>
      <w:r>
        <w:instrText xml:space="preserve"> PAGEREF _Toc117776052 \h </w:instrText>
      </w:r>
      <w:r>
        <w:fldChar w:fldCharType="separate"/>
      </w:r>
      <w:r>
        <w:t>23</w:t>
      </w:r>
      <w:r>
        <w:fldChar w:fldCharType="end"/>
      </w:r>
    </w:p>
    <w:p>
      <w:pPr>
        <w:pStyle w:val="TOC8"/>
        <w:rPr>
          <w:rFonts w:asciiTheme="minorHAnsi" w:eastAsiaTheme="minorEastAsia" w:hAnsiTheme="minorHAnsi" w:cstheme="minorBidi"/>
          <w:szCs w:val="22"/>
        </w:rPr>
      </w:pPr>
      <w:r>
        <w:t>36BA.</w:t>
      </w:r>
      <w:r>
        <w:tab/>
        <w:t>Protection of provider’s statements</w:t>
      </w:r>
      <w:r>
        <w:tab/>
      </w:r>
      <w:r>
        <w:fldChar w:fldCharType="begin"/>
      </w:r>
      <w:r>
        <w:instrText xml:space="preserve"> PAGEREF _Toc117776053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Negotiated settlement</w:t>
      </w:r>
    </w:p>
    <w:p>
      <w:pPr>
        <w:pStyle w:val="TOC8"/>
        <w:rPr>
          <w:rFonts w:asciiTheme="minorHAnsi" w:eastAsiaTheme="minorEastAsia" w:hAnsiTheme="minorHAnsi" w:cstheme="minorBidi"/>
          <w:szCs w:val="22"/>
        </w:rPr>
      </w:pPr>
      <w:r>
        <w:t>36B.</w:t>
      </w:r>
      <w:r>
        <w:tab/>
        <w:t>Resolving complaints by negotiation</w:t>
      </w:r>
      <w:r>
        <w:tab/>
      </w:r>
      <w:r>
        <w:fldChar w:fldCharType="begin"/>
      </w:r>
      <w:r>
        <w:instrText xml:space="preserve"> PAGEREF _Toc117776055 \h </w:instrText>
      </w:r>
      <w:r>
        <w:fldChar w:fldCharType="separate"/>
      </w:r>
      <w:r>
        <w:t>24</w:t>
      </w:r>
      <w:r>
        <w:fldChar w:fldCharType="end"/>
      </w:r>
    </w:p>
    <w:p>
      <w:pPr>
        <w:pStyle w:val="TOC8"/>
        <w:rPr>
          <w:rFonts w:asciiTheme="minorHAnsi" w:eastAsiaTheme="minorEastAsia" w:hAnsiTheme="minorHAnsi" w:cstheme="minorBidi"/>
          <w:szCs w:val="22"/>
        </w:rPr>
      </w:pPr>
      <w:r>
        <w:t>36C.</w:t>
      </w:r>
      <w:r>
        <w:tab/>
        <w:t>Protection of statements made</w:t>
      </w:r>
      <w:r>
        <w:tab/>
      </w:r>
      <w:r>
        <w:fldChar w:fldCharType="begin"/>
      </w:r>
      <w:r>
        <w:instrText xml:space="preserve"> PAGEREF _Toc117776056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Conciliation</w:t>
      </w:r>
    </w:p>
    <w:p>
      <w:pPr>
        <w:pStyle w:val="TOC8"/>
        <w:rPr>
          <w:rFonts w:asciiTheme="minorHAnsi" w:eastAsiaTheme="minorEastAsia" w:hAnsiTheme="minorHAnsi" w:cstheme="minorBidi"/>
          <w:szCs w:val="22"/>
        </w:rPr>
      </w:pPr>
      <w:r>
        <w:t>36</w:t>
      </w:r>
      <w:r>
        <w:rPr>
          <w:snapToGrid w:val="0"/>
        </w:rPr>
        <w:t>.</w:t>
      </w:r>
      <w:r>
        <w:rPr>
          <w:snapToGrid w:val="0"/>
        </w:rPr>
        <w:tab/>
        <w:t>Assignment of conciliator</w:t>
      </w:r>
      <w:r>
        <w:tab/>
      </w:r>
      <w:r>
        <w:fldChar w:fldCharType="begin"/>
      </w:r>
      <w:r>
        <w:instrText xml:space="preserve"> PAGEREF _Toc117776058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Notice of referral for conciliation</w:t>
      </w:r>
      <w:r>
        <w:tab/>
      </w:r>
      <w:r>
        <w:fldChar w:fldCharType="begin"/>
      </w:r>
      <w:r>
        <w:instrText xml:space="preserve"> PAGEREF _Toc117776059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Role of conciliator</w:t>
      </w:r>
      <w:r>
        <w:tab/>
      </w:r>
      <w:r>
        <w:fldChar w:fldCharType="begin"/>
      </w:r>
      <w:r>
        <w:instrText xml:space="preserve"> PAGEREF _Toc117776060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Representation in conciliation process</w:t>
      </w:r>
      <w:r>
        <w:tab/>
      </w:r>
      <w:r>
        <w:fldChar w:fldCharType="begin"/>
      </w:r>
      <w:r>
        <w:instrText xml:space="preserve"> PAGEREF _Toc117776061 \h </w:instrText>
      </w:r>
      <w:r>
        <w:fldChar w:fldCharType="separate"/>
      </w:r>
      <w:r>
        <w:t>26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Reports by conciliator</w:t>
      </w:r>
      <w:r>
        <w:tab/>
      </w:r>
      <w:r>
        <w:fldChar w:fldCharType="begin"/>
      </w:r>
      <w:r>
        <w:instrText xml:space="preserve"> PAGEREF _Toc117776062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Parties may resolve complaint</w:t>
      </w:r>
      <w:r>
        <w:tab/>
      </w:r>
      <w:r>
        <w:fldChar w:fldCharType="begin"/>
      </w:r>
      <w:r>
        <w:instrText xml:space="preserve"> PAGEREF _Toc117776063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of statements made</w:t>
      </w:r>
      <w:r>
        <w:tab/>
      </w:r>
      <w:r>
        <w:fldChar w:fldCharType="begin"/>
      </w:r>
      <w:r>
        <w:instrText xml:space="preserve"> PAGEREF _Toc117776064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Subsequent action</w:t>
      </w:r>
    </w:p>
    <w:p>
      <w:pPr>
        <w:pStyle w:val="TOC8"/>
        <w:rPr>
          <w:rFonts w:asciiTheme="minorHAnsi" w:eastAsiaTheme="minorEastAsia" w:hAnsiTheme="minorHAnsi" w:cstheme="minorBidi"/>
          <w:szCs w:val="22"/>
        </w:rPr>
      </w:pPr>
      <w:r>
        <w:t>43</w:t>
      </w:r>
      <w:r>
        <w:rPr>
          <w:snapToGrid w:val="0"/>
        </w:rPr>
        <w:t>.</w:t>
      </w:r>
      <w:r>
        <w:rPr>
          <w:snapToGrid w:val="0"/>
        </w:rPr>
        <w:tab/>
        <w:t>Director’s duties after conciliator’s recommendation</w:t>
      </w:r>
      <w:r>
        <w:tab/>
      </w:r>
      <w:r>
        <w:fldChar w:fldCharType="begin"/>
      </w:r>
      <w:r>
        <w:instrText xml:space="preserve"> PAGEREF _Toc117776066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Notice of investigation by Director</w:t>
      </w:r>
      <w:r>
        <w:tab/>
      </w:r>
      <w:r>
        <w:fldChar w:fldCharType="begin"/>
      </w:r>
      <w:r>
        <w:instrText xml:space="preserve"> PAGEREF _Toc117776067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Further power to investigate</w:t>
      </w:r>
      <w:r>
        <w:tab/>
      </w:r>
      <w:r>
        <w:fldChar w:fldCharType="begin"/>
      </w:r>
      <w:r>
        <w:instrText xml:space="preserve"> PAGEREF _Toc117776068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Conciliator must not investigate</w:t>
      </w:r>
      <w:r>
        <w:tab/>
      </w:r>
      <w:r>
        <w:fldChar w:fldCharType="begin"/>
      </w:r>
      <w:r>
        <w:instrText xml:space="preserve"> PAGEREF _Toc117776069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Purpose of investigation, and procedure</w:t>
      </w:r>
      <w:r>
        <w:tab/>
      </w:r>
      <w:r>
        <w:fldChar w:fldCharType="begin"/>
      </w:r>
      <w:r>
        <w:instrText xml:space="preserve"> PAGEREF _Toc117776070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Remedial action where complaint justified</w:t>
      </w:r>
      <w:r>
        <w:tab/>
      </w:r>
      <w:r>
        <w:fldChar w:fldCharType="begin"/>
      </w:r>
      <w:r>
        <w:instrText xml:space="preserve"> PAGEREF _Toc117776071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Provider must report on remedial action</w:t>
      </w:r>
      <w:r>
        <w:tab/>
      </w:r>
      <w:r>
        <w:fldChar w:fldCharType="begin"/>
      </w:r>
      <w:r>
        <w:instrText xml:space="preserve"> PAGEREF _Toc117776072 \h </w:instrText>
      </w:r>
      <w:r>
        <w:fldChar w:fldCharType="separate"/>
      </w:r>
      <w:r>
        <w:t>31</w:t>
      </w:r>
      <w:r>
        <w:fldChar w:fldCharType="end"/>
      </w:r>
    </w:p>
    <w:p>
      <w:pPr>
        <w:pStyle w:val="TOC8"/>
        <w:rPr>
          <w:rFonts w:asciiTheme="minorHAnsi" w:eastAsiaTheme="minorEastAsia" w:hAnsiTheme="minorHAnsi" w:cstheme="minorBidi"/>
          <w:szCs w:val="22"/>
        </w:rPr>
      </w:pPr>
      <w:r>
        <w:t>52A.</w:t>
      </w:r>
      <w:r>
        <w:tab/>
        <w:t>Report to Parliament if report not made under s. 51 or remedial action not taken</w:t>
      </w:r>
      <w:r>
        <w:tab/>
      </w:r>
      <w:r>
        <w:fldChar w:fldCharType="begin"/>
      </w:r>
      <w:r>
        <w:instrText xml:space="preserve"> PAGEREF _Toc117776073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52</w:t>
      </w:r>
      <w:r>
        <w:rPr>
          <w:snapToGrid w:val="0"/>
        </w:rPr>
        <w:t>.</w:t>
      </w:r>
      <w:r>
        <w:rPr>
          <w:snapToGrid w:val="0"/>
        </w:rPr>
        <w:tab/>
        <w:t>Director to stop proceedings in some cases</w:t>
      </w:r>
      <w:r>
        <w:tab/>
      </w:r>
      <w:r>
        <w:fldChar w:fldCharType="begin"/>
      </w:r>
      <w:r>
        <w:instrText xml:space="preserve"> PAGEREF _Toc117776075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Reports to, and at request of, Parliament</w:t>
      </w:r>
      <w:r>
        <w:tab/>
      </w:r>
      <w:r>
        <w:fldChar w:fldCharType="begin"/>
      </w:r>
      <w:r>
        <w:instrText xml:space="preserve"> PAGEREF _Toc117776076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Action if a House not sitting</w:t>
      </w:r>
      <w:r>
        <w:tab/>
      </w:r>
      <w:r>
        <w:fldChar w:fldCharType="begin"/>
      </w:r>
      <w:r>
        <w:instrText xml:space="preserve"> PAGEREF _Toc117776077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Saving</w:t>
      </w:r>
      <w:r>
        <w:tab/>
      </w:r>
      <w:r>
        <w:fldChar w:fldCharType="begin"/>
      </w:r>
      <w:r>
        <w:instrText xml:space="preserve"> PAGEREF _Toc117776078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Director’s powers to obtain information and entry to premises</w:t>
      </w:r>
    </w:p>
    <w:p>
      <w:pPr>
        <w:pStyle w:val="TOC8"/>
        <w:rPr>
          <w:rFonts w:asciiTheme="minorHAnsi" w:eastAsiaTheme="minorEastAsia" w:hAnsiTheme="minorHAnsi" w:cstheme="minorBidi"/>
          <w:szCs w:val="22"/>
        </w:rPr>
      </w:pPr>
      <w:r>
        <w:t>59</w:t>
      </w:r>
      <w:r>
        <w:rPr>
          <w:snapToGrid w:val="0"/>
        </w:rPr>
        <w:t>.</w:t>
      </w:r>
      <w:r>
        <w:rPr>
          <w:snapToGrid w:val="0"/>
        </w:rPr>
        <w:tab/>
        <w:t>Restriction on powers</w:t>
      </w:r>
      <w:r>
        <w:tab/>
      </w:r>
      <w:r>
        <w:fldChar w:fldCharType="begin"/>
      </w:r>
      <w:r>
        <w:instrText xml:space="preserve"> PAGEREF _Toc117776080 \h </w:instrText>
      </w:r>
      <w:r>
        <w:fldChar w:fldCharType="separate"/>
      </w:r>
      <w:r>
        <w:t>35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Power to summons etc.</w:t>
      </w:r>
      <w:r>
        <w:tab/>
      </w:r>
      <w:r>
        <w:fldChar w:fldCharType="begin"/>
      </w:r>
      <w:r>
        <w:instrText xml:space="preserve"> PAGEREF _Toc117776081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False statements</w:t>
      </w:r>
      <w:r>
        <w:tab/>
      </w:r>
      <w:r>
        <w:fldChar w:fldCharType="begin"/>
      </w:r>
      <w:r>
        <w:instrText xml:space="preserve"> PAGEREF _Toc117776082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Failure to attend, take oath etc.</w:t>
      </w:r>
      <w:r>
        <w:tab/>
      </w:r>
      <w:r>
        <w:fldChar w:fldCharType="begin"/>
      </w:r>
      <w:r>
        <w:instrText xml:space="preserve"> PAGEREF _Toc117776083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Application for warrant to enter premises etc.</w:t>
      </w:r>
      <w:r>
        <w:tab/>
      </w:r>
      <w:r>
        <w:fldChar w:fldCharType="begin"/>
      </w:r>
      <w:r>
        <w:instrText xml:space="preserve"> PAGEREF _Toc117776084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Issue of warrant</w:t>
      </w:r>
      <w:r>
        <w:tab/>
      </w:r>
      <w:r>
        <w:fldChar w:fldCharType="begin"/>
      </w:r>
      <w:r>
        <w:instrText xml:space="preserve"> PAGEREF _Toc117776085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Execution of warrant</w:t>
      </w:r>
      <w:r>
        <w:tab/>
      </w:r>
      <w:r>
        <w:fldChar w:fldCharType="begin"/>
      </w:r>
      <w:r>
        <w:instrText xml:space="preserve"> PAGEREF _Toc117776086 \h </w:instrText>
      </w:r>
      <w:r>
        <w:fldChar w:fldCharType="separate"/>
      </w:r>
      <w:r>
        <w:t>38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Offences relating to warrants</w:t>
      </w:r>
      <w:r>
        <w:tab/>
      </w:r>
      <w:r>
        <w:fldChar w:fldCharType="begin"/>
      </w:r>
      <w:r>
        <w:instrText xml:space="preserve"> PAGEREF _Toc117776087 \h </w:instrText>
      </w:r>
      <w:r>
        <w:fldChar w:fldCharType="separate"/>
      </w:r>
      <w:r>
        <w:t>38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Information etc. that may be withheld</w:t>
      </w:r>
      <w:r>
        <w:tab/>
      </w:r>
      <w:r>
        <w:fldChar w:fldCharType="begin"/>
      </w:r>
      <w:r>
        <w:instrText xml:space="preserve"> PAGEREF _Toc117776088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68</w:t>
      </w:r>
      <w:r>
        <w:rPr>
          <w:snapToGrid w:val="0"/>
        </w:rPr>
        <w:t>.</w:t>
      </w:r>
      <w:r>
        <w:rPr>
          <w:snapToGrid w:val="0"/>
        </w:rPr>
        <w:tab/>
        <w:t>Register of complaints</w:t>
      </w:r>
      <w:r>
        <w:tab/>
      </w:r>
      <w:r>
        <w:fldChar w:fldCharType="begin"/>
      </w:r>
      <w:r>
        <w:instrText xml:space="preserve"> PAGEREF _Toc117776090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Protection of Director etc. from personal liability</w:t>
      </w:r>
      <w:r>
        <w:tab/>
      </w:r>
      <w:r>
        <w:fldChar w:fldCharType="begin"/>
      </w:r>
      <w:r>
        <w:instrText xml:space="preserve"> PAGEREF _Toc117776091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Protection of other persons</w:t>
      </w:r>
      <w:r>
        <w:tab/>
      </w:r>
      <w:r>
        <w:fldChar w:fldCharType="begin"/>
      </w:r>
      <w:r>
        <w:instrText xml:space="preserve"> PAGEREF _Toc117776092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Confidentiality</w:t>
      </w:r>
      <w:r>
        <w:tab/>
      </w:r>
      <w:r>
        <w:fldChar w:fldCharType="begin"/>
      </w:r>
      <w:r>
        <w:instrText xml:space="preserve"> PAGEREF _Toc117776093 \h </w:instrText>
      </w:r>
      <w:r>
        <w:fldChar w:fldCharType="separate"/>
      </w:r>
      <w:r>
        <w:t>42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False statements</w:t>
      </w:r>
      <w:r>
        <w:tab/>
      </w:r>
      <w:r>
        <w:fldChar w:fldCharType="begin"/>
      </w:r>
      <w:r>
        <w:instrText xml:space="preserve"> PAGEREF _Toc117776094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Person not to be threatened etc. because of complaining to Director</w:t>
      </w:r>
      <w:r>
        <w:tab/>
      </w:r>
      <w:r>
        <w:fldChar w:fldCharType="begin"/>
      </w:r>
      <w:r>
        <w:instrText xml:space="preserve"> PAGEREF _Toc117776095 \h </w:instrText>
      </w:r>
      <w:r>
        <w:fldChar w:fldCharType="separate"/>
      </w:r>
      <w:r>
        <w:t>43</w:t>
      </w:r>
      <w:r>
        <w:fldChar w:fldCharType="end"/>
      </w:r>
    </w:p>
    <w:p>
      <w:pPr>
        <w:pStyle w:val="TOC8"/>
        <w:rPr>
          <w:rFonts w:asciiTheme="minorHAnsi" w:eastAsiaTheme="minorEastAsia" w:hAnsiTheme="minorHAnsi" w:cstheme="minorBidi"/>
          <w:szCs w:val="22"/>
        </w:rPr>
      </w:pPr>
      <w:r>
        <w:lastRenderedPageBreak/>
        <w:t>74</w:t>
      </w:r>
      <w:r>
        <w:rPr>
          <w:snapToGrid w:val="0"/>
        </w:rPr>
        <w:t>.</w:t>
      </w:r>
      <w:r>
        <w:rPr>
          <w:snapToGrid w:val="0"/>
        </w:rPr>
        <w:tab/>
        <w:t xml:space="preserve">Application of </w:t>
      </w:r>
      <w:r>
        <w:rPr>
          <w:i/>
          <w:iCs/>
          <w:snapToGrid w:val="0"/>
        </w:rPr>
        <w:t>Parliamentary Commissioner Act 1971</w:t>
      </w:r>
      <w:r>
        <w:tab/>
      </w:r>
      <w:r>
        <w:fldChar w:fldCharType="begin"/>
      </w:r>
      <w:r>
        <w:instrText xml:space="preserve"> PAGEREF _Toc117776096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Prescribed provider must give certain information</w:t>
      </w:r>
      <w:r>
        <w:tab/>
      </w:r>
      <w:r>
        <w:fldChar w:fldCharType="begin"/>
      </w:r>
      <w:r>
        <w:instrText xml:space="preserve"> PAGEREF _Toc117776097 \h </w:instrText>
      </w:r>
      <w:r>
        <w:fldChar w:fldCharType="separate"/>
      </w:r>
      <w:r>
        <w:t>44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Prosecutions</w:t>
      </w:r>
      <w:r>
        <w:tab/>
      </w:r>
      <w:r>
        <w:fldChar w:fldCharType="begin"/>
      </w:r>
      <w:r>
        <w:instrText xml:space="preserve"> PAGEREF _Toc117776098 \h </w:instrText>
      </w:r>
      <w:r>
        <w:fldChar w:fldCharType="separate"/>
      </w:r>
      <w:r>
        <w:t>44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w:t>
      </w:r>
      <w:r>
        <w:tab/>
      </w:r>
      <w:r>
        <w:fldChar w:fldCharType="begin"/>
      </w:r>
      <w:r>
        <w:instrText xml:space="preserve"> PAGEREF _Toc117776099 \h </w:instrText>
      </w:r>
      <w:r>
        <w:fldChar w:fldCharType="separate"/>
      </w:r>
      <w:r>
        <w:t>45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Transitional provision</w:t>
      </w:r>
      <w:r>
        <w:tab/>
      </w:r>
      <w:r>
        <w:fldChar w:fldCharType="begin"/>
      </w:r>
      <w:r>
        <w:instrText xml:space="preserve"> PAGEREF _Toc117776100 \h </w:instrText>
      </w:r>
      <w:r>
        <w:fldChar w:fldCharType="separate"/>
      </w:r>
      <w:r>
        <w:t>45</w:t>
      </w:r>
      <w:r>
        <w:fldChar w:fldCharType="end"/>
      </w:r>
    </w:p>
    <w:p>
      <w:pPr>
        <w:pStyle w:val="TOC8"/>
        <w:rPr>
          <w:rFonts w:asciiTheme="minorHAnsi" w:eastAsiaTheme="minorEastAsia" w:hAnsiTheme="minorHAnsi" w:cstheme="minorBidi"/>
          <w:szCs w:val="22"/>
        </w:rPr>
      </w:pPr>
      <w:r>
        <w:t>79.</w:t>
      </w:r>
      <w:r>
        <w:tab/>
        <w:t>Review of Act</w:t>
      </w:r>
      <w:r>
        <w:tab/>
      </w:r>
      <w:r>
        <w:fldChar w:fldCharType="begin"/>
      </w:r>
      <w:r>
        <w:instrText xml:space="preserve"> PAGEREF _Toc117776101 \h </w:instrText>
      </w:r>
      <w:r>
        <w:fldChar w:fldCharType="separate"/>
      </w:r>
      <w:r>
        <w:t>45</w:t>
      </w:r>
      <w:r>
        <w:fldChar w:fldCharType="end"/>
      </w:r>
    </w:p>
    <w:p>
      <w:pPr>
        <w:pStyle w:val="TOC8"/>
        <w:rPr>
          <w:rFonts w:asciiTheme="minorHAnsi" w:eastAsiaTheme="minorEastAsia" w:hAnsiTheme="minorHAnsi" w:cstheme="minorBidi"/>
          <w:szCs w:val="22"/>
        </w:rPr>
      </w:pPr>
      <w:r>
        <w:t>80.</w:t>
      </w:r>
      <w:r>
        <w:tab/>
        <w:t>Transitional provisions</w:t>
      </w:r>
      <w:r>
        <w:tab/>
      </w:r>
      <w:r>
        <w:fldChar w:fldCharType="begin"/>
      </w:r>
      <w:r>
        <w:instrText xml:space="preserve"> PAGEREF _Toc117776102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2 — Tenure, salary, conditions of service, etc., of Director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_Toc117776104 \h </w:instrText>
      </w:r>
      <w:r>
        <w:fldChar w:fldCharType="separate"/>
      </w:r>
      <w:r>
        <w:t>47</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_Toc117776105 \h </w:instrText>
      </w:r>
      <w:r>
        <w:fldChar w:fldCharType="separate"/>
      </w:r>
      <w:r>
        <w:t>47</w:t>
      </w:r>
      <w:r>
        <w:fldChar w:fldCharType="end"/>
      </w:r>
    </w:p>
    <w:p>
      <w:pPr>
        <w:pStyle w:val="TOC8"/>
        <w:rPr>
          <w:rFonts w:asciiTheme="minorHAnsi" w:eastAsiaTheme="minorEastAsia" w:hAnsiTheme="minorHAnsi" w:cstheme="minorBidi"/>
          <w:szCs w:val="22"/>
        </w:rPr>
      </w:pPr>
      <w:r>
        <w:t>3.</w:t>
      </w:r>
      <w:r>
        <w:tab/>
        <w:t>Superannuation</w:t>
      </w:r>
      <w:r>
        <w:tab/>
      </w:r>
      <w:r>
        <w:fldChar w:fldCharType="begin"/>
      </w:r>
      <w:r>
        <w:instrText xml:space="preserve"> PAGEREF _Toc117776106 \h </w:instrText>
      </w:r>
      <w:r>
        <w:fldChar w:fldCharType="separate"/>
      </w:r>
      <w:r>
        <w:t>47</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_Toc117776107 \h </w:instrText>
      </w:r>
      <w:r>
        <w:fldChar w:fldCharType="separate"/>
      </w:r>
      <w:r>
        <w:t>48</w:t>
      </w:r>
      <w:r>
        <w:fldChar w:fldCharType="end"/>
      </w:r>
    </w:p>
    <w:p>
      <w:pPr>
        <w:pStyle w:val="TOC8"/>
        <w:rPr>
          <w:rFonts w:asciiTheme="minorHAnsi" w:eastAsiaTheme="minorEastAsia" w:hAnsiTheme="minorHAnsi" w:cstheme="minorBidi"/>
          <w:szCs w:val="22"/>
        </w:rPr>
      </w:pPr>
      <w:r>
        <w:t>5.</w:t>
      </w:r>
      <w:r>
        <w:tab/>
        <w:t>Removal from office</w:t>
      </w:r>
      <w:r>
        <w:tab/>
      </w:r>
      <w:r>
        <w:fldChar w:fldCharType="begin"/>
      </w:r>
      <w:r>
        <w:instrText xml:space="preserve"> PAGEREF _Toc117776108 \h </w:instrText>
      </w:r>
      <w:r>
        <w:fldChar w:fldCharType="separate"/>
      </w:r>
      <w:r>
        <w:t>48</w:t>
      </w:r>
      <w:r>
        <w:fldChar w:fldCharType="end"/>
      </w:r>
    </w:p>
    <w:p>
      <w:pPr>
        <w:pStyle w:val="TOC8"/>
        <w:rPr>
          <w:rFonts w:asciiTheme="minorHAnsi" w:eastAsiaTheme="minorEastAsia" w:hAnsiTheme="minorHAnsi" w:cstheme="minorBidi"/>
          <w:szCs w:val="22"/>
        </w:rPr>
      </w:pPr>
      <w:r>
        <w:t>6.</w:t>
      </w:r>
      <w:r>
        <w:tab/>
        <w:t>Other conditions of service</w:t>
      </w:r>
      <w:r>
        <w:tab/>
      </w:r>
      <w:r>
        <w:fldChar w:fldCharType="begin"/>
      </w:r>
      <w:r>
        <w:instrText xml:space="preserve"> PAGEREF _Toc117776109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_Toc117776111 \h </w:instrText>
      </w:r>
      <w:r>
        <w:fldChar w:fldCharType="separate"/>
      </w:r>
      <w:r>
        <w:t>50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_Toc117776112 \h </w:instrText>
      </w:r>
      <w:r>
        <w:fldChar w:fldCharType="separate"/>
      </w:r>
      <w:r>
        <w:t>53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_Toc117776113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80" w:after="1000"/>
        <w:ind w:left="539" w:right="607"/>
      </w:pPr>
      <w:r>
        <w:t>Health and Disability Services (Complaints) Act 1995</w:t>
      </w:r>
    </w:p>
    <w:p>
      <w:pPr>
        <w:pStyle w:val="LongTitle"/>
        <w:rPr>
          <w:snapToGrid w:val="0"/>
        </w:rPr>
      </w:pPr>
      <w:r>
        <w:rPr>
          <w:snapToGrid w:val="0"/>
        </w:rPr>
        <w:t>An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No. 33 of 2010 s. 4.]</w:t>
      </w:r>
    </w:p>
    <w:p>
      <w:pPr>
        <w:pStyle w:val="Heading2"/>
      </w:pPr>
      <w:bookmarkStart w:id="3" w:name="_Toc117775093"/>
      <w:bookmarkStart w:id="4" w:name="_Toc117775399"/>
      <w:bookmarkStart w:id="5" w:name="_Toc11777601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7776011"/>
      <w:r>
        <w:rPr>
          <w:rStyle w:val="CharSectno"/>
        </w:rPr>
        <w:t>1</w:t>
      </w:r>
      <w:r>
        <w:rPr>
          <w:snapToGrid w:val="0"/>
        </w:rPr>
        <w:t>.</w:t>
      </w:r>
      <w:r>
        <w:rPr>
          <w:snapToGrid w:val="0"/>
        </w:rPr>
        <w:tab/>
        <w:t>Short title</w:t>
      </w:r>
      <w:bookmarkEnd w:id="6"/>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w:t>
      </w:r>
    </w:p>
    <w:p>
      <w:pPr>
        <w:pStyle w:val="Footnotesection"/>
        <w:spacing w:before="100"/>
        <w:ind w:left="890" w:hanging="890"/>
      </w:pPr>
      <w:r>
        <w:tab/>
        <w:t>[Section 1 amended: No. 33 of 2010 s. 5.]</w:t>
      </w:r>
    </w:p>
    <w:p>
      <w:pPr>
        <w:pStyle w:val="Heading5"/>
        <w:rPr>
          <w:snapToGrid w:val="0"/>
        </w:rPr>
      </w:pPr>
      <w:bookmarkStart w:id="7" w:name="_Toc117776012"/>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The provisions of this Act come into operation on such day as is, or days as are respectively, fixed by proclamation.</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8" w:name="_Toc117776013"/>
      <w:r>
        <w:rPr>
          <w:rStyle w:val="CharSectno"/>
        </w:rPr>
        <w:t>3A</w:t>
      </w:r>
      <w:r>
        <w:t>.</w:t>
      </w:r>
      <w:r>
        <w:tab/>
        <w:t>Act to be read with other legislation about health and disability complaints</w:t>
      </w:r>
      <w:bookmarkEnd w:id="8"/>
    </w:p>
    <w:p>
      <w:pPr>
        <w:pStyle w:val="Subsection"/>
      </w:pPr>
      <w:r>
        <w:tab/>
      </w:r>
      <w:r>
        <w:tab/>
        <w:t xml:space="preserve">This Act is to be read with the following — </w:t>
      </w:r>
    </w:p>
    <w:p>
      <w:pPr>
        <w:pStyle w:val="Indenta"/>
      </w:pPr>
      <w:r>
        <w:tab/>
        <w:t>(a)</w:t>
      </w:r>
      <w:r>
        <w:tab/>
        <w:t xml:space="preserve">the </w:t>
      </w:r>
      <w:r>
        <w:rPr>
          <w:i/>
        </w:rPr>
        <w:t>Disability Services Act 1993</w:t>
      </w:r>
      <w:r>
        <w:t xml:space="preserve"> Part 6;</w:t>
      </w:r>
    </w:p>
    <w:p>
      <w:pPr>
        <w:pStyle w:val="Indenta"/>
      </w:pPr>
      <w:r>
        <w:tab/>
        <w:t>(b)</w:t>
      </w:r>
      <w:r>
        <w:tab/>
        <w:t xml:space="preserve">the </w:t>
      </w:r>
      <w:r>
        <w:rPr>
          <w:i/>
        </w:rPr>
        <w:t>Mental Health Act 2014</w:t>
      </w:r>
      <w:r>
        <w:t xml:space="preserve"> Part 19 Divisions 3 and 4.</w:t>
      </w:r>
    </w:p>
    <w:p>
      <w:pPr>
        <w:pStyle w:val="Footnotesection"/>
      </w:pPr>
      <w:r>
        <w:tab/>
        <w:t>[Section 3A inserted: No. 25 of 2014 s. 64.]</w:t>
      </w:r>
    </w:p>
    <w:p>
      <w:pPr>
        <w:pStyle w:val="Heading5"/>
        <w:rPr>
          <w:snapToGrid w:val="0"/>
        </w:rPr>
      </w:pPr>
      <w:bookmarkStart w:id="9" w:name="_Toc117776014"/>
      <w:r>
        <w:rPr>
          <w:rStyle w:val="CharSectno"/>
        </w:rPr>
        <w:t>3</w:t>
      </w:r>
      <w:r>
        <w:rPr>
          <w:snapToGrid w:val="0"/>
        </w:rPr>
        <w:t>.</w:t>
      </w:r>
      <w:r>
        <w:rPr>
          <w:snapToGrid w:val="0"/>
        </w:rPr>
        <w:tab/>
        <w:t>Terms used</w:t>
      </w:r>
      <w:bookmarkEnd w:id="9"/>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lastRenderedPageBreak/>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diagnosis or treatment of physical or mental disorder or suspected disorder; and</w:t>
      </w:r>
    </w:p>
    <w:p>
      <w:pPr>
        <w:pStyle w:val="Defpara"/>
      </w:pPr>
      <w:r>
        <w:tab/>
        <w:t>(b)</w:t>
      </w:r>
      <w:r>
        <w:tab/>
        <w:t xml:space="preserve">health care, including — </w:t>
      </w:r>
    </w:p>
    <w:p>
      <w:pPr>
        <w:pStyle w:val="Defsubpara"/>
      </w:pPr>
      <w:r>
        <w:tab/>
        <w:t>(i)</w:t>
      </w:r>
      <w:r>
        <w:tab/>
        <w:t>palliative health care; and</w:t>
      </w:r>
    </w:p>
    <w:p>
      <w:pPr>
        <w:pStyle w:val="Defsubpara"/>
      </w:pPr>
      <w:r>
        <w:tab/>
        <w:t>(ii)</w:t>
      </w:r>
      <w:r>
        <w:tab/>
        <w:t xml:space="preserve">voluntary assisted dying as defined in the </w:t>
      </w:r>
      <w:r>
        <w:rPr>
          <w:i/>
        </w:rPr>
        <w:t>Voluntary Assisted Dying Act 2019</w:t>
      </w:r>
      <w:r>
        <w:t xml:space="preserve"> section 5;</w:t>
      </w:r>
    </w:p>
    <w:p>
      <w:pPr>
        <w:pStyle w:val="Defpara"/>
      </w:pPr>
      <w:r>
        <w:tab/>
      </w:r>
      <w:r>
        <w:tab/>
        <w:t>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(f)</w:t>
      </w:r>
      <w:r>
        <w:tab/>
        <w:t>welfare service that is complementary to a health service; and</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lastRenderedPageBreak/>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pPr>
      <w:r>
        <w:tab/>
        <w:t>(i)</w:t>
      </w:r>
      <w:r>
        <w:tab/>
        <w:t>a body by which or an institution in which any health service is rendered or provided; or</w:t>
      </w:r>
    </w:p>
    <w:p>
      <w:pPr>
        <w:pStyle w:val="Defsubpara"/>
      </w:pPr>
      <w:r>
        <w:tab/>
        <w:t>(ii)</w:t>
      </w:r>
      <w: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as defined in the </w:t>
      </w:r>
      <w:r>
        <w:rPr>
          <w:i/>
        </w:rPr>
        <w:t>Health Services Act 2016</w:t>
      </w:r>
      <w:r>
        <w:t xml:space="preserve"> section 6;</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lastRenderedPageBreak/>
        <w:tab/>
      </w:r>
      <w:r>
        <w:rPr>
          <w:rStyle w:val="CharDefText"/>
        </w:rPr>
        <w:t>registration board</w:t>
      </w:r>
      <w:r>
        <w:t xml:space="preserve"> means a National Health Practitioner Board established under the </w:t>
      </w:r>
      <w:r>
        <w:rPr>
          <w:i/>
        </w:rPr>
        <w:t>Health Practitioner Regulation National Law (Western Australia)</w:t>
      </w:r>
      <w:r>
        <w:t>;</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No. 37 of 2004 s. 31; No. 28 of 2006 s. 257; No. 33 of 2010 s. 7; No. 11 of 2016 s. 292; No. 4 of 2018 s 112(2); No. 27 of 2019 s. 172.]</w:t>
      </w:r>
    </w:p>
    <w:p>
      <w:pPr>
        <w:pStyle w:val="Heading5"/>
        <w:rPr>
          <w:snapToGrid w:val="0"/>
        </w:rPr>
      </w:pPr>
      <w:bookmarkStart w:id="10" w:name="_Toc117776015"/>
      <w:r>
        <w:rPr>
          <w:rStyle w:val="CharSectno"/>
        </w:rPr>
        <w:t>4</w:t>
      </w:r>
      <w:r>
        <w:rPr>
          <w:snapToGrid w:val="0"/>
        </w:rPr>
        <w:t>.</w:t>
      </w:r>
      <w:r>
        <w:rPr>
          <w:snapToGrid w:val="0"/>
        </w:rPr>
        <w:tab/>
        <w:t>Guiding principles for the provision of health services</w:t>
      </w:r>
      <w:bookmarkEnd w:id="10"/>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lastRenderedPageBreak/>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11" w:name="_Toc117776016"/>
      <w:r>
        <w:rPr>
          <w:rStyle w:val="CharSectno"/>
        </w:rPr>
        <w:t>5</w:t>
      </w:r>
      <w:r>
        <w:rPr>
          <w:snapToGrid w:val="0"/>
        </w:rPr>
        <w:t>.</w:t>
      </w:r>
      <w:r>
        <w:rPr>
          <w:snapToGrid w:val="0"/>
        </w:rPr>
        <w:tab/>
        <w:t>Crown bound</w:t>
      </w:r>
      <w:bookmarkEnd w:id="11"/>
    </w:p>
    <w:p>
      <w:pPr>
        <w:pStyle w:val="Subsection"/>
        <w:rPr>
          <w:snapToGrid w:val="0"/>
        </w:rPr>
      </w:pPr>
      <w:r>
        <w:rPr>
          <w:snapToGrid w:val="0"/>
        </w:rPr>
        <w:tab/>
      </w:r>
      <w:r>
        <w:rPr>
          <w:snapToGrid w:val="0"/>
        </w:rPr>
        <w:tab/>
        <w:t>This Act binds the Crown.</w:t>
      </w:r>
    </w:p>
    <w:p>
      <w:pPr>
        <w:pStyle w:val="Heading2"/>
      </w:pPr>
      <w:bookmarkStart w:id="12" w:name="_Toc117775100"/>
      <w:bookmarkStart w:id="13" w:name="_Toc117775406"/>
      <w:bookmarkStart w:id="14" w:name="_Toc117776017"/>
      <w:r>
        <w:rPr>
          <w:rStyle w:val="CharPartNo"/>
        </w:rPr>
        <w:lastRenderedPageBreak/>
        <w:t>Part 2</w:t>
      </w:r>
      <w:r>
        <w:rPr>
          <w:rStyle w:val="CharDivNo"/>
        </w:rPr>
        <w:t> </w:t>
      </w:r>
      <w:r>
        <w:t>—</w:t>
      </w:r>
      <w:r>
        <w:rPr>
          <w:rStyle w:val="CharDivText"/>
        </w:rPr>
        <w:t> </w:t>
      </w:r>
      <w:r>
        <w:rPr>
          <w:rStyle w:val="CharPartText"/>
        </w:rPr>
        <w:t>Administrative arrangements</w:t>
      </w:r>
      <w:bookmarkEnd w:id="12"/>
      <w:bookmarkEnd w:id="13"/>
      <w:bookmarkEnd w:id="14"/>
    </w:p>
    <w:p>
      <w:pPr>
        <w:pStyle w:val="Heading5"/>
        <w:rPr>
          <w:snapToGrid w:val="0"/>
        </w:rPr>
      </w:pPr>
      <w:bookmarkStart w:id="15" w:name="_Toc117776018"/>
      <w:r>
        <w:rPr>
          <w:rStyle w:val="CharSectno"/>
        </w:rPr>
        <w:t>6</w:t>
      </w:r>
      <w:r>
        <w:rPr>
          <w:snapToGrid w:val="0"/>
        </w:rPr>
        <w:t>.</w:t>
      </w:r>
      <w:r>
        <w:rPr>
          <w:snapToGrid w:val="0"/>
        </w:rPr>
        <w:tab/>
        <w:t>Health and Disability Services Complaints Office</w:t>
      </w:r>
      <w:bookmarkEnd w:id="15"/>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r>
        <w:tab/>
        <w:t>[Section 6 amended: No. 33 of 2010 s. 8.]</w:t>
      </w:r>
    </w:p>
    <w:p>
      <w:pPr>
        <w:pStyle w:val="Heading5"/>
        <w:rPr>
          <w:snapToGrid w:val="0"/>
        </w:rPr>
      </w:pPr>
      <w:bookmarkStart w:id="16" w:name="_Toc117776019"/>
      <w:r>
        <w:rPr>
          <w:rStyle w:val="CharSectno"/>
        </w:rPr>
        <w:t>7</w:t>
      </w:r>
      <w:r>
        <w:rPr>
          <w:snapToGrid w:val="0"/>
        </w:rPr>
        <w:t>.</w:t>
      </w:r>
      <w:r>
        <w:rPr>
          <w:snapToGrid w:val="0"/>
        </w:rPr>
        <w:tab/>
        <w:t>Director of Office</w:t>
      </w:r>
      <w:bookmarkEnd w:id="16"/>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7" w:name="_Toc117776020"/>
      <w:r>
        <w:rPr>
          <w:rStyle w:val="CharSectno"/>
        </w:rPr>
        <w:t>8</w:t>
      </w:r>
      <w:r>
        <w:rPr>
          <w:snapToGrid w:val="0"/>
        </w:rPr>
        <w:t>.</w:t>
      </w:r>
      <w:r>
        <w:rPr>
          <w:snapToGrid w:val="0"/>
        </w:rPr>
        <w:tab/>
        <w:t>Tenure, salary etc. of Director</w:t>
      </w:r>
      <w:bookmarkEnd w:id="17"/>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8" w:name="_Toc117776021"/>
      <w:r>
        <w:rPr>
          <w:rStyle w:val="CharSectno"/>
        </w:rPr>
        <w:t>9</w:t>
      </w:r>
      <w:r>
        <w:rPr>
          <w:snapToGrid w:val="0"/>
        </w:rPr>
        <w:t>.</w:t>
      </w:r>
      <w:r>
        <w:rPr>
          <w:snapToGrid w:val="0"/>
        </w:rPr>
        <w:tab/>
        <w:t>Judicial notice of Director’s appointment and signature</w:t>
      </w:r>
      <w:bookmarkEnd w:id="18"/>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9" w:name="_Toc117776022"/>
      <w:r>
        <w:rPr>
          <w:rStyle w:val="CharSectno"/>
        </w:rPr>
        <w:lastRenderedPageBreak/>
        <w:t>10</w:t>
      </w:r>
      <w:r>
        <w:rPr>
          <w:snapToGrid w:val="0"/>
        </w:rPr>
        <w:t>.</w:t>
      </w:r>
      <w:r>
        <w:rPr>
          <w:snapToGrid w:val="0"/>
        </w:rPr>
        <w:tab/>
        <w:t>Director’s functions</w:t>
      </w:r>
      <w:bookmarkEnd w:id="19"/>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lastRenderedPageBreak/>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No. 44 of 1999 s. 28(2); No. 55 of 2004 s. 493; No. 33 of 2010 s. 9.]</w:t>
      </w:r>
    </w:p>
    <w:p>
      <w:pPr>
        <w:pStyle w:val="Heading5"/>
        <w:rPr>
          <w:snapToGrid w:val="0"/>
        </w:rPr>
      </w:pPr>
      <w:bookmarkStart w:id="20" w:name="_Toc117776023"/>
      <w:r>
        <w:rPr>
          <w:rStyle w:val="CharSectno"/>
        </w:rPr>
        <w:t>11</w:t>
      </w:r>
      <w:r>
        <w:rPr>
          <w:snapToGrid w:val="0"/>
        </w:rPr>
        <w:t>.</w:t>
      </w:r>
      <w:r>
        <w:rPr>
          <w:snapToGrid w:val="0"/>
        </w:rPr>
        <w:tab/>
        <w:t>Minister may give Director directions</w:t>
      </w:r>
      <w:bookmarkEnd w:id="20"/>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lastRenderedPageBreak/>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No. 57 of 2004 s. 36; No. 77 of 2006 Sch. 1 cl. 82(1); No. 35 of 2010 s. 80.]</w:t>
      </w:r>
    </w:p>
    <w:p>
      <w:pPr>
        <w:pStyle w:val="Heading5"/>
        <w:rPr>
          <w:snapToGrid w:val="0"/>
        </w:rPr>
      </w:pPr>
      <w:bookmarkStart w:id="21" w:name="_Toc117776024"/>
      <w:r>
        <w:rPr>
          <w:rStyle w:val="CharSectno"/>
        </w:rPr>
        <w:t>12</w:t>
      </w:r>
      <w:r>
        <w:rPr>
          <w:snapToGrid w:val="0"/>
        </w:rPr>
        <w:t>.</w:t>
      </w:r>
      <w:r>
        <w:rPr>
          <w:snapToGrid w:val="0"/>
        </w:rPr>
        <w:tab/>
        <w:t>Minister to have access to information</w:t>
      </w:r>
      <w:bookmarkEnd w:id="21"/>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lastRenderedPageBreak/>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22" w:name="_Toc117776025"/>
      <w:r>
        <w:rPr>
          <w:rStyle w:val="CharSectno"/>
        </w:rPr>
        <w:t>13</w:t>
      </w:r>
      <w:r>
        <w:rPr>
          <w:snapToGrid w:val="0"/>
        </w:rPr>
        <w:t>.</w:t>
      </w:r>
      <w:r>
        <w:rPr>
          <w:snapToGrid w:val="0"/>
        </w:rPr>
        <w:tab/>
        <w:t>Financial provisions</w:t>
      </w:r>
      <w:bookmarkEnd w:id="22"/>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No. 28 of 2006 s. 258; No. 77 of 2006 Sch. 1 cl. 82(2) and (3); No. 33 of 2010 s. 10.]</w:t>
      </w:r>
    </w:p>
    <w:p>
      <w:pPr>
        <w:pStyle w:val="Heading5"/>
        <w:rPr>
          <w:snapToGrid w:val="0"/>
        </w:rPr>
      </w:pPr>
      <w:bookmarkStart w:id="23" w:name="_Toc117776026"/>
      <w:r>
        <w:rPr>
          <w:rStyle w:val="CharSectno"/>
        </w:rPr>
        <w:lastRenderedPageBreak/>
        <w:t>14</w:t>
      </w:r>
      <w:r>
        <w:rPr>
          <w:snapToGrid w:val="0"/>
        </w:rPr>
        <w:t>.</w:t>
      </w:r>
      <w:r>
        <w:rPr>
          <w:snapToGrid w:val="0"/>
        </w:rPr>
        <w:tab/>
        <w:t>Staff</w:t>
      </w:r>
      <w:bookmarkEnd w:id="23"/>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24" w:name="_Toc117776027"/>
      <w:r>
        <w:rPr>
          <w:rStyle w:val="CharSectno"/>
        </w:rPr>
        <w:t>15</w:t>
      </w:r>
      <w:r>
        <w:rPr>
          <w:snapToGrid w:val="0"/>
        </w:rPr>
        <w:t>.</w:t>
      </w:r>
      <w:r>
        <w:rPr>
          <w:snapToGrid w:val="0"/>
        </w:rPr>
        <w:tab/>
        <w:t>Consultants</w:t>
      </w:r>
      <w:bookmarkEnd w:id="24"/>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25" w:name="_Toc117776028"/>
      <w:r>
        <w:rPr>
          <w:rStyle w:val="CharSectno"/>
        </w:rPr>
        <w:t>16</w:t>
      </w:r>
      <w:r>
        <w:rPr>
          <w:snapToGrid w:val="0"/>
        </w:rPr>
        <w:t>.</w:t>
      </w:r>
      <w:r>
        <w:rPr>
          <w:snapToGrid w:val="0"/>
        </w:rPr>
        <w:tab/>
        <w:t>Use of other government staff etc.</w:t>
      </w:r>
      <w:bookmarkEnd w:id="25"/>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26" w:name="_Toc117776029"/>
      <w:r>
        <w:rPr>
          <w:rStyle w:val="CharSectno"/>
        </w:rPr>
        <w:t>17</w:t>
      </w:r>
      <w:r>
        <w:rPr>
          <w:snapToGrid w:val="0"/>
        </w:rPr>
        <w:t>.</w:t>
      </w:r>
      <w:r>
        <w:rPr>
          <w:snapToGrid w:val="0"/>
        </w:rPr>
        <w:tab/>
        <w:t>Oath of office by Director and staff</w:t>
      </w:r>
      <w:bookmarkEnd w:id="26"/>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lastRenderedPageBreak/>
        <w:tab/>
        <w:t>(2)</w:t>
      </w:r>
      <w:r>
        <w:rPr>
          <w:snapToGrid w:val="0"/>
        </w:rPr>
        <w:tab/>
        <w:t>The Director’s oath or affirmation is to be taken by a Judge and that of a member of the staff is to be taken by the Director.</w:t>
      </w:r>
    </w:p>
    <w:p>
      <w:pPr>
        <w:pStyle w:val="Heading5"/>
        <w:rPr>
          <w:snapToGrid w:val="0"/>
        </w:rPr>
      </w:pPr>
      <w:bookmarkStart w:id="27" w:name="_Toc117776030"/>
      <w:r>
        <w:rPr>
          <w:rStyle w:val="CharSectno"/>
        </w:rPr>
        <w:t>18</w:t>
      </w:r>
      <w:r>
        <w:rPr>
          <w:snapToGrid w:val="0"/>
        </w:rPr>
        <w:t>.</w:t>
      </w:r>
      <w:r>
        <w:rPr>
          <w:snapToGrid w:val="0"/>
        </w:rPr>
        <w:tab/>
        <w:t>Delegation by Director</w:t>
      </w:r>
      <w:bookmarkEnd w:id="27"/>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28" w:name="_Toc117775114"/>
      <w:bookmarkStart w:id="29" w:name="_Toc117775420"/>
      <w:bookmarkStart w:id="30" w:name="_Toc117776031"/>
      <w:r>
        <w:rPr>
          <w:rStyle w:val="CharPartNo"/>
        </w:rPr>
        <w:lastRenderedPageBreak/>
        <w:t>Part 3</w:t>
      </w:r>
      <w:r>
        <w:t> — </w:t>
      </w:r>
      <w:r>
        <w:rPr>
          <w:rStyle w:val="CharPartText"/>
        </w:rPr>
        <w:t>Complaints</w:t>
      </w:r>
      <w:bookmarkEnd w:id="28"/>
      <w:bookmarkEnd w:id="29"/>
      <w:bookmarkEnd w:id="30"/>
    </w:p>
    <w:p>
      <w:pPr>
        <w:pStyle w:val="Heading3"/>
      </w:pPr>
      <w:bookmarkStart w:id="31" w:name="_Toc117775115"/>
      <w:bookmarkStart w:id="32" w:name="_Toc117775421"/>
      <w:bookmarkStart w:id="33" w:name="_Toc117776032"/>
      <w:r>
        <w:rPr>
          <w:rStyle w:val="CharDivNo"/>
        </w:rPr>
        <w:t>Division 1</w:t>
      </w:r>
      <w:r>
        <w:rPr>
          <w:snapToGrid w:val="0"/>
        </w:rPr>
        <w:t> — </w:t>
      </w:r>
      <w:r>
        <w:rPr>
          <w:rStyle w:val="CharDivText"/>
        </w:rPr>
        <w:t>Right to complain conferred</w:t>
      </w:r>
      <w:bookmarkEnd w:id="31"/>
      <w:bookmarkEnd w:id="32"/>
      <w:bookmarkEnd w:id="33"/>
    </w:p>
    <w:p>
      <w:pPr>
        <w:pStyle w:val="Heading5"/>
        <w:rPr>
          <w:snapToGrid w:val="0"/>
        </w:rPr>
      </w:pPr>
      <w:bookmarkStart w:id="34" w:name="_Toc117776033"/>
      <w:r>
        <w:rPr>
          <w:rStyle w:val="CharSectno"/>
        </w:rPr>
        <w:t>19</w:t>
      </w:r>
      <w:r>
        <w:rPr>
          <w:snapToGrid w:val="0"/>
        </w:rPr>
        <w:t>.</w:t>
      </w:r>
      <w:r>
        <w:rPr>
          <w:snapToGrid w:val="0"/>
        </w:rPr>
        <w:tab/>
        <w:t>Who may complain</w:t>
      </w:r>
      <w:bookmarkEnd w:id="34"/>
    </w:p>
    <w:p>
      <w:pPr>
        <w:pStyle w:val="Subsection"/>
        <w:keepNext/>
        <w:rPr>
          <w:snapToGrid w:val="0"/>
        </w:rPr>
      </w:pPr>
      <w:r>
        <w:rPr>
          <w:snapToGrid w:val="0"/>
        </w:rPr>
        <w:tab/>
        <w:t>(1)</w:t>
      </w:r>
      <w:r>
        <w:rPr>
          <w:snapToGrid w:val="0"/>
        </w:rPr>
        <w:tab/>
        <w:t>A complaint alleging one or more of the matters set out in section 25 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r>
        <w:tab/>
        <w:t>(2)</w:t>
      </w:r>
      <w:r>
        <w:tab/>
        <w:t>A complaint alleging a matter referred to in section 25(1)(h) may be made to the Director by a carer.</w:t>
      </w:r>
    </w:p>
    <w:p>
      <w:pPr>
        <w:pStyle w:val="Footnotesection"/>
      </w:pPr>
      <w:r>
        <w:tab/>
        <w:t>[Section 19 amended: No. 37 of 2004 s. 32.]</w:t>
      </w:r>
    </w:p>
    <w:p>
      <w:pPr>
        <w:pStyle w:val="Heading5"/>
        <w:rPr>
          <w:snapToGrid w:val="0"/>
        </w:rPr>
      </w:pPr>
      <w:bookmarkStart w:id="35" w:name="_Toc117776034"/>
      <w:r>
        <w:rPr>
          <w:rStyle w:val="CharSectno"/>
        </w:rPr>
        <w:t>20</w:t>
      </w:r>
      <w:r>
        <w:rPr>
          <w:snapToGrid w:val="0"/>
        </w:rPr>
        <w:t>.</w:t>
      </w:r>
      <w:r>
        <w:rPr>
          <w:snapToGrid w:val="0"/>
        </w:rPr>
        <w:tab/>
        <w:t>Representatives of users</w:t>
      </w:r>
      <w:bookmarkEnd w:id="35"/>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lastRenderedPageBreak/>
        <w:tab/>
        <w:t>(b)</w:t>
      </w:r>
      <w:r>
        <w:rPr>
          <w:snapToGrid w:val="0"/>
        </w:rPr>
        <w:tab/>
        <w:t>except in the case of a relative of the user, has no financial interest in the outcome of the complaint.</w:t>
      </w:r>
    </w:p>
    <w:p>
      <w:pPr>
        <w:pStyle w:val="Subsection"/>
        <w:spacing w:before="140"/>
      </w:pPr>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No. 28 of 2003 s. 79; No. 33 of 2010 s. 11.]</w:t>
      </w:r>
    </w:p>
    <w:p>
      <w:pPr>
        <w:pStyle w:val="Heading5"/>
        <w:rPr>
          <w:snapToGrid w:val="0"/>
        </w:rPr>
      </w:pPr>
      <w:bookmarkStart w:id="36" w:name="_Toc117776035"/>
      <w:r>
        <w:rPr>
          <w:rStyle w:val="CharSectno"/>
        </w:rPr>
        <w:t>21</w:t>
      </w:r>
      <w:r>
        <w:rPr>
          <w:snapToGrid w:val="0"/>
        </w:rPr>
        <w:t>.</w:t>
      </w:r>
      <w:r>
        <w:rPr>
          <w:snapToGrid w:val="0"/>
        </w:rPr>
        <w:tab/>
        <w:t>Representative not to be paid</w:t>
      </w:r>
      <w:bookmarkEnd w:id="36"/>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37" w:name="_Toc117776036"/>
      <w:r>
        <w:rPr>
          <w:rStyle w:val="CharSectno"/>
        </w:rPr>
        <w:t>22</w:t>
      </w:r>
      <w:r>
        <w:rPr>
          <w:snapToGrid w:val="0"/>
        </w:rPr>
        <w:t>.</w:t>
      </w:r>
      <w:r>
        <w:rPr>
          <w:snapToGrid w:val="0"/>
        </w:rPr>
        <w:tab/>
        <w:t>Provider may complain for user</w:t>
      </w:r>
      <w:bookmarkEnd w:id="37"/>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r>
        <w:tab/>
        <w:t>[Section 22 amended: No. 33 of 2010 s. 12.]</w:t>
      </w:r>
    </w:p>
    <w:p>
      <w:pPr>
        <w:pStyle w:val="Heading5"/>
        <w:spacing w:before="200"/>
        <w:rPr>
          <w:snapToGrid w:val="0"/>
        </w:rPr>
      </w:pPr>
      <w:bookmarkStart w:id="38" w:name="_Toc117776037"/>
      <w:r>
        <w:rPr>
          <w:rStyle w:val="CharSectno"/>
        </w:rPr>
        <w:t>23</w:t>
      </w:r>
      <w:r>
        <w:rPr>
          <w:snapToGrid w:val="0"/>
        </w:rPr>
        <w:t>.</w:t>
      </w:r>
      <w:r>
        <w:rPr>
          <w:snapToGrid w:val="0"/>
        </w:rPr>
        <w:tab/>
        <w:t>Complaints to public providers, referral under administrative instructions</w:t>
      </w:r>
      <w:bookmarkEnd w:id="38"/>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complaint has been made to a public provider alleging one or more matters set out in section 25;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lastRenderedPageBreak/>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Heading5"/>
        <w:rPr>
          <w:snapToGrid w:val="0"/>
        </w:rPr>
      </w:pPr>
      <w:bookmarkStart w:id="39" w:name="_Toc117776038"/>
      <w:r>
        <w:rPr>
          <w:rStyle w:val="CharSectno"/>
        </w:rPr>
        <w:t>24</w:t>
      </w:r>
      <w:r>
        <w:rPr>
          <w:snapToGrid w:val="0"/>
        </w:rPr>
        <w:t>.</w:t>
      </w:r>
      <w:r>
        <w:rPr>
          <w:snapToGrid w:val="0"/>
        </w:rPr>
        <w:tab/>
        <w:t>Time limit for complaints</w:t>
      </w:r>
      <w:bookmarkEnd w:id="39"/>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r>
        <w:tab/>
        <w:t>[Section 24 amended: No. 33 of 2010 s. 13.]</w:t>
      </w:r>
    </w:p>
    <w:p>
      <w:pPr>
        <w:pStyle w:val="Heading5"/>
        <w:rPr>
          <w:snapToGrid w:val="0"/>
        </w:rPr>
      </w:pPr>
      <w:bookmarkStart w:id="40" w:name="_Toc117776039"/>
      <w:r>
        <w:rPr>
          <w:rStyle w:val="CharSectno"/>
        </w:rPr>
        <w:t>25</w:t>
      </w:r>
      <w:r>
        <w:rPr>
          <w:snapToGrid w:val="0"/>
        </w:rPr>
        <w:t>.</w:t>
      </w:r>
      <w:r>
        <w:rPr>
          <w:snapToGrid w:val="0"/>
        </w:rPr>
        <w:tab/>
        <w:t>What complaints can be about</w:t>
      </w:r>
      <w:bookmarkEnd w:id="40"/>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lastRenderedPageBreak/>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No. 37 of 2004 s. 33; No. 28 of 2006 s. 259; No. 33 of 2010 s. 14.]</w:t>
      </w:r>
    </w:p>
    <w:p>
      <w:pPr>
        <w:pStyle w:val="Heading5"/>
        <w:rPr>
          <w:snapToGrid w:val="0"/>
        </w:rPr>
      </w:pPr>
      <w:bookmarkStart w:id="41" w:name="_Toc117776040"/>
      <w:r>
        <w:rPr>
          <w:rStyle w:val="CharSectno"/>
        </w:rPr>
        <w:lastRenderedPageBreak/>
        <w:t>26</w:t>
      </w:r>
      <w:r>
        <w:rPr>
          <w:snapToGrid w:val="0"/>
        </w:rPr>
        <w:t>.</w:t>
      </w:r>
      <w:r>
        <w:rPr>
          <w:snapToGrid w:val="0"/>
        </w:rPr>
        <w:tab/>
        <w:t>Complaints that must be rejected</w:t>
      </w:r>
      <w:bookmarkEnd w:id="41"/>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No. 55 of 2004 s. 494.]</w:t>
      </w:r>
    </w:p>
    <w:p>
      <w:pPr>
        <w:pStyle w:val="Heading3"/>
      </w:pPr>
      <w:bookmarkStart w:id="42" w:name="_Toc117775124"/>
      <w:bookmarkStart w:id="43" w:name="_Toc117775430"/>
      <w:bookmarkStart w:id="44" w:name="_Toc117776041"/>
      <w:r>
        <w:rPr>
          <w:rStyle w:val="CharDivNo"/>
        </w:rPr>
        <w:t>Division 2</w:t>
      </w:r>
      <w:r>
        <w:rPr>
          <w:snapToGrid w:val="0"/>
        </w:rPr>
        <w:t> — </w:t>
      </w:r>
      <w:r>
        <w:rPr>
          <w:rStyle w:val="CharDivText"/>
        </w:rPr>
        <w:t>Initial procedures</w:t>
      </w:r>
      <w:bookmarkEnd w:id="42"/>
      <w:bookmarkEnd w:id="43"/>
      <w:bookmarkEnd w:id="44"/>
    </w:p>
    <w:p>
      <w:pPr>
        <w:pStyle w:val="Heading5"/>
        <w:rPr>
          <w:snapToGrid w:val="0"/>
        </w:rPr>
      </w:pPr>
      <w:bookmarkStart w:id="45" w:name="_Toc117776042"/>
      <w:r>
        <w:rPr>
          <w:rStyle w:val="CharSectno"/>
        </w:rPr>
        <w:t>27</w:t>
      </w:r>
      <w:r>
        <w:rPr>
          <w:snapToGrid w:val="0"/>
        </w:rPr>
        <w:t>.</w:t>
      </w:r>
      <w:r>
        <w:rPr>
          <w:snapToGrid w:val="0"/>
        </w:rPr>
        <w:tab/>
        <w:t>How to complain</w:t>
      </w:r>
      <w:bookmarkEnd w:id="45"/>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lastRenderedPageBreak/>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46" w:name="_Toc117776043"/>
      <w:r>
        <w:rPr>
          <w:rStyle w:val="CharSectno"/>
        </w:rPr>
        <w:t>28</w:t>
      </w:r>
      <w:r>
        <w:rPr>
          <w:snapToGrid w:val="0"/>
        </w:rPr>
        <w:t>.</w:t>
      </w:r>
      <w:r>
        <w:rPr>
          <w:snapToGrid w:val="0"/>
        </w:rPr>
        <w:tab/>
        <w:t>Referral of complaint where Act inapplicable</w:t>
      </w:r>
      <w:bookmarkEnd w:id="46"/>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47" w:name="_Toc117776044"/>
      <w:r>
        <w:rPr>
          <w:rStyle w:val="CharSectno"/>
        </w:rPr>
        <w:t>29</w:t>
      </w:r>
      <w:r>
        <w:rPr>
          <w:snapToGrid w:val="0"/>
        </w:rPr>
        <w:t>.</w:t>
      </w:r>
      <w:r>
        <w:rPr>
          <w:snapToGrid w:val="0"/>
        </w:rPr>
        <w:tab/>
        <w:t>Withdrawal of complaint</w:t>
      </w:r>
      <w:bookmarkEnd w:id="47"/>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48" w:name="_Toc117776045"/>
      <w:r>
        <w:rPr>
          <w:rStyle w:val="CharSectno"/>
        </w:rPr>
        <w:t>30</w:t>
      </w:r>
      <w:r>
        <w:rPr>
          <w:snapToGrid w:val="0"/>
        </w:rPr>
        <w:t>.</w:t>
      </w:r>
      <w:r>
        <w:rPr>
          <w:snapToGrid w:val="0"/>
        </w:rPr>
        <w:tab/>
        <w:t>User or carer must try to resolve matter</w:t>
      </w:r>
      <w:bookmarkEnd w:id="48"/>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r>
        <w:tab/>
        <w:t>[Section 30 amended: No. 37 of 2004 s. 34; No. 33 of 2010 s. 15.]</w:t>
      </w:r>
    </w:p>
    <w:p>
      <w:pPr>
        <w:pStyle w:val="Heading5"/>
      </w:pPr>
      <w:bookmarkStart w:id="49" w:name="_Toc117776046"/>
      <w:r>
        <w:rPr>
          <w:rStyle w:val="CharSectno"/>
        </w:rPr>
        <w:lastRenderedPageBreak/>
        <w:t>31</w:t>
      </w:r>
      <w:r>
        <w:t>.</w:t>
      </w:r>
      <w:r>
        <w:tab/>
        <w:t xml:space="preserve">Complaints not dealt with by National Board under </w:t>
      </w:r>
      <w:r>
        <w:rPr>
          <w:i/>
          <w:iCs/>
        </w:rPr>
        <w:t>Health Practitioner Regulation National Law (Western Australia)</w:t>
      </w:r>
      <w:bookmarkEnd w:id="49"/>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No. 35 of 2010 s. 81.]</w:t>
      </w:r>
    </w:p>
    <w:p>
      <w:pPr>
        <w:pStyle w:val="Heading5"/>
      </w:pPr>
      <w:bookmarkStart w:id="50" w:name="_Toc117776047"/>
      <w:r>
        <w:rPr>
          <w:rStyle w:val="CharSectno"/>
        </w:rPr>
        <w:t>32A</w:t>
      </w:r>
      <w:r>
        <w:t>.</w:t>
      </w:r>
      <w:r>
        <w:tab/>
        <w:t>Notice that complaint being dealt with by National Board</w:t>
      </w:r>
      <w:bookmarkEnd w:id="50"/>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No. 35 of 2010 s. 81.]</w:t>
      </w:r>
    </w:p>
    <w:p>
      <w:pPr>
        <w:pStyle w:val="Heading5"/>
        <w:rPr>
          <w:snapToGrid w:val="0"/>
        </w:rPr>
      </w:pPr>
      <w:bookmarkStart w:id="51" w:name="_Toc117776048"/>
      <w:r>
        <w:rPr>
          <w:rStyle w:val="CharSectno"/>
        </w:rPr>
        <w:t>32</w:t>
      </w:r>
      <w:r>
        <w:rPr>
          <w:snapToGrid w:val="0"/>
        </w:rPr>
        <w:t>.</w:t>
      </w:r>
      <w:r>
        <w:rPr>
          <w:snapToGrid w:val="0"/>
        </w:rPr>
        <w:tab/>
        <w:t>Referral to other bodies</w:t>
      </w:r>
      <w:bookmarkEnd w:id="51"/>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52" w:name="_Toc117776049"/>
      <w:r>
        <w:rPr>
          <w:rStyle w:val="CharSectno"/>
        </w:rPr>
        <w:t>33</w:t>
      </w:r>
      <w:r>
        <w:rPr>
          <w:snapToGrid w:val="0"/>
        </w:rPr>
        <w:t>.</w:t>
      </w:r>
      <w:r>
        <w:rPr>
          <w:snapToGrid w:val="0"/>
        </w:rPr>
        <w:tab/>
        <w:t>Director’s duties if complaint referred under s. 32</w:t>
      </w:r>
      <w:bookmarkEnd w:id="52"/>
    </w:p>
    <w:p>
      <w:pPr>
        <w:pStyle w:val="Subsection"/>
        <w:keepNext/>
        <w:rPr>
          <w:snapToGrid w:val="0"/>
        </w:rPr>
      </w:pPr>
      <w:r>
        <w:rPr>
          <w:snapToGrid w:val="0"/>
        </w:rPr>
        <w:tab/>
      </w:r>
      <w:r>
        <w:rPr>
          <w:snapToGrid w:val="0"/>
        </w:rPr>
        <w:tab/>
        <w:t>If the Director has referred a complaint under section 32, the Director must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lastRenderedPageBreak/>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r>
        <w:tab/>
        <w:t>[Section 33 amended: No. 35 of 2010 s. 82.]</w:t>
      </w:r>
    </w:p>
    <w:p>
      <w:pPr>
        <w:pStyle w:val="Heading5"/>
        <w:rPr>
          <w:snapToGrid w:val="0"/>
        </w:rPr>
      </w:pPr>
      <w:bookmarkStart w:id="53" w:name="_Toc117776050"/>
      <w:r>
        <w:rPr>
          <w:rStyle w:val="CharSectno"/>
        </w:rPr>
        <w:t>34</w:t>
      </w:r>
      <w:r>
        <w:rPr>
          <w:snapToGrid w:val="0"/>
        </w:rPr>
        <w:t>.</w:t>
      </w:r>
      <w:r>
        <w:rPr>
          <w:snapToGrid w:val="0"/>
        </w:rPr>
        <w:tab/>
        <w:t>Preliminary assessment by Director</w:t>
      </w:r>
      <w:bookmarkEnd w:id="53"/>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lastRenderedPageBreak/>
        <w:tab/>
        <w:t>(ii)</w:t>
      </w:r>
      <w:r>
        <w:tab/>
        <w:t>an investigation is warranted, taking into account the likely costs and benefits of the investigation.</w:t>
      </w:r>
    </w:p>
    <w:p>
      <w:pPr>
        <w:pStyle w:val="Ednotesubsection"/>
      </w:pPr>
      <w:r>
        <w:tab/>
        <w:t>[(5)</w:t>
      </w:r>
      <w:r>
        <w:tab/>
        <w:t>deleted]</w:t>
      </w:r>
    </w:p>
    <w:p>
      <w:pPr>
        <w:pStyle w:val="Subsection"/>
      </w:pPr>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No. 35 of 2010 s. 83(1) and (4); No. 33 of 2010 s. 16 (as amended: No. 35 of 2010 s. 83(3)).]</w:t>
      </w:r>
    </w:p>
    <w:p>
      <w:pPr>
        <w:pStyle w:val="Heading5"/>
        <w:rPr>
          <w:snapToGrid w:val="0"/>
        </w:rPr>
      </w:pPr>
      <w:bookmarkStart w:id="54" w:name="_Toc117776051"/>
      <w:r>
        <w:rPr>
          <w:rStyle w:val="CharSectno"/>
        </w:rPr>
        <w:t>35</w:t>
      </w:r>
      <w:r>
        <w:rPr>
          <w:snapToGrid w:val="0"/>
        </w:rPr>
        <w:t>.</w:t>
      </w:r>
      <w:r>
        <w:rPr>
          <w:snapToGrid w:val="0"/>
        </w:rPr>
        <w:tab/>
        <w:t>Notice to provider and others</w:t>
      </w:r>
      <w:bookmarkEnd w:id="54"/>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lastRenderedPageBreak/>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r>
        <w:tab/>
        <w:t>(4)</w:t>
      </w:r>
      <w:r>
        <w:tab/>
        <w:t>Subject to subsection (2), a notice given under this section must include a copy or the details of the complaint concerned.</w:t>
      </w:r>
    </w:p>
    <w:p>
      <w:pPr>
        <w:pStyle w:val="Footnotesection"/>
        <w:spacing w:before="100"/>
        <w:ind w:left="890" w:hanging="890"/>
      </w:pPr>
      <w:r>
        <w:tab/>
        <w:t>[Section 35 amended: No. 33 of 2010 s. 17(1)(b) and (2) (as amended: No. 35 of 2010 s. 84(2)); No. 35 of 2010 s. 84.]</w:t>
      </w:r>
    </w:p>
    <w:p>
      <w:pPr>
        <w:pStyle w:val="Heading5"/>
      </w:pPr>
      <w:bookmarkStart w:id="55" w:name="_Toc117776052"/>
      <w:r>
        <w:rPr>
          <w:rStyle w:val="CharSectno"/>
        </w:rPr>
        <w:t>36A</w:t>
      </w:r>
      <w:r>
        <w:t>.</w:t>
      </w:r>
      <w:r>
        <w:tab/>
        <w:t>Response by provider</w:t>
      </w:r>
      <w:bookmarkEnd w:id="55"/>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No. 33 of 2010 s. 18.]</w:t>
      </w:r>
    </w:p>
    <w:p>
      <w:pPr>
        <w:pStyle w:val="Heading5"/>
      </w:pPr>
      <w:bookmarkStart w:id="56" w:name="_Toc117776053"/>
      <w:r>
        <w:rPr>
          <w:rStyle w:val="CharSectno"/>
        </w:rPr>
        <w:lastRenderedPageBreak/>
        <w:t>36BA</w:t>
      </w:r>
      <w:r>
        <w:t>.</w:t>
      </w:r>
      <w:r>
        <w:tab/>
        <w:t>Protection of provider’s statements</w:t>
      </w:r>
      <w:bookmarkEnd w:id="56"/>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No. 33 of 2010 s. 18.]</w:t>
      </w:r>
    </w:p>
    <w:p>
      <w:pPr>
        <w:pStyle w:val="Heading3"/>
      </w:pPr>
      <w:bookmarkStart w:id="57" w:name="_Toc117775137"/>
      <w:bookmarkStart w:id="58" w:name="_Toc117775443"/>
      <w:bookmarkStart w:id="59" w:name="_Toc117776054"/>
      <w:r>
        <w:rPr>
          <w:rStyle w:val="CharDivNo"/>
        </w:rPr>
        <w:t>Division 3A</w:t>
      </w:r>
      <w:r>
        <w:t> — </w:t>
      </w:r>
      <w:r>
        <w:rPr>
          <w:rStyle w:val="CharDivText"/>
        </w:rPr>
        <w:t>Negotiated settlement</w:t>
      </w:r>
      <w:bookmarkEnd w:id="57"/>
      <w:bookmarkEnd w:id="58"/>
      <w:bookmarkEnd w:id="59"/>
    </w:p>
    <w:p>
      <w:pPr>
        <w:pStyle w:val="Footnoteheading"/>
        <w:spacing w:before="100"/>
      </w:pPr>
      <w:r>
        <w:tab/>
        <w:t>[Heading inserted: No. 33 of 2010 s. 19.]</w:t>
      </w:r>
    </w:p>
    <w:p>
      <w:pPr>
        <w:pStyle w:val="Heading5"/>
      </w:pPr>
      <w:bookmarkStart w:id="60" w:name="_Toc117776055"/>
      <w:r>
        <w:rPr>
          <w:rStyle w:val="CharSectno"/>
        </w:rPr>
        <w:t>36B</w:t>
      </w:r>
      <w:r>
        <w:t>.</w:t>
      </w:r>
      <w:r>
        <w:tab/>
        <w:t>Resolving complaints by negotiation</w:t>
      </w:r>
      <w:bookmarkEnd w:id="60"/>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lastRenderedPageBreak/>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No. 33 of 2010 s. 19.]</w:t>
      </w:r>
    </w:p>
    <w:p>
      <w:pPr>
        <w:pStyle w:val="Heading5"/>
      </w:pPr>
      <w:bookmarkStart w:id="61" w:name="_Toc117776056"/>
      <w:r>
        <w:rPr>
          <w:rStyle w:val="CharSectno"/>
        </w:rPr>
        <w:t>36C</w:t>
      </w:r>
      <w:r>
        <w:t>.</w:t>
      </w:r>
      <w:r>
        <w:tab/>
        <w:t>Protection of statements made</w:t>
      </w:r>
      <w:bookmarkEnd w:id="61"/>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No. 33 of 2010 s. 19.]</w:t>
      </w:r>
    </w:p>
    <w:p>
      <w:pPr>
        <w:pStyle w:val="Heading3"/>
      </w:pPr>
      <w:bookmarkStart w:id="62" w:name="_Toc117775140"/>
      <w:bookmarkStart w:id="63" w:name="_Toc117775446"/>
      <w:bookmarkStart w:id="64" w:name="_Toc117776057"/>
      <w:r>
        <w:rPr>
          <w:rStyle w:val="CharDivNo"/>
        </w:rPr>
        <w:t>Division 3</w:t>
      </w:r>
      <w:r>
        <w:rPr>
          <w:snapToGrid w:val="0"/>
        </w:rPr>
        <w:t> — </w:t>
      </w:r>
      <w:r>
        <w:rPr>
          <w:rStyle w:val="CharDivText"/>
        </w:rPr>
        <w:t>Conciliation</w:t>
      </w:r>
      <w:bookmarkEnd w:id="62"/>
      <w:bookmarkEnd w:id="63"/>
      <w:bookmarkEnd w:id="64"/>
    </w:p>
    <w:p>
      <w:pPr>
        <w:pStyle w:val="Heading5"/>
        <w:rPr>
          <w:snapToGrid w:val="0"/>
        </w:rPr>
      </w:pPr>
      <w:bookmarkStart w:id="65" w:name="_Toc117776058"/>
      <w:r>
        <w:rPr>
          <w:rStyle w:val="CharSectno"/>
        </w:rPr>
        <w:t>36</w:t>
      </w:r>
      <w:r>
        <w:rPr>
          <w:snapToGrid w:val="0"/>
        </w:rPr>
        <w:t>.</w:t>
      </w:r>
      <w:r>
        <w:rPr>
          <w:snapToGrid w:val="0"/>
        </w:rPr>
        <w:tab/>
        <w:t>Assignment of conciliator</w:t>
      </w:r>
      <w:bookmarkEnd w:id="65"/>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66" w:name="_Toc117776059"/>
      <w:r>
        <w:rPr>
          <w:rStyle w:val="CharSectno"/>
        </w:rPr>
        <w:lastRenderedPageBreak/>
        <w:t>37</w:t>
      </w:r>
      <w:r>
        <w:rPr>
          <w:snapToGrid w:val="0"/>
        </w:rPr>
        <w:t>.</w:t>
      </w:r>
      <w:r>
        <w:rPr>
          <w:snapToGrid w:val="0"/>
        </w:rPr>
        <w:tab/>
        <w:t>Notice of referral for conciliation</w:t>
      </w:r>
      <w:bookmarkEnd w:id="66"/>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No. 74 of 2003 s. 65.]</w:t>
      </w:r>
    </w:p>
    <w:p>
      <w:pPr>
        <w:pStyle w:val="Heading5"/>
        <w:rPr>
          <w:snapToGrid w:val="0"/>
        </w:rPr>
      </w:pPr>
      <w:bookmarkStart w:id="67" w:name="_Toc117776060"/>
      <w:r>
        <w:rPr>
          <w:rStyle w:val="CharSectno"/>
        </w:rPr>
        <w:t>38</w:t>
      </w:r>
      <w:r>
        <w:rPr>
          <w:snapToGrid w:val="0"/>
        </w:rPr>
        <w:t>.</w:t>
      </w:r>
      <w:r>
        <w:rPr>
          <w:snapToGrid w:val="0"/>
        </w:rPr>
        <w:tab/>
        <w:t>Role of conciliator</w:t>
      </w:r>
      <w:bookmarkEnd w:id="67"/>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68" w:name="_Toc117776061"/>
      <w:r>
        <w:rPr>
          <w:rStyle w:val="CharSectno"/>
        </w:rPr>
        <w:t>39</w:t>
      </w:r>
      <w:r>
        <w:rPr>
          <w:snapToGrid w:val="0"/>
        </w:rPr>
        <w:t>.</w:t>
      </w:r>
      <w:r>
        <w:rPr>
          <w:snapToGrid w:val="0"/>
        </w:rPr>
        <w:tab/>
        <w:t>Representation in conciliation process</w:t>
      </w:r>
      <w:bookmarkEnd w:id="68"/>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69" w:name="_Toc117776062"/>
      <w:r>
        <w:rPr>
          <w:rStyle w:val="CharSectno"/>
        </w:rPr>
        <w:lastRenderedPageBreak/>
        <w:t>40</w:t>
      </w:r>
      <w:r>
        <w:rPr>
          <w:snapToGrid w:val="0"/>
        </w:rPr>
        <w:t>.</w:t>
      </w:r>
      <w:r>
        <w:rPr>
          <w:snapToGrid w:val="0"/>
        </w:rPr>
        <w:tab/>
        <w:t>Reports by conciliator</w:t>
      </w:r>
      <w:bookmarkEnd w:id="69"/>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70" w:name="_Toc117776063"/>
      <w:r>
        <w:rPr>
          <w:rStyle w:val="CharSectno"/>
        </w:rPr>
        <w:t>41</w:t>
      </w:r>
      <w:r>
        <w:rPr>
          <w:snapToGrid w:val="0"/>
        </w:rPr>
        <w:t>.</w:t>
      </w:r>
      <w:r>
        <w:rPr>
          <w:snapToGrid w:val="0"/>
        </w:rPr>
        <w:tab/>
        <w:t>Parties may resolve complaint</w:t>
      </w:r>
      <w:bookmarkEnd w:id="70"/>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lastRenderedPageBreak/>
        <w:tab/>
        <w:t>(3)</w:t>
      </w:r>
      <w:r>
        <w:rPr>
          <w:snapToGrid w:val="0"/>
        </w:rPr>
        <w:tab/>
        <w:t>When the Director or a conciliator becomes aware that a complaint has been resolved he or she must stop dealing with the complaint under this Act.</w:t>
      </w:r>
    </w:p>
    <w:p>
      <w:pPr>
        <w:pStyle w:val="Footnotesection"/>
      </w:pPr>
      <w:r>
        <w:tab/>
        <w:t>[Section 41 amended: No. 33 of 2010 s. 20.]</w:t>
      </w:r>
    </w:p>
    <w:p>
      <w:pPr>
        <w:pStyle w:val="Heading5"/>
        <w:rPr>
          <w:snapToGrid w:val="0"/>
        </w:rPr>
      </w:pPr>
      <w:bookmarkStart w:id="71" w:name="_Toc117776064"/>
      <w:r>
        <w:rPr>
          <w:rStyle w:val="CharSectno"/>
        </w:rPr>
        <w:t>42</w:t>
      </w:r>
      <w:r>
        <w:rPr>
          <w:snapToGrid w:val="0"/>
        </w:rPr>
        <w:t>.</w:t>
      </w:r>
      <w:r>
        <w:rPr>
          <w:snapToGrid w:val="0"/>
        </w:rPr>
        <w:tab/>
        <w:t>Protection of statements made</w:t>
      </w:r>
      <w:bookmarkEnd w:id="71"/>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72" w:name="_Toc117775148"/>
      <w:bookmarkStart w:id="73" w:name="_Toc117775454"/>
      <w:bookmarkStart w:id="74" w:name="_Toc117776065"/>
      <w:r>
        <w:rPr>
          <w:rStyle w:val="CharDivNo"/>
        </w:rPr>
        <w:t>Division 4</w:t>
      </w:r>
      <w:r>
        <w:rPr>
          <w:snapToGrid w:val="0"/>
        </w:rPr>
        <w:t> — </w:t>
      </w:r>
      <w:r>
        <w:rPr>
          <w:rStyle w:val="CharDivText"/>
        </w:rPr>
        <w:t>Subsequent action</w:t>
      </w:r>
      <w:bookmarkEnd w:id="72"/>
      <w:bookmarkEnd w:id="73"/>
      <w:bookmarkEnd w:id="74"/>
    </w:p>
    <w:p>
      <w:pPr>
        <w:pStyle w:val="Heading5"/>
        <w:rPr>
          <w:snapToGrid w:val="0"/>
        </w:rPr>
      </w:pPr>
      <w:bookmarkStart w:id="75" w:name="_Toc117776066"/>
      <w:r>
        <w:rPr>
          <w:rStyle w:val="CharSectno"/>
        </w:rPr>
        <w:t>43</w:t>
      </w:r>
      <w:r>
        <w:rPr>
          <w:snapToGrid w:val="0"/>
        </w:rPr>
        <w:t>.</w:t>
      </w:r>
      <w:r>
        <w:rPr>
          <w:snapToGrid w:val="0"/>
        </w:rPr>
        <w:tab/>
        <w:t>Director’s duties after conciliator’s recommendation</w:t>
      </w:r>
      <w:bookmarkEnd w:id="75"/>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lastRenderedPageBreak/>
        <w:tab/>
        <w:t>(c)</w:t>
      </w:r>
      <w:r>
        <w:rPr>
          <w:snapToGrid w:val="0"/>
        </w:rPr>
        <w:tab/>
        <w:t>deal with it in any other way authorised by this Act.</w:t>
      </w:r>
    </w:p>
    <w:p>
      <w:pPr>
        <w:pStyle w:val="Footnotesection"/>
      </w:pPr>
      <w:r>
        <w:tab/>
        <w:t>[Section 43 amended: No. 35 of 2010 s. 85.]</w:t>
      </w:r>
    </w:p>
    <w:p>
      <w:pPr>
        <w:pStyle w:val="Heading5"/>
        <w:rPr>
          <w:snapToGrid w:val="0"/>
        </w:rPr>
      </w:pPr>
      <w:bookmarkStart w:id="76" w:name="_Toc117776067"/>
      <w:r>
        <w:rPr>
          <w:rStyle w:val="CharSectno"/>
        </w:rPr>
        <w:t>44</w:t>
      </w:r>
      <w:r>
        <w:rPr>
          <w:snapToGrid w:val="0"/>
        </w:rPr>
        <w:t>.</w:t>
      </w:r>
      <w:r>
        <w:rPr>
          <w:snapToGrid w:val="0"/>
        </w:rPr>
        <w:tab/>
        <w:t>Notice of investigation by Director</w:t>
      </w:r>
      <w:bookmarkEnd w:id="76"/>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r>
        <w:tab/>
        <w:t>[Section 44 amended: No. 33 of 2010 s. 21; No. 35 of 2010 s. 86.]</w:t>
      </w:r>
    </w:p>
    <w:p>
      <w:pPr>
        <w:pStyle w:val="Heading5"/>
        <w:rPr>
          <w:snapToGrid w:val="0"/>
        </w:rPr>
      </w:pPr>
      <w:bookmarkStart w:id="77" w:name="_Toc117776068"/>
      <w:r>
        <w:rPr>
          <w:rStyle w:val="CharSectno"/>
        </w:rPr>
        <w:t>45</w:t>
      </w:r>
      <w:r>
        <w:rPr>
          <w:snapToGrid w:val="0"/>
        </w:rPr>
        <w:t>.</w:t>
      </w:r>
      <w:r>
        <w:rPr>
          <w:snapToGrid w:val="0"/>
        </w:rPr>
        <w:tab/>
        <w:t>Further power to investigate</w:t>
      </w:r>
      <w:bookmarkEnd w:id="77"/>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r>
        <w:t>[</w:t>
      </w:r>
      <w:r>
        <w:rPr>
          <w:b/>
          <w:bCs/>
        </w:rPr>
        <w:t>46.</w:t>
      </w:r>
      <w:r>
        <w:tab/>
        <w:t>Deleted: No. 35 of 2010 s. 87.]</w:t>
      </w:r>
    </w:p>
    <w:p>
      <w:pPr>
        <w:pStyle w:val="Heading5"/>
        <w:rPr>
          <w:snapToGrid w:val="0"/>
        </w:rPr>
      </w:pPr>
      <w:bookmarkStart w:id="78" w:name="_Toc117776069"/>
      <w:r>
        <w:rPr>
          <w:rStyle w:val="CharSectno"/>
        </w:rPr>
        <w:t>47</w:t>
      </w:r>
      <w:r>
        <w:rPr>
          <w:snapToGrid w:val="0"/>
        </w:rPr>
        <w:t>.</w:t>
      </w:r>
      <w:r>
        <w:rPr>
          <w:snapToGrid w:val="0"/>
        </w:rPr>
        <w:tab/>
        <w:t>Conciliator must not investigate</w:t>
      </w:r>
      <w:bookmarkEnd w:id="78"/>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79" w:name="_Toc117776070"/>
      <w:r>
        <w:rPr>
          <w:rStyle w:val="CharSectno"/>
        </w:rPr>
        <w:t>48</w:t>
      </w:r>
      <w:r>
        <w:rPr>
          <w:snapToGrid w:val="0"/>
        </w:rPr>
        <w:t>.</w:t>
      </w:r>
      <w:r>
        <w:rPr>
          <w:snapToGrid w:val="0"/>
        </w:rPr>
        <w:tab/>
        <w:t>Purpose of investigation, and procedure</w:t>
      </w:r>
      <w:bookmarkEnd w:id="79"/>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pPr>
        <w:pStyle w:val="Subsection"/>
        <w:keepNext/>
        <w:spacing w:before="120"/>
        <w:rPr>
          <w:snapToGrid w:val="0"/>
        </w:rPr>
      </w:pPr>
      <w:r>
        <w:rPr>
          <w:snapToGrid w:val="0"/>
        </w:rPr>
        <w:lastRenderedPageBreak/>
        <w:tab/>
        <w:t>(2)</w:t>
      </w:r>
      <w:r>
        <w:rPr>
          <w:snapToGrid w:val="0"/>
        </w:rPr>
        <w:tab/>
        <w:t xml:space="preserve">In conducting an investigation </w:t>
      </w:r>
      <w:r>
        <w:t>of a complaint or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r>
        <w:tab/>
        <w:t>[Section 48 amended: No. 33 of 2010 s. 22.]</w:t>
      </w:r>
    </w:p>
    <w:p>
      <w:pPr>
        <w:pStyle w:val="Ednotesection"/>
        <w:ind w:left="0" w:firstLine="0"/>
      </w:pPr>
      <w:r>
        <w:t>[</w:t>
      </w:r>
      <w:r>
        <w:rPr>
          <w:b/>
          <w:bCs/>
        </w:rPr>
        <w:t>49.</w:t>
      </w:r>
      <w:r>
        <w:tab/>
        <w:t>Deleted: No. 35 of 2010 s. 88.]</w:t>
      </w:r>
    </w:p>
    <w:p>
      <w:pPr>
        <w:pStyle w:val="Heading5"/>
        <w:rPr>
          <w:snapToGrid w:val="0"/>
        </w:rPr>
      </w:pPr>
      <w:bookmarkStart w:id="80" w:name="_Toc117776071"/>
      <w:r>
        <w:rPr>
          <w:rStyle w:val="CharSectno"/>
        </w:rPr>
        <w:t>50</w:t>
      </w:r>
      <w:r>
        <w:rPr>
          <w:snapToGrid w:val="0"/>
        </w:rPr>
        <w:t>.</w:t>
      </w:r>
      <w:r>
        <w:rPr>
          <w:snapToGrid w:val="0"/>
        </w:rPr>
        <w:tab/>
        <w:t>Remedial action where complaint justified</w:t>
      </w:r>
      <w:bookmarkEnd w:id="80"/>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lastRenderedPageBreak/>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r>
        <w:tab/>
        <w:t>[Section 50 amended: No. 33 of 2010 s. 23.]</w:t>
      </w:r>
    </w:p>
    <w:p>
      <w:pPr>
        <w:pStyle w:val="Heading5"/>
        <w:rPr>
          <w:snapToGrid w:val="0"/>
        </w:rPr>
      </w:pPr>
      <w:bookmarkStart w:id="81" w:name="_Toc117776072"/>
      <w:r>
        <w:rPr>
          <w:rStyle w:val="CharSectno"/>
        </w:rPr>
        <w:t>51</w:t>
      </w:r>
      <w:r>
        <w:rPr>
          <w:snapToGrid w:val="0"/>
        </w:rPr>
        <w:t>.</w:t>
      </w:r>
      <w:r>
        <w:rPr>
          <w:snapToGrid w:val="0"/>
        </w:rPr>
        <w:tab/>
        <w:t>Provider must report on remedial action</w:t>
      </w:r>
      <w:bookmarkEnd w:id="81"/>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82" w:name="_Toc117776073"/>
      <w:r>
        <w:rPr>
          <w:rStyle w:val="CharSectno"/>
        </w:rPr>
        <w:t>52A</w:t>
      </w:r>
      <w:r>
        <w:t>.</w:t>
      </w:r>
      <w:r>
        <w:tab/>
        <w:t>Report to Parliament if report not made under s. 51 or remedial action not taken</w:t>
      </w:r>
      <w:bookmarkEnd w:id="82"/>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lastRenderedPageBreak/>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No. 33 of 2010 s. 24.]</w:t>
      </w:r>
    </w:p>
    <w:p>
      <w:pPr>
        <w:pStyle w:val="Heading3"/>
      </w:pPr>
      <w:bookmarkStart w:id="83" w:name="_Toc117775157"/>
      <w:bookmarkStart w:id="84" w:name="_Toc117775463"/>
      <w:bookmarkStart w:id="85" w:name="_Toc117776074"/>
      <w:r>
        <w:rPr>
          <w:rStyle w:val="CharDivNo"/>
        </w:rPr>
        <w:t>Division 5</w:t>
      </w:r>
      <w:r>
        <w:rPr>
          <w:snapToGrid w:val="0"/>
        </w:rPr>
        <w:t> — </w:t>
      </w:r>
      <w:r>
        <w:rPr>
          <w:rStyle w:val="CharDivText"/>
        </w:rPr>
        <w:t>General</w:t>
      </w:r>
      <w:bookmarkEnd w:id="83"/>
      <w:bookmarkEnd w:id="84"/>
      <w:bookmarkEnd w:id="85"/>
    </w:p>
    <w:p>
      <w:pPr>
        <w:pStyle w:val="Heading5"/>
        <w:rPr>
          <w:snapToGrid w:val="0"/>
        </w:rPr>
      </w:pPr>
      <w:bookmarkStart w:id="86" w:name="_Toc117776075"/>
      <w:r>
        <w:rPr>
          <w:rStyle w:val="CharSectno"/>
        </w:rPr>
        <w:t>52</w:t>
      </w:r>
      <w:r>
        <w:rPr>
          <w:snapToGrid w:val="0"/>
        </w:rPr>
        <w:t>.</w:t>
      </w:r>
      <w:r>
        <w:rPr>
          <w:snapToGrid w:val="0"/>
        </w:rPr>
        <w:tab/>
        <w:t>Director to stop proceedings in some cases</w:t>
      </w:r>
      <w:bookmarkEnd w:id="86"/>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 xml:space="preserve">If the Director has stopped dealing with an issue and later becomes aware that the user or the provider has withdrawn or abandoned legal proceedings which relate to that issue, the </w:t>
      </w:r>
      <w:r>
        <w:rPr>
          <w:snapToGrid w:val="0"/>
        </w:rPr>
        <w:lastRenderedPageBreak/>
        <w:t>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No. 55 of 2004 s. 496.]</w:t>
      </w:r>
    </w:p>
    <w:p>
      <w:pPr>
        <w:pStyle w:val="Ednotesection"/>
      </w:pPr>
      <w:r>
        <w:t>[</w:t>
      </w:r>
      <w:r>
        <w:rPr>
          <w:b/>
          <w:bCs/>
        </w:rPr>
        <w:t>53-55.</w:t>
      </w:r>
      <w:r>
        <w:tab/>
        <w:t>Deleted: No. 35 of 2010 s. 89.]</w:t>
      </w:r>
    </w:p>
    <w:p>
      <w:pPr>
        <w:pStyle w:val="Heading5"/>
        <w:rPr>
          <w:snapToGrid w:val="0"/>
        </w:rPr>
      </w:pPr>
      <w:bookmarkStart w:id="87" w:name="_Toc117776076"/>
      <w:r>
        <w:rPr>
          <w:rStyle w:val="CharSectno"/>
        </w:rPr>
        <w:t>56</w:t>
      </w:r>
      <w:r>
        <w:rPr>
          <w:snapToGrid w:val="0"/>
        </w:rPr>
        <w:t>.</w:t>
      </w:r>
      <w:r>
        <w:rPr>
          <w:snapToGrid w:val="0"/>
        </w:rPr>
        <w:tab/>
        <w:t>Reports to, and at request of, Parliament</w:t>
      </w:r>
      <w:bookmarkEnd w:id="87"/>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lastRenderedPageBreak/>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No. 77 of 2006 Sch. 1 cl. 82(4); No. 33 of 2010 s. 25.]</w:t>
      </w:r>
    </w:p>
    <w:p>
      <w:pPr>
        <w:pStyle w:val="Heading5"/>
        <w:rPr>
          <w:snapToGrid w:val="0"/>
        </w:rPr>
      </w:pPr>
      <w:bookmarkStart w:id="88" w:name="_Toc117776077"/>
      <w:r>
        <w:rPr>
          <w:rStyle w:val="CharSectno"/>
        </w:rPr>
        <w:t>57</w:t>
      </w:r>
      <w:r>
        <w:rPr>
          <w:snapToGrid w:val="0"/>
        </w:rPr>
        <w:t>.</w:t>
      </w:r>
      <w:r>
        <w:rPr>
          <w:snapToGrid w:val="0"/>
        </w:rPr>
        <w:tab/>
        <w:t>Action if a House not sitting</w:t>
      </w:r>
      <w:bookmarkEnd w:id="88"/>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No. 8 of 2009 s. 73.]</w:t>
      </w:r>
    </w:p>
    <w:p>
      <w:pPr>
        <w:pStyle w:val="Heading5"/>
        <w:rPr>
          <w:snapToGrid w:val="0"/>
        </w:rPr>
      </w:pPr>
      <w:bookmarkStart w:id="89" w:name="_Toc117776078"/>
      <w:r>
        <w:rPr>
          <w:rStyle w:val="CharSectno"/>
        </w:rPr>
        <w:t>58</w:t>
      </w:r>
      <w:r>
        <w:rPr>
          <w:snapToGrid w:val="0"/>
        </w:rPr>
        <w:t>.</w:t>
      </w:r>
      <w:r>
        <w:rPr>
          <w:snapToGrid w:val="0"/>
        </w:rPr>
        <w:tab/>
        <w:t>Saving</w:t>
      </w:r>
      <w:bookmarkEnd w:id="89"/>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90" w:name="_Toc117775162"/>
      <w:bookmarkStart w:id="91" w:name="_Toc117775468"/>
      <w:bookmarkStart w:id="92" w:name="_Toc117776079"/>
      <w:r>
        <w:rPr>
          <w:rStyle w:val="CharPartNo"/>
        </w:rPr>
        <w:lastRenderedPageBreak/>
        <w:t>Part 4</w:t>
      </w:r>
      <w:r>
        <w:rPr>
          <w:rStyle w:val="CharDivNo"/>
        </w:rPr>
        <w:t> </w:t>
      </w:r>
      <w:r>
        <w:t>—</w:t>
      </w:r>
      <w:r>
        <w:rPr>
          <w:rStyle w:val="CharDivText"/>
        </w:rPr>
        <w:t> </w:t>
      </w:r>
      <w:r>
        <w:rPr>
          <w:rStyle w:val="CharPartText"/>
        </w:rPr>
        <w:t>Director’s powers to obtain information and entry to premises</w:t>
      </w:r>
      <w:bookmarkEnd w:id="90"/>
      <w:bookmarkEnd w:id="91"/>
      <w:bookmarkEnd w:id="92"/>
    </w:p>
    <w:p>
      <w:pPr>
        <w:pStyle w:val="Heading5"/>
        <w:rPr>
          <w:snapToGrid w:val="0"/>
        </w:rPr>
      </w:pPr>
      <w:bookmarkStart w:id="93" w:name="_Toc117776080"/>
      <w:r>
        <w:rPr>
          <w:rStyle w:val="CharSectno"/>
        </w:rPr>
        <w:t>59</w:t>
      </w:r>
      <w:r>
        <w:rPr>
          <w:snapToGrid w:val="0"/>
        </w:rPr>
        <w:t>.</w:t>
      </w:r>
      <w:r>
        <w:rPr>
          <w:snapToGrid w:val="0"/>
        </w:rPr>
        <w:tab/>
        <w:t>Restriction on powers</w:t>
      </w:r>
      <w:bookmarkEnd w:id="93"/>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r>
        <w:tab/>
        <w:t>[Section 59 amended: No. 33 of 2010 s. 26.]</w:t>
      </w:r>
    </w:p>
    <w:p>
      <w:pPr>
        <w:pStyle w:val="Heading5"/>
        <w:rPr>
          <w:snapToGrid w:val="0"/>
        </w:rPr>
      </w:pPr>
      <w:bookmarkStart w:id="94" w:name="_Toc117776081"/>
      <w:r>
        <w:rPr>
          <w:rStyle w:val="CharSectno"/>
        </w:rPr>
        <w:t>60</w:t>
      </w:r>
      <w:r>
        <w:rPr>
          <w:snapToGrid w:val="0"/>
        </w:rPr>
        <w:t>.</w:t>
      </w:r>
      <w:r>
        <w:rPr>
          <w:snapToGrid w:val="0"/>
        </w:rPr>
        <w:tab/>
        <w:t>Power to summons etc.</w:t>
      </w:r>
      <w:bookmarkEnd w:id="94"/>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95" w:name="_Toc117776082"/>
      <w:r>
        <w:rPr>
          <w:rStyle w:val="CharSectno"/>
        </w:rPr>
        <w:t>61</w:t>
      </w:r>
      <w:r>
        <w:rPr>
          <w:snapToGrid w:val="0"/>
        </w:rPr>
        <w:t>.</w:t>
      </w:r>
      <w:r>
        <w:rPr>
          <w:snapToGrid w:val="0"/>
        </w:rPr>
        <w:tab/>
        <w:t>False statements</w:t>
      </w:r>
      <w:bookmarkEnd w:id="95"/>
    </w:p>
    <w:p>
      <w:pPr>
        <w:pStyle w:val="Subsection"/>
        <w:rPr>
          <w:snapToGrid w:val="0"/>
        </w:rPr>
      </w:pPr>
      <w:r>
        <w:rPr>
          <w:snapToGrid w:val="0"/>
        </w:rPr>
        <w:tab/>
      </w:r>
      <w:r>
        <w:rPr>
          <w:snapToGrid w:val="0"/>
        </w:rPr>
        <w:tab/>
        <w:t xml:space="preserve">A person must not make a statement or give any information or answer for the purposes of an investigation </w:t>
      </w:r>
      <w:r>
        <w:t xml:space="preserve">of a complaint or </w:t>
      </w:r>
      <w:r>
        <w:lastRenderedPageBreak/>
        <w:t>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r>
        <w:tab/>
        <w:t>[Section 61 amended: No. 33 of 2010 s. 27.]</w:t>
      </w:r>
    </w:p>
    <w:p>
      <w:pPr>
        <w:pStyle w:val="Heading5"/>
        <w:rPr>
          <w:snapToGrid w:val="0"/>
        </w:rPr>
      </w:pPr>
      <w:bookmarkStart w:id="96" w:name="_Toc117776083"/>
      <w:r>
        <w:rPr>
          <w:rStyle w:val="CharSectno"/>
        </w:rPr>
        <w:t>62</w:t>
      </w:r>
      <w:r>
        <w:rPr>
          <w:snapToGrid w:val="0"/>
        </w:rPr>
        <w:t>.</w:t>
      </w:r>
      <w:r>
        <w:rPr>
          <w:snapToGrid w:val="0"/>
        </w:rPr>
        <w:tab/>
        <w:t>Failure to attend, take oath etc.</w:t>
      </w:r>
      <w:bookmarkEnd w:id="96"/>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97" w:name="_Toc117776084"/>
      <w:r>
        <w:rPr>
          <w:rStyle w:val="CharSectno"/>
        </w:rPr>
        <w:t>63</w:t>
      </w:r>
      <w:r>
        <w:rPr>
          <w:snapToGrid w:val="0"/>
        </w:rPr>
        <w:t>.</w:t>
      </w:r>
      <w:r>
        <w:rPr>
          <w:snapToGrid w:val="0"/>
        </w:rPr>
        <w:tab/>
        <w:t>Application for warrant to enter premises etc.</w:t>
      </w:r>
      <w:bookmarkEnd w:id="97"/>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lastRenderedPageBreak/>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No. 24 of 2000 s. 17.]</w:t>
      </w:r>
    </w:p>
    <w:p>
      <w:pPr>
        <w:pStyle w:val="Heading5"/>
        <w:rPr>
          <w:snapToGrid w:val="0"/>
        </w:rPr>
      </w:pPr>
      <w:bookmarkStart w:id="98" w:name="_Toc117776085"/>
      <w:r>
        <w:rPr>
          <w:rStyle w:val="CharSectno"/>
        </w:rPr>
        <w:t>64</w:t>
      </w:r>
      <w:r>
        <w:rPr>
          <w:snapToGrid w:val="0"/>
        </w:rPr>
        <w:t>.</w:t>
      </w:r>
      <w:r>
        <w:rPr>
          <w:snapToGrid w:val="0"/>
        </w:rPr>
        <w:tab/>
        <w:t>Issue of warrant</w:t>
      </w:r>
      <w:bookmarkEnd w:id="98"/>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with him or her such persons as are necessary for exercising the powers conferred by this section; and</w:t>
      </w:r>
    </w:p>
    <w:p>
      <w:pPr>
        <w:pStyle w:val="Indenta"/>
        <w:rPr>
          <w:snapToGrid w:val="0"/>
        </w:rPr>
      </w:pPr>
      <w:r>
        <w:rPr>
          <w:snapToGrid w:val="0"/>
        </w:rPr>
        <w:lastRenderedPageBreak/>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64 amended: No. 33 of 2010 s. 28.]</w:t>
      </w:r>
    </w:p>
    <w:p>
      <w:pPr>
        <w:pStyle w:val="Heading5"/>
        <w:rPr>
          <w:snapToGrid w:val="0"/>
        </w:rPr>
      </w:pPr>
      <w:bookmarkStart w:id="99" w:name="_Toc117776086"/>
      <w:r>
        <w:rPr>
          <w:rStyle w:val="CharSectno"/>
        </w:rPr>
        <w:t>65</w:t>
      </w:r>
      <w:r>
        <w:rPr>
          <w:snapToGrid w:val="0"/>
        </w:rPr>
        <w:t>.</w:t>
      </w:r>
      <w:r>
        <w:rPr>
          <w:snapToGrid w:val="0"/>
        </w:rPr>
        <w:tab/>
        <w:t>Execution of warrant</w:t>
      </w:r>
      <w:bookmarkEnd w:id="99"/>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5"/>
        <w:rPr>
          <w:snapToGrid w:val="0"/>
        </w:rPr>
      </w:pPr>
      <w:bookmarkStart w:id="100" w:name="_Toc117776087"/>
      <w:r>
        <w:rPr>
          <w:rStyle w:val="CharSectno"/>
        </w:rPr>
        <w:t>66</w:t>
      </w:r>
      <w:r>
        <w:rPr>
          <w:snapToGrid w:val="0"/>
        </w:rPr>
        <w:t>.</w:t>
      </w:r>
      <w:r>
        <w:rPr>
          <w:snapToGrid w:val="0"/>
        </w:rPr>
        <w:tab/>
        <w:t>Offences relating to warrants</w:t>
      </w:r>
      <w:bookmarkEnd w:id="100"/>
    </w:p>
    <w:p>
      <w:pPr>
        <w:pStyle w:val="Subsection"/>
        <w:rPr>
          <w:snapToGrid w:val="0"/>
        </w:rPr>
      </w:pPr>
      <w:r>
        <w:rPr>
          <w:snapToGrid w:val="0"/>
        </w:rPr>
        <w:tab/>
        <w:t>(1)</w:t>
      </w:r>
      <w:r>
        <w:rPr>
          <w:snapToGrid w:val="0"/>
        </w:rPr>
        <w:tab/>
        <w:t xml:space="preserve">A provider and a provider’s officers, employees and agents must give to the Director or a person executing a warrant issued under section 64 all the assistance that the Director or person needs </w:t>
      </w:r>
      <w:r>
        <w:rPr>
          <w:snapToGrid w:val="0"/>
        </w:rPr>
        <w:lastRenderedPageBreak/>
        <w:t>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01" w:name="_Toc117776088"/>
      <w:r>
        <w:rPr>
          <w:rStyle w:val="CharSectno"/>
        </w:rPr>
        <w:t>67</w:t>
      </w:r>
      <w:r>
        <w:rPr>
          <w:snapToGrid w:val="0"/>
        </w:rPr>
        <w:t>.</w:t>
      </w:r>
      <w:r>
        <w:rPr>
          <w:snapToGrid w:val="0"/>
        </w:rPr>
        <w:tab/>
        <w:t>Information etc. that may be withheld</w:t>
      </w:r>
      <w:bookmarkEnd w:id="101"/>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lastRenderedPageBreak/>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102" w:name="_Toc117775172"/>
      <w:bookmarkStart w:id="103" w:name="_Toc117775478"/>
      <w:bookmarkStart w:id="104" w:name="_Toc117776089"/>
      <w:r>
        <w:rPr>
          <w:rStyle w:val="CharPartNo"/>
        </w:rPr>
        <w:lastRenderedPageBreak/>
        <w:t>Part 5</w:t>
      </w:r>
      <w:r>
        <w:rPr>
          <w:rStyle w:val="CharDivNo"/>
        </w:rPr>
        <w:t> </w:t>
      </w:r>
      <w:r>
        <w:t>—</w:t>
      </w:r>
      <w:r>
        <w:rPr>
          <w:rStyle w:val="CharDivText"/>
        </w:rPr>
        <w:t> </w:t>
      </w:r>
      <w:r>
        <w:rPr>
          <w:rStyle w:val="CharPartText"/>
        </w:rPr>
        <w:t>General</w:t>
      </w:r>
      <w:bookmarkEnd w:id="102"/>
      <w:bookmarkEnd w:id="103"/>
      <w:bookmarkEnd w:id="104"/>
    </w:p>
    <w:p>
      <w:pPr>
        <w:pStyle w:val="Heading5"/>
        <w:rPr>
          <w:snapToGrid w:val="0"/>
        </w:rPr>
      </w:pPr>
      <w:bookmarkStart w:id="105" w:name="_Toc117776090"/>
      <w:r>
        <w:rPr>
          <w:rStyle w:val="CharSectno"/>
        </w:rPr>
        <w:t>68</w:t>
      </w:r>
      <w:r>
        <w:rPr>
          <w:snapToGrid w:val="0"/>
        </w:rPr>
        <w:t>.</w:t>
      </w:r>
      <w:r>
        <w:rPr>
          <w:snapToGrid w:val="0"/>
        </w:rPr>
        <w:tab/>
        <w:t>Register of complaints</w:t>
      </w:r>
      <w:bookmarkEnd w:id="105"/>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106" w:name="_Toc117776091"/>
      <w:r>
        <w:rPr>
          <w:rStyle w:val="CharSectno"/>
        </w:rPr>
        <w:t>69</w:t>
      </w:r>
      <w:r>
        <w:rPr>
          <w:snapToGrid w:val="0"/>
        </w:rPr>
        <w:t>.</w:t>
      </w:r>
      <w:r>
        <w:rPr>
          <w:snapToGrid w:val="0"/>
        </w:rPr>
        <w:tab/>
        <w:t>Protection of Director etc. from personal liability</w:t>
      </w:r>
      <w:bookmarkEnd w:id="106"/>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lastRenderedPageBreak/>
        <w:tab/>
        <w:t>(4)</w:t>
      </w:r>
      <w:r>
        <w:rPr>
          <w:snapToGrid w:val="0"/>
        </w:rPr>
        <w:tab/>
        <w:t>In this section, a reference to the doing of anything includes a reference to the omission to do anything.</w:t>
      </w:r>
    </w:p>
    <w:p>
      <w:pPr>
        <w:pStyle w:val="Heading5"/>
        <w:rPr>
          <w:snapToGrid w:val="0"/>
        </w:rPr>
      </w:pPr>
      <w:bookmarkStart w:id="107" w:name="_Toc117776092"/>
      <w:r>
        <w:rPr>
          <w:rStyle w:val="CharSectno"/>
        </w:rPr>
        <w:t>70</w:t>
      </w:r>
      <w:r>
        <w:rPr>
          <w:snapToGrid w:val="0"/>
        </w:rPr>
        <w:t>.</w:t>
      </w:r>
      <w:r>
        <w:rPr>
          <w:snapToGrid w:val="0"/>
        </w:rPr>
        <w:tab/>
        <w:t>Protection of other persons</w:t>
      </w:r>
      <w:bookmarkEnd w:id="107"/>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108" w:name="_Toc117776093"/>
      <w:r>
        <w:rPr>
          <w:rStyle w:val="CharSectno"/>
        </w:rPr>
        <w:t>71</w:t>
      </w:r>
      <w:r>
        <w:rPr>
          <w:snapToGrid w:val="0"/>
        </w:rPr>
        <w:t>.</w:t>
      </w:r>
      <w:r>
        <w:rPr>
          <w:snapToGrid w:val="0"/>
        </w:rPr>
        <w:tab/>
        <w:t>Confidentiality</w:t>
      </w:r>
      <w:bookmarkEnd w:id="108"/>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lastRenderedPageBreak/>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r>
        <w:tab/>
        <w:t>[Section 71 amended: No. 35 of 2010 s. 90.]</w:t>
      </w:r>
    </w:p>
    <w:p>
      <w:pPr>
        <w:pStyle w:val="Heading5"/>
        <w:rPr>
          <w:snapToGrid w:val="0"/>
        </w:rPr>
      </w:pPr>
      <w:bookmarkStart w:id="109" w:name="_Toc117776094"/>
      <w:r>
        <w:rPr>
          <w:rStyle w:val="CharSectno"/>
        </w:rPr>
        <w:t>72</w:t>
      </w:r>
      <w:r>
        <w:rPr>
          <w:snapToGrid w:val="0"/>
        </w:rPr>
        <w:t>.</w:t>
      </w:r>
      <w:r>
        <w:rPr>
          <w:snapToGrid w:val="0"/>
        </w:rPr>
        <w:tab/>
        <w:t>False statements</w:t>
      </w:r>
      <w:bookmarkEnd w:id="109"/>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10" w:name="_Toc117776095"/>
      <w:r>
        <w:rPr>
          <w:rStyle w:val="CharSectno"/>
        </w:rPr>
        <w:t>73</w:t>
      </w:r>
      <w:r>
        <w:rPr>
          <w:snapToGrid w:val="0"/>
        </w:rPr>
        <w:t>.</w:t>
      </w:r>
      <w:r>
        <w:rPr>
          <w:snapToGrid w:val="0"/>
        </w:rPr>
        <w:tab/>
        <w:t>Person not to be threatened etc. because of complaining to Director</w:t>
      </w:r>
      <w:bookmarkEnd w:id="110"/>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 xml:space="preserve">refuse to employ, or dismiss, another person or subject another person to any detriment, because the other </w:t>
      </w:r>
      <w:r>
        <w:rPr>
          <w:snapToGrid w:val="0"/>
        </w:rPr>
        <w:lastRenderedPageBreak/>
        <w:t>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111" w:name="_Toc117776096"/>
      <w:r>
        <w:rPr>
          <w:rStyle w:val="CharSectno"/>
        </w:rPr>
        <w:t>74</w:t>
      </w:r>
      <w:r>
        <w:rPr>
          <w:snapToGrid w:val="0"/>
        </w:rPr>
        <w:t>.</w:t>
      </w:r>
      <w:r>
        <w:rPr>
          <w:snapToGrid w:val="0"/>
        </w:rPr>
        <w:tab/>
        <w:t xml:space="preserve">Application of </w:t>
      </w:r>
      <w:r>
        <w:rPr>
          <w:i/>
          <w:iCs/>
          <w:snapToGrid w:val="0"/>
        </w:rPr>
        <w:t>Parliamentary Commissioner Act 1971</w:t>
      </w:r>
      <w:bookmarkEnd w:id="111"/>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112" w:name="_Toc117776097"/>
      <w:r>
        <w:rPr>
          <w:rStyle w:val="CharSectno"/>
        </w:rPr>
        <w:t>75</w:t>
      </w:r>
      <w:r>
        <w:rPr>
          <w:snapToGrid w:val="0"/>
        </w:rPr>
        <w:t>.</w:t>
      </w:r>
      <w:r>
        <w:rPr>
          <w:snapToGrid w:val="0"/>
        </w:rPr>
        <w:tab/>
        <w:t>Prescribed provider must give certain information</w:t>
      </w:r>
      <w:bookmarkEnd w:id="112"/>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113" w:name="_Toc117776098"/>
      <w:r>
        <w:rPr>
          <w:rStyle w:val="CharSectno"/>
        </w:rPr>
        <w:t>76</w:t>
      </w:r>
      <w:r>
        <w:rPr>
          <w:snapToGrid w:val="0"/>
        </w:rPr>
        <w:t>.</w:t>
      </w:r>
      <w:r>
        <w:rPr>
          <w:snapToGrid w:val="0"/>
        </w:rPr>
        <w:tab/>
        <w:t>Prosecutions</w:t>
      </w:r>
      <w:bookmarkEnd w:id="113"/>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114" w:name="_Toc117776099"/>
      <w:r>
        <w:rPr>
          <w:rStyle w:val="CharSectno"/>
        </w:rPr>
        <w:lastRenderedPageBreak/>
        <w:t>77</w:t>
      </w:r>
      <w:r>
        <w:rPr>
          <w:snapToGrid w:val="0"/>
        </w:rPr>
        <w:t>.</w:t>
      </w:r>
      <w:r>
        <w:rPr>
          <w:snapToGrid w:val="0"/>
        </w:rPr>
        <w:tab/>
        <w:t>Regulations</w:t>
      </w:r>
      <w:bookmarkEnd w:id="114"/>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115" w:name="_Toc117776100"/>
      <w:r>
        <w:rPr>
          <w:rStyle w:val="CharSectno"/>
        </w:rPr>
        <w:t>78</w:t>
      </w:r>
      <w:r>
        <w:rPr>
          <w:snapToGrid w:val="0"/>
        </w:rPr>
        <w:t>.</w:t>
      </w:r>
      <w:r>
        <w:rPr>
          <w:snapToGrid w:val="0"/>
        </w:rPr>
        <w:tab/>
        <w:t>Transitional provision</w:t>
      </w:r>
      <w:bookmarkEnd w:id="115"/>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116" w:name="_Toc117776101"/>
      <w:r>
        <w:rPr>
          <w:rStyle w:val="CharSectno"/>
        </w:rPr>
        <w:t>79</w:t>
      </w:r>
      <w:r>
        <w:t>.</w:t>
      </w:r>
      <w:r>
        <w:tab/>
        <w:t>Review of Act</w:t>
      </w:r>
      <w:bookmarkEnd w:id="116"/>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No. 33 of 2010 s. 29.]</w:t>
      </w:r>
    </w:p>
    <w:p>
      <w:pPr>
        <w:pStyle w:val="Heading5"/>
      </w:pPr>
      <w:bookmarkStart w:id="117" w:name="_Toc117776102"/>
      <w:r>
        <w:rPr>
          <w:rStyle w:val="CharSectno"/>
        </w:rPr>
        <w:lastRenderedPageBreak/>
        <w:t>80</w:t>
      </w:r>
      <w:r>
        <w:t>.</w:t>
      </w:r>
      <w:r>
        <w:tab/>
        <w:t>Transitional provisions</w:t>
      </w:r>
      <w:bookmarkEnd w:id="117"/>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No. 33 of 2010 s. 30.]</w:t>
      </w:r>
    </w:p>
    <w:p>
      <w:pPr>
        <w:pStyle w:val="yEdnoteschedule"/>
        <w:rPr>
          <w:snapToGrid/>
        </w:rPr>
      </w:pPr>
      <w:r>
        <w:rPr>
          <w:snapToGrid/>
        </w:rPr>
        <w:t>[Schedule 1 deleted: No. 4 of 2018 s. 112(3).]</w:t>
      </w:r>
    </w:p>
    <w:p>
      <w:pPr>
        <w:rPr>
          <w:rStyle w:val="CharDivText"/>
        </w:rPr>
        <w:sectPr>
          <w:headerReference w:type="even" r:id="rId20"/>
          <w:headerReference w:type="default" r:id="rId21"/>
          <w:headerReference w:type="first" r:id="rId22"/>
          <w:pgSz w:w="11907" w:h="16840" w:code="9"/>
          <w:pgMar w:top="2376" w:right="2404" w:bottom="3544" w:left="2404" w:header="709" w:footer="3380" w:gutter="0"/>
          <w:pgNumType w:start="1"/>
          <w:cols w:space="720"/>
          <w:noEndnote/>
          <w:titlePg/>
          <w:docGrid w:linePitch="326"/>
        </w:sectPr>
      </w:pPr>
    </w:p>
    <w:p>
      <w:pPr>
        <w:pStyle w:val="yScheduleHeading"/>
      </w:pPr>
      <w:bookmarkStart w:id="118" w:name="_Toc117775186"/>
      <w:bookmarkStart w:id="119" w:name="_Toc117775492"/>
      <w:bookmarkStart w:id="120" w:name="_Toc117776103"/>
      <w:r>
        <w:rPr>
          <w:rStyle w:val="CharSchNo"/>
        </w:rPr>
        <w:lastRenderedPageBreak/>
        <w:t>Schedule 2</w:t>
      </w:r>
      <w:r>
        <w:t> — </w:t>
      </w:r>
      <w:r>
        <w:rPr>
          <w:rStyle w:val="CharSchText"/>
        </w:rPr>
        <w:t>Tenure, salary, conditions of service, etc., of Director</w:t>
      </w:r>
      <w:bookmarkEnd w:id="118"/>
      <w:bookmarkEnd w:id="119"/>
      <w:bookmarkEnd w:id="120"/>
    </w:p>
    <w:p>
      <w:pPr>
        <w:pStyle w:val="yShoulderClause"/>
        <w:rPr>
          <w:snapToGrid w:val="0"/>
        </w:rPr>
      </w:pPr>
      <w:r>
        <w:rPr>
          <w:snapToGrid w:val="0"/>
        </w:rPr>
        <w:t>[s. 8]</w:t>
      </w:r>
    </w:p>
    <w:p>
      <w:pPr>
        <w:pStyle w:val="yFootnoteheading"/>
      </w:pPr>
      <w:r>
        <w:tab/>
        <w:t>[Heading amended: No. 19 of 2010 s. 4.]</w:t>
      </w:r>
    </w:p>
    <w:p>
      <w:pPr>
        <w:pStyle w:val="yHeading5"/>
      </w:pPr>
      <w:bookmarkStart w:id="121" w:name="_Toc117776104"/>
      <w:r>
        <w:rPr>
          <w:rStyle w:val="CharSClsNo"/>
        </w:rPr>
        <w:t>1</w:t>
      </w:r>
      <w:r>
        <w:t>.</w:t>
      </w:r>
      <w:r>
        <w:tab/>
        <w:t>Tenure of office</w:t>
      </w:r>
      <w:bookmarkEnd w:id="121"/>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pPr>
      <w:bookmarkStart w:id="122" w:name="_Toc117776105"/>
      <w:r>
        <w:rPr>
          <w:rStyle w:val="CharSClsNo"/>
        </w:rPr>
        <w:t>2</w:t>
      </w:r>
      <w:r>
        <w:t>.</w:t>
      </w:r>
      <w:r>
        <w:tab/>
        <w:t>Salary and entitlements</w:t>
      </w:r>
      <w:bookmarkEnd w:id="122"/>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No. 39 of 2010 s. 89.]</w:t>
      </w:r>
    </w:p>
    <w:p>
      <w:pPr>
        <w:pStyle w:val="yHeading5"/>
      </w:pPr>
      <w:bookmarkStart w:id="123" w:name="_Toc117776106"/>
      <w:r>
        <w:rPr>
          <w:rStyle w:val="CharSClsNo"/>
        </w:rPr>
        <w:t>3</w:t>
      </w:r>
      <w:r>
        <w:t>.</w:t>
      </w:r>
      <w:r>
        <w:tab/>
        <w:t>Superannuation</w:t>
      </w:r>
      <w:bookmarkEnd w:id="123"/>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1</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1</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pPr>
      <w:bookmarkStart w:id="124" w:name="_Toc117776107"/>
      <w:r>
        <w:rPr>
          <w:rStyle w:val="CharSClsNo"/>
        </w:rPr>
        <w:lastRenderedPageBreak/>
        <w:t>4</w:t>
      </w:r>
      <w:r>
        <w:t>.</w:t>
      </w:r>
      <w:r>
        <w:tab/>
        <w:t>Appointment of public service officer</w:t>
      </w:r>
      <w:bookmarkEnd w:id="124"/>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pPr>
      <w:bookmarkStart w:id="125" w:name="_Toc117776108"/>
      <w:r>
        <w:rPr>
          <w:rStyle w:val="CharSClsNo"/>
        </w:rPr>
        <w:t>5</w:t>
      </w:r>
      <w:r>
        <w:t>.</w:t>
      </w:r>
      <w:r>
        <w:tab/>
        <w:t>Removal from office</w:t>
      </w:r>
      <w:bookmarkEnd w:id="125"/>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No. 18 of 2009 s. 40.]</w:t>
      </w:r>
    </w:p>
    <w:p>
      <w:pPr>
        <w:pStyle w:val="yHeading5"/>
      </w:pPr>
      <w:bookmarkStart w:id="126" w:name="_Toc117776109"/>
      <w:r>
        <w:rPr>
          <w:rStyle w:val="CharSClsNo"/>
        </w:rPr>
        <w:lastRenderedPageBreak/>
        <w:t>6</w:t>
      </w:r>
      <w:r>
        <w:t>.</w:t>
      </w:r>
      <w:r>
        <w:tab/>
        <w:t>Other conditions of service</w:t>
      </w:r>
      <w:bookmarkEnd w:id="126"/>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27" w:name="_Toc117775193"/>
      <w:bookmarkStart w:id="128" w:name="_Toc117775499"/>
      <w:bookmarkStart w:id="129" w:name="_Toc117776110"/>
      <w:r>
        <w:lastRenderedPageBreak/>
        <w:t>Notes</w:t>
      </w:r>
      <w:bookmarkEnd w:id="127"/>
      <w:bookmarkEnd w:id="128"/>
      <w:bookmarkEnd w:id="129"/>
    </w:p>
    <w:p>
      <w:pPr>
        <w:pStyle w:val="nStatement"/>
      </w:pPr>
      <w:r>
        <w:t xml:space="preserve">This is a compilation of the </w:t>
      </w:r>
      <w:r>
        <w:rPr>
          <w:i/>
          <w:noProof/>
        </w:rPr>
        <w:t>Health and Disability Services (Complaints) Act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0" w:name="_Toc117776111"/>
      <w:r>
        <w:t>Compilation table</w:t>
      </w:r>
      <w:bookmarkEnd w:id="130"/>
    </w:p>
    <w:tbl>
      <w:tblPr>
        <w:tblW w:w="7109" w:type="dxa"/>
        <w:tblInd w:w="84" w:type="dxa"/>
        <w:tblLayout w:type="fixed"/>
        <w:tblCellMar>
          <w:left w:w="56" w:type="dxa"/>
          <w:right w:w="56" w:type="dxa"/>
        </w:tblCellMar>
        <w:tblLook w:val="0000" w:firstRow="0" w:lastRow="0" w:firstColumn="0" w:lastColumn="0" w:noHBand="0" w:noVBand="0"/>
      </w:tblPr>
      <w:tblGrid>
        <w:gridCol w:w="7"/>
        <w:gridCol w:w="2245"/>
        <w:gridCol w:w="9"/>
        <w:gridCol w:w="1125"/>
        <w:gridCol w:w="9"/>
        <w:gridCol w:w="1139"/>
        <w:gridCol w:w="2549"/>
        <w:gridCol w:w="26"/>
      </w:tblGrid>
      <w:tr>
        <w:trPr>
          <w:gridBefore w:val="1"/>
          <w:wBefore w:w="7" w:type="dxa"/>
          <w:cantSplit/>
          <w:tblHeader/>
        </w:trPr>
        <w:tc>
          <w:tcPr>
            <w:tcW w:w="2254" w:type="dxa"/>
            <w:gridSpan w:val="2"/>
            <w:tcBorders>
              <w:top w:val="single" w:sz="8" w:space="0" w:color="auto"/>
              <w:bottom w:val="single" w:sz="8" w:space="0" w:color="auto"/>
            </w:tcBorders>
          </w:tcPr>
          <w:p>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pPr>
              <w:pStyle w:val="nTable"/>
              <w:spacing w:before="26" w:after="24"/>
              <w:rPr>
                <w:b/>
              </w:rPr>
            </w:pPr>
            <w:r>
              <w:rPr>
                <w:b/>
              </w:rPr>
              <w:t>Number and year</w:t>
            </w:r>
          </w:p>
        </w:tc>
        <w:tc>
          <w:tcPr>
            <w:tcW w:w="1139" w:type="dxa"/>
            <w:tcBorders>
              <w:top w:val="single" w:sz="8" w:space="0" w:color="auto"/>
              <w:bottom w:val="single" w:sz="8" w:space="0" w:color="auto"/>
            </w:tcBorders>
          </w:tcPr>
          <w:p>
            <w:pPr>
              <w:pStyle w:val="nTable"/>
              <w:spacing w:before="26" w:after="24"/>
              <w:rPr>
                <w:b/>
              </w:rPr>
            </w:pPr>
            <w:r>
              <w:rPr>
                <w:b/>
              </w:rPr>
              <w:t>Assent</w:t>
            </w:r>
          </w:p>
        </w:tc>
        <w:tc>
          <w:tcPr>
            <w:tcW w:w="2575" w:type="dxa"/>
            <w:gridSpan w:val="2"/>
            <w:tcBorders>
              <w:top w:val="single" w:sz="8" w:space="0" w:color="auto"/>
              <w:bottom w:val="single" w:sz="8" w:space="0" w:color="auto"/>
            </w:tcBorders>
          </w:tcPr>
          <w:p>
            <w:pPr>
              <w:pStyle w:val="nTable"/>
              <w:spacing w:before="26" w:after="24"/>
              <w:rPr>
                <w:b/>
              </w:rPr>
            </w:pPr>
            <w:r>
              <w:rPr>
                <w:b/>
              </w:rPr>
              <w:t>Commencement</w:t>
            </w:r>
          </w:p>
        </w:tc>
      </w:tr>
      <w:tr>
        <w:trPr>
          <w:gridBefore w:val="1"/>
          <w:wBefore w:w="7" w:type="dxa"/>
          <w:cantSplit/>
          <w:trHeight w:val="1074"/>
        </w:trPr>
        <w:tc>
          <w:tcPr>
            <w:tcW w:w="2254" w:type="dxa"/>
            <w:gridSpan w:val="2"/>
            <w:tcBorders>
              <w:top w:val="single" w:sz="8" w:space="0" w:color="auto"/>
            </w:tcBorders>
          </w:tcPr>
          <w:p>
            <w:pPr>
              <w:pStyle w:val="nTable"/>
              <w:spacing w:before="26" w:after="24"/>
              <w:ind w:right="113"/>
              <w:rPr>
                <w:iCs/>
              </w:rPr>
            </w:pPr>
            <w:r>
              <w:rPr>
                <w:i/>
              </w:rPr>
              <w:t>Health Services (Conciliation and Review) Act 1995</w:t>
            </w:r>
            <w:r>
              <w:rPr>
                <w:iCs/>
                <w:vertAlign w:val="superscript"/>
              </w:rPr>
              <w:t> 2</w:t>
            </w:r>
          </w:p>
        </w:tc>
        <w:tc>
          <w:tcPr>
            <w:tcW w:w="1134" w:type="dxa"/>
            <w:gridSpan w:val="2"/>
            <w:tcBorders>
              <w:top w:val="single" w:sz="8" w:space="0" w:color="auto"/>
            </w:tcBorders>
          </w:tcPr>
          <w:p>
            <w:pPr>
              <w:pStyle w:val="nTable"/>
              <w:spacing w:before="26" w:after="24"/>
            </w:pPr>
            <w:r>
              <w:t>75 of 1995</w:t>
            </w:r>
          </w:p>
        </w:tc>
        <w:tc>
          <w:tcPr>
            <w:tcW w:w="1139" w:type="dxa"/>
            <w:tcBorders>
              <w:top w:val="single" w:sz="8" w:space="0" w:color="auto"/>
            </w:tcBorders>
          </w:tcPr>
          <w:p>
            <w:pPr>
              <w:pStyle w:val="nTable"/>
              <w:spacing w:before="26" w:after="24"/>
            </w:pPr>
            <w:r>
              <w:t>9 Jan 1996</w:t>
            </w:r>
          </w:p>
        </w:tc>
        <w:tc>
          <w:tcPr>
            <w:tcW w:w="2575" w:type="dxa"/>
            <w:gridSpan w:val="2"/>
            <w:tcBorders>
              <w:top w:val="single" w:sz="8" w:space="0" w:color="auto"/>
            </w:tcBorders>
          </w:tcPr>
          <w:p>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trPr>
          <w:gridBefore w:val="1"/>
          <w:wBefore w:w="7" w:type="dxa"/>
          <w:cantSplit/>
        </w:trPr>
        <w:tc>
          <w:tcPr>
            <w:tcW w:w="2254" w:type="dxa"/>
            <w:gridSpan w:val="2"/>
          </w:tcPr>
          <w:p>
            <w:pPr>
              <w:pStyle w:val="nTable"/>
              <w:spacing w:before="26" w:after="24"/>
              <w:ind w:right="113"/>
            </w:pPr>
            <w:r>
              <w:rPr>
                <w:i/>
              </w:rPr>
              <w:t xml:space="preserve">Statutes (Repeals and Minor Amendments) Act 1997 </w:t>
            </w:r>
            <w:r>
              <w:t>s. 70</w:t>
            </w:r>
          </w:p>
        </w:tc>
        <w:tc>
          <w:tcPr>
            <w:tcW w:w="1134" w:type="dxa"/>
            <w:gridSpan w:val="2"/>
          </w:tcPr>
          <w:p>
            <w:pPr>
              <w:pStyle w:val="nTable"/>
              <w:spacing w:before="26" w:after="24"/>
            </w:pPr>
            <w:r>
              <w:t>57 of 1997</w:t>
            </w:r>
          </w:p>
        </w:tc>
        <w:tc>
          <w:tcPr>
            <w:tcW w:w="1139" w:type="dxa"/>
          </w:tcPr>
          <w:p>
            <w:pPr>
              <w:pStyle w:val="nTable"/>
              <w:spacing w:before="26" w:after="24"/>
            </w:pPr>
            <w:r>
              <w:t>15 Dec 1997</w:t>
            </w:r>
          </w:p>
        </w:tc>
        <w:tc>
          <w:tcPr>
            <w:tcW w:w="2575" w:type="dxa"/>
            <w:gridSpan w:val="2"/>
          </w:tcPr>
          <w:p>
            <w:pPr>
              <w:pStyle w:val="nTable"/>
              <w:spacing w:before="26" w:after="24"/>
            </w:pPr>
            <w:r>
              <w:t>15 Dec 1997 (see s. 2(1))</w:t>
            </w:r>
          </w:p>
        </w:tc>
      </w:tr>
      <w:tr>
        <w:trPr>
          <w:gridBefore w:val="1"/>
          <w:wBefore w:w="7" w:type="dxa"/>
          <w:cantSplit/>
        </w:trPr>
        <w:tc>
          <w:tcPr>
            <w:tcW w:w="2254" w:type="dxa"/>
            <w:gridSpan w:val="2"/>
          </w:tcPr>
          <w:p>
            <w:pPr>
              <w:pStyle w:val="nTable"/>
              <w:spacing w:before="26" w:after="24"/>
              <w:ind w:right="113"/>
            </w:pPr>
            <w:r>
              <w:rPr>
                <w:i/>
              </w:rPr>
              <w:t>Osteopaths Act 1997</w:t>
            </w:r>
            <w:r>
              <w:t xml:space="preserve"> s. 97</w:t>
            </w:r>
          </w:p>
        </w:tc>
        <w:tc>
          <w:tcPr>
            <w:tcW w:w="1134" w:type="dxa"/>
            <w:gridSpan w:val="2"/>
          </w:tcPr>
          <w:p>
            <w:pPr>
              <w:pStyle w:val="nTable"/>
              <w:spacing w:before="26" w:after="24"/>
            </w:pPr>
            <w:r>
              <w:t>58 of 1997</w:t>
            </w:r>
          </w:p>
        </w:tc>
        <w:tc>
          <w:tcPr>
            <w:tcW w:w="1139" w:type="dxa"/>
          </w:tcPr>
          <w:p>
            <w:pPr>
              <w:pStyle w:val="nTable"/>
              <w:spacing w:before="26" w:after="24"/>
            </w:pPr>
            <w:r>
              <w:t>15 Dec 1997</w:t>
            </w:r>
          </w:p>
        </w:tc>
        <w:tc>
          <w:tcPr>
            <w:tcW w:w="2575" w:type="dxa"/>
            <w:gridSpan w:val="2"/>
          </w:tcPr>
          <w:p>
            <w:pPr>
              <w:pStyle w:val="nTable"/>
              <w:spacing w:before="26" w:after="24"/>
            </w:pPr>
            <w:r>
              <w:t xml:space="preserve">22 Dec 1999 (see s. 2 and </w:t>
            </w:r>
            <w:r>
              <w:rPr>
                <w:i/>
              </w:rPr>
              <w:t>Gazette</w:t>
            </w:r>
            <w:r>
              <w:t xml:space="preserve"> 21 Dec 1999 p. 6393)</w:t>
            </w:r>
          </w:p>
        </w:tc>
      </w:tr>
      <w:tr>
        <w:trPr>
          <w:gridBefore w:val="1"/>
          <w:wBefore w:w="7" w:type="dxa"/>
          <w:cantSplit/>
        </w:trPr>
        <w:tc>
          <w:tcPr>
            <w:tcW w:w="2254" w:type="dxa"/>
            <w:gridSpan w:val="2"/>
          </w:tcPr>
          <w:p>
            <w:pPr>
              <w:pStyle w:val="nTable"/>
              <w:spacing w:before="26" w:after="24"/>
              <w:ind w:right="113"/>
            </w:pPr>
            <w:r>
              <w:rPr>
                <w:i/>
              </w:rPr>
              <w:t>Disability Services Amendment Act 1999</w:t>
            </w:r>
            <w:r>
              <w:t xml:space="preserve"> s. 28(2)</w:t>
            </w:r>
          </w:p>
        </w:tc>
        <w:tc>
          <w:tcPr>
            <w:tcW w:w="1134" w:type="dxa"/>
            <w:gridSpan w:val="2"/>
          </w:tcPr>
          <w:p>
            <w:pPr>
              <w:pStyle w:val="nTable"/>
              <w:spacing w:before="26" w:after="24"/>
            </w:pPr>
            <w:r>
              <w:t>44 of 1999</w:t>
            </w:r>
          </w:p>
        </w:tc>
        <w:tc>
          <w:tcPr>
            <w:tcW w:w="1139" w:type="dxa"/>
          </w:tcPr>
          <w:p>
            <w:pPr>
              <w:pStyle w:val="nTable"/>
              <w:spacing w:before="26" w:after="24"/>
            </w:pPr>
            <w:r>
              <w:t>25 Nov 1999</w:t>
            </w:r>
          </w:p>
        </w:tc>
        <w:tc>
          <w:tcPr>
            <w:tcW w:w="2575" w:type="dxa"/>
            <w:gridSpan w:val="2"/>
          </w:tcPr>
          <w:p>
            <w:pPr>
              <w:pStyle w:val="nTable"/>
              <w:spacing w:before="26" w:after="24"/>
            </w:pPr>
            <w:r>
              <w:t>25 Nov 1999 (see s. 2)</w:t>
            </w:r>
          </w:p>
        </w:tc>
      </w:tr>
      <w:tr>
        <w:trPr>
          <w:gridBefore w:val="1"/>
          <w:wBefore w:w="7" w:type="dxa"/>
          <w:cantSplit/>
        </w:trPr>
        <w:tc>
          <w:tcPr>
            <w:tcW w:w="2254" w:type="dxa"/>
            <w:gridSpan w:val="2"/>
          </w:tcPr>
          <w:p>
            <w:pPr>
              <w:pStyle w:val="nTable"/>
              <w:spacing w:before="26" w:after="24"/>
              <w:ind w:right="113"/>
            </w:pPr>
            <w:r>
              <w:rPr>
                <w:i/>
              </w:rPr>
              <w:t>Statutes (Repeals and Minor Amendments) Act 2000</w:t>
            </w:r>
            <w:r>
              <w:t xml:space="preserve"> s. 17</w:t>
            </w:r>
          </w:p>
        </w:tc>
        <w:tc>
          <w:tcPr>
            <w:tcW w:w="1134" w:type="dxa"/>
            <w:gridSpan w:val="2"/>
          </w:tcPr>
          <w:p>
            <w:pPr>
              <w:pStyle w:val="nTable"/>
              <w:spacing w:before="26" w:after="24"/>
            </w:pPr>
            <w:r>
              <w:t>24 of 2000</w:t>
            </w:r>
          </w:p>
        </w:tc>
        <w:tc>
          <w:tcPr>
            <w:tcW w:w="1139" w:type="dxa"/>
          </w:tcPr>
          <w:p>
            <w:pPr>
              <w:pStyle w:val="nTable"/>
              <w:spacing w:before="26" w:after="24"/>
            </w:pPr>
            <w:r>
              <w:t>4 Jul 2000</w:t>
            </w:r>
          </w:p>
        </w:tc>
        <w:tc>
          <w:tcPr>
            <w:tcW w:w="2575" w:type="dxa"/>
            <w:gridSpan w:val="2"/>
          </w:tcPr>
          <w:p>
            <w:pPr>
              <w:pStyle w:val="nTable"/>
              <w:spacing w:before="26" w:after="24"/>
            </w:pPr>
            <w:r>
              <w:t>4 Jul 2000 (see s. 2)</w:t>
            </w:r>
          </w:p>
        </w:tc>
      </w:tr>
      <w:tr>
        <w:trPr>
          <w:gridBefore w:val="1"/>
          <w:wBefore w:w="7" w:type="dxa"/>
          <w:cantSplit/>
        </w:trPr>
        <w:tc>
          <w:tcPr>
            <w:tcW w:w="7102" w:type="dxa"/>
            <w:gridSpan w:val="7"/>
          </w:tcPr>
          <w:p>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trPr>
          <w:gridBefore w:val="1"/>
          <w:wBefore w:w="7" w:type="dxa"/>
          <w:cantSplit/>
        </w:trPr>
        <w:tc>
          <w:tcPr>
            <w:tcW w:w="2254" w:type="dxa"/>
            <w:gridSpan w:val="2"/>
          </w:tcPr>
          <w:p>
            <w:pPr>
              <w:pStyle w:val="nTable"/>
              <w:spacing w:before="26" w:after="24"/>
              <w:ind w:right="113"/>
            </w:pPr>
            <w:r>
              <w:rPr>
                <w:i/>
              </w:rPr>
              <w:t>Acts Amendment (Equality of Status) Act 2003</w:t>
            </w:r>
            <w:r>
              <w:t xml:space="preserve"> Pt. 27</w:t>
            </w:r>
          </w:p>
        </w:tc>
        <w:tc>
          <w:tcPr>
            <w:tcW w:w="1134" w:type="dxa"/>
            <w:gridSpan w:val="2"/>
          </w:tcPr>
          <w:p>
            <w:pPr>
              <w:pStyle w:val="nTable"/>
              <w:spacing w:before="26" w:after="24"/>
            </w:pPr>
            <w:r>
              <w:t>28 of 2003</w:t>
            </w:r>
          </w:p>
        </w:tc>
        <w:tc>
          <w:tcPr>
            <w:tcW w:w="1139" w:type="dxa"/>
          </w:tcPr>
          <w:p>
            <w:pPr>
              <w:pStyle w:val="nTable"/>
              <w:spacing w:before="26" w:after="24"/>
            </w:pPr>
            <w:r>
              <w:t>22 May 2003</w:t>
            </w:r>
          </w:p>
        </w:tc>
        <w:tc>
          <w:tcPr>
            <w:tcW w:w="2575" w:type="dxa"/>
            <w:gridSpan w:val="2"/>
          </w:tcPr>
          <w:p>
            <w:pPr>
              <w:pStyle w:val="nTable"/>
              <w:spacing w:before="26" w:after="24"/>
            </w:pPr>
            <w:r>
              <w:t xml:space="preserve">1 Jul 2003 (see s. 2 and </w:t>
            </w:r>
            <w:r>
              <w:rPr>
                <w:i/>
              </w:rPr>
              <w:t xml:space="preserve">Gazette </w:t>
            </w:r>
            <w:r>
              <w:t>30 Jun 2003 p. 2579)</w:t>
            </w:r>
          </w:p>
        </w:tc>
      </w:tr>
      <w:tr>
        <w:trPr>
          <w:gridBefore w:val="1"/>
          <w:wBefore w:w="7" w:type="dxa"/>
          <w:cantSplit/>
        </w:trPr>
        <w:tc>
          <w:tcPr>
            <w:tcW w:w="2254" w:type="dxa"/>
            <w:gridSpan w:val="2"/>
          </w:tcPr>
          <w:p>
            <w:pPr>
              <w:pStyle w:val="nTable"/>
              <w:spacing w:before="26" w:after="24"/>
              <w:ind w:right="113"/>
            </w:pPr>
            <w:r>
              <w:rPr>
                <w:i/>
              </w:rPr>
              <w:t>Statutes (Repeals and Minor Amendments) Act 2003</w:t>
            </w:r>
            <w:r>
              <w:t xml:space="preserve"> s. 65</w:t>
            </w:r>
          </w:p>
        </w:tc>
        <w:tc>
          <w:tcPr>
            <w:tcW w:w="1134" w:type="dxa"/>
            <w:gridSpan w:val="2"/>
          </w:tcPr>
          <w:p>
            <w:pPr>
              <w:pStyle w:val="nTable"/>
              <w:spacing w:before="26" w:after="24"/>
            </w:pPr>
            <w:r>
              <w:t>74 of 2003</w:t>
            </w:r>
          </w:p>
        </w:tc>
        <w:tc>
          <w:tcPr>
            <w:tcW w:w="1139" w:type="dxa"/>
          </w:tcPr>
          <w:p>
            <w:pPr>
              <w:pStyle w:val="nTable"/>
              <w:spacing w:before="26" w:after="24"/>
            </w:pPr>
            <w:r>
              <w:t>15 Dec 2003</w:t>
            </w:r>
          </w:p>
        </w:tc>
        <w:tc>
          <w:tcPr>
            <w:tcW w:w="2575" w:type="dxa"/>
            <w:gridSpan w:val="2"/>
          </w:tcPr>
          <w:p>
            <w:pPr>
              <w:pStyle w:val="nTable"/>
              <w:spacing w:before="26" w:after="24"/>
            </w:pPr>
            <w:r>
              <w:rPr>
                <w:spacing w:val="-2"/>
              </w:rPr>
              <w:t>15 Dec 2003 (see s. 2)</w:t>
            </w:r>
          </w:p>
        </w:tc>
      </w:tr>
      <w:tr>
        <w:trPr>
          <w:gridBefore w:val="1"/>
          <w:wBefore w:w="7" w:type="dxa"/>
          <w:cantSplit/>
        </w:trPr>
        <w:tc>
          <w:tcPr>
            <w:tcW w:w="2254" w:type="dxa"/>
            <w:gridSpan w:val="2"/>
          </w:tcPr>
          <w:p>
            <w:pPr>
              <w:pStyle w:val="nTable"/>
              <w:spacing w:before="26" w:after="24"/>
              <w:ind w:right="113"/>
              <w:rPr>
                <w:iCs/>
              </w:rPr>
            </w:pPr>
            <w:r>
              <w:rPr>
                <w:i/>
              </w:rPr>
              <w:t>Carers Recognition Act 2004</w:t>
            </w:r>
            <w:r>
              <w:rPr>
                <w:iCs/>
              </w:rPr>
              <w:t xml:space="preserve"> Pt. 5 Div. 2</w:t>
            </w:r>
          </w:p>
        </w:tc>
        <w:tc>
          <w:tcPr>
            <w:tcW w:w="1134" w:type="dxa"/>
            <w:gridSpan w:val="2"/>
          </w:tcPr>
          <w:p>
            <w:pPr>
              <w:pStyle w:val="nTable"/>
              <w:spacing w:before="26" w:after="24"/>
            </w:pPr>
            <w:r>
              <w:t>37 of 2004</w:t>
            </w:r>
          </w:p>
        </w:tc>
        <w:tc>
          <w:tcPr>
            <w:tcW w:w="1139" w:type="dxa"/>
          </w:tcPr>
          <w:p>
            <w:pPr>
              <w:pStyle w:val="nTable"/>
              <w:spacing w:before="26" w:after="24"/>
            </w:pPr>
            <w:r>
              <w:t>28 Oct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trPr>
          <w:gridBefore w:val="1"/>
          <w:wBefore w:w="7" w:type="dxa"/>
          <w:cantSplit/>
        </w:trPr>
        <w:tc>
          <w:tcPr>
            <w:tcW w:w="2254" w:type="dxa"/>
            <w:gridSpan w:val="2"/>
          </w:tcPr>
          <w:p>
            <w:pPr>
              <w:pStyle w:val="nTable"/>
              <w:spacing w:before="26" w:after="24"/>
              <w:ind w:right="113"/>
              <w:rPr>
                <w:iCs/>
              </w:rPr>
            </w:pPr>
            <w:r>
              <w:rPr>
                <w:i/>
              </w:rPr>
              <w:t>Disability Services Amendment Act 2004</w:t>
            </w:r>
            <w:r>
              <w:rPr>
                <w:iCs/>
              </w:rPr>
              <w:t xml:space="preserve"> s. 36</w:t>
            </w:r>
          </w:p>
        </w:tc>
        <w:tc>
          <w:tcPr>
            <w:tcW w:w="1134" w:type="dxa"/>
            <w:gridSpan w:val="2"/>
          </w:tcPr>
          <w:p>
            <w:pPr>
              <w:pStyle w:val="nTable"/>
              <w:spacing w:before="26" w:after="24"/>
            </w:pPr>
            <w:r>
              <w:t>57 of 2004</w:t>
            </w:r>
          </w:p>
        </w:tc>
        <w:tc>
          <w:tcPr>
            <w:tcW w:w="1139" w:type="dxa"/>
          </w:tcPr>
          <w:p>
            <w:pPr>
              <w:pStyle w:val="nTable"/>
              <w:spacing w:before="26" w:after="24"/>
            </w:pPr>
            <w:r>
              <w:t>18 Nov 2004</w:t>
            </w:r>
          </w:p>
        </w:tc>
        <w:tc>
          <w:tcPr>
            <w:tcW w:w="2575" w:type="dxa"/>
            <w:gridSpan w:val="2"/>
          </w:tcPr>
          <w:p>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trPr>
          <w:gridBefore w:val="1"/>
          <w:wBefore w:w="7" w:type="dxa"/>
          <w:cantSplit/>
        </w:trPr>
        <w:tc>
          <w:tcPr>
            <w:tcW w:w="2254" w:type="dxa"/>
            <w:gridSpan w:val="2"/>
          </w:tcPr>
          <w:p>
            <w:pPr>
              <w:pStyle w:val="nTable"/>
              <w:spacing w:before="26" w:after="24"/>
              <w:ind w:right="113"/>
              <w:rPr>
                <w:i/>
              </w:rPr>
            </w:pPr>
            <w:r>
              <w:rPr>
                <w:i/>
                <w:iCs/>
              </w:rPr>
              <w:lastRenderedPageBreak/>
              <w:t>State Administrative Tribunal (Conferral of Jurisdiction) Amendment and Repeal Act 2004</w:t>
            </w:r>
            <w:r>
              <w:t xml:space="preserve"> Pt. 2 Div. 59</w:t>
            </w:r>
            <w:r>
              <w:rPr>
                <w:vertAlign w:val="superscript"/>
              </w:rPr>
              <w:t> 3</w:t>
            </w:r>
          </w:p>
        </w:tc>
        <w:tc>
          <w:tcPr>
            <w:tcW w:w="1134" w:type="dxa"/>
            <w:gridSpan w:val="2"/>
          </w:tcPr>
          <w:p>
            <w:pPr>
              <w:pStyle w:val="nTable"/>
              <w:spacing w:before="26" w:after="24"/>
            </w:pPr>
            <w:r>
              <w:t>55 of 2004</w:t>
            </w:r>
          </w:p>
        </w:tc>
        <w:tc>
          <w:tcPr>
            <w:tcW w:w="1139" w:type="dxa"/>
          </w:tcPr>
          <w:p>
            <w:pPr>
              <w:pStyle w:val="nTable"/>
              <w:spacing w:before="26" w:after="24"/>
            </w:pPr>
            <w:r>
              <w:t>24 Nov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7" w:type="dxa"/>
          <w:cantSplit/>
        </w:trPr>
        <w:tc>
          <w:tcPr>
            <w:tcW w:w="7102" w:type="dxa"/>
            <w:gridSpan w:val="7"/>
          </w:tcPr>
          <w:p>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pPr>
              <w:pStyle w:val="nTable"/>
              <w:spacing w:before="26" w:after="24"/>
            </w:pPr>
            <w:r>
              <w:t>28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4 May 2007 (see s. 2 and </w:t>
            </w:r>
            <w:r>
              <w:rPr>
                <w:i/>
                <w:iCs/>
              </w:rPr>
              <w:t>Gazette</w:t>
            </w:r>
            <w:r>
              <w:t xml:space="preserve"> 4 May 2007 p. 1963)</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pPr>
              <w:pStyle w:val="nTable"/>
              <w:spacing w:before="26" w:after="24"/>
            </w:pPr>
            <w:r>
              <w:t xml:space="preserve">29 </w:t>
            </w:r>
            <w:r>
              <w:rPr>
                <w:snapToGrid w:val="0"/>
              </w:rPr>
              <w:t>of</w:t>
            </w:r>
            <w:r>
              <w:t xml:space="preserve"> 2005</w:t>
            </w:r>
          </w:p>
        </w:tc>
        <w:tc>
          <w:tcPr>
            <w:tcW w:w="1139" w:type="dxa"/>
          </w:tcPr>
          <w:p>
            <w:pPr>
              <w:pStyle w:val="nTable"/>
              <w:spacing w:before="26" w:after="24"/>
            </w:pPr>
            <w:r>
              <w:t>12 Dec 2005</w:t>
            </w:r>
          </w:p>
        </w:tc>
        <w:tc>
          <w:tcPr>
            <w:tcW w:w="2575" w:type="dxa"/>
            <w:gridSpan w:val="2"/>
          </w:tcPr>
          <w:p>
            <w:pPr>
              <w:pStyle w:val="nTable"/>
              <w:spacing w:before="26" w:after="24"/>
            </w:pPr>
            <w:r>
              <w:t xml:space="preserve">20 Apr 2007 (see s. 2 and </w:t>
            </w:r>
            <w:r>
              <w:rPr>
                <w:i/>
                <w:iCs/>
              </w:rPr>
              <w:t>Gazette</w:t>
            </w:r>
            <w:r>
              <w:t xml:space="preserve"> 30 Mar 2007 p. 1451)</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pPr>
              <w:pStyle w:val="nTable"/>
              <w:spacing w:before="26" w:after="24"/>
            </w:pPr>
            <w:r>
              <w:t>30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Gazette</w:t>
            </w:r>
            <w:r>
              <w:t xml:space="preserve"> 29 May 2007 p. 2486)</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pPr>
              <w:pStyle w:val="nTable"/>
              <w:spacing w:before="26" w:after="24"/>
            </w:pPr>
            <w:r>
              <w:t>31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4" w:type="dxa"/>
            <w:gridSpan w:val="2"/>
          </w:tcPr>
          <w:p>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pPr>
              <w:pStyle w:val="nTable"/>
              <w:spacing w:before="26" w:after="24"/>
              <w:rPr>
                <w:snapToGrid w:val="0"/>
              </w:rPr>
            </w:pPr>
            <w:r>
              <w:t>32 of 2005</w:t>
            </w:r>
          </w:p>
        </w:tc>
        <w:tc>
          <w:tcPr>
            <w:tcW w:w="1139" w:type="dxa"/>
          </w:tcPr>
          <w:p>
            <w:pPr>
              <w:pStyle w:val="nTable"/>
              <w:spacing w:before="26" w:after="24"/>
              <w:rPr>
                <w:snapToGrid w:val="0"/>
              </w:rPr>
            </w:pPr>
            <w:r>
              <w:t>12 Dec 2005</w:t>
            </w:r>
          </w:p>
        </w:tc>
        <w:tc>
          <w:tcPr>
            <w:tcW w:w="2575" w:type="dxa"/>
            <w:gridSpan w:val="2"/>
          </w:tcPr>
          <w:p>
            <w:pPr>
              <w:pStyle w:val="nTable"/>
              <w:spacing w:before="26" w:after="24"/>
              <w:rPr>
                <w:snapToGrid w:val="0"/>
              </w:rPr>
            </w:pPr>
            <w:r>
              <w:t xml:space="preserve">23 Feb 2007 (see s. 2 and </w:t>
            </w:r>
            <w:r>
              <w:rPr>
                <w:i/>
                <w:iCs/>
              </w:rPr>
              <w:t xml:space="preserve">Gazette </w:t>
            </w:r>
            <w:r>
              <w:t>20 Feb 2007 p. 505)</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pPr>
              <w:pStyle w:val="nTable"/>
              <w:spacing w:before="26" w:after="24"/>
            </w:pPr>
            <w:r>
              <w:t>33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 xml:space="preserve">Gazette </w:t>
            </w:r>
            <w:r>
              <w:t>29 May 2007 p. 2486)</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pPr>
              <w:pStyle w:val="nTable"/>
              <w:spacing w:before="26" w:after="24"/>
            </w:pPr>
            <w:r>
              <w:t>42 of 2005</w:t>
            </w:r>
          </w:p>
        </w:tc>
        <w:tc>
          <w:tcPr>
            <w:tcW w:w="1139" w:type="dxa"/>
          </w:tcPr>
          <w:p>
            <w:pPr>
              <w:pStyle w:val="nTable"/>
              <w:spacing w:before="26" w:after="24"/>
            </w:pPr>
            <w:r>
              <w:t>19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4" w:type="dxa"/>
            <w:gridSpan w:val="2"/>
          </w:tcPr>
          <w:p>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pPr>
              <w:pStyle w:val="nTable"/>
              <w:spacing w:before="26" w:after="24"/>
            </w:pPr>
            <w:r>
              <w:t>21 of 2006</w:t>
            </w:r>
          </w:p>
        </w:tc>
        <w:tc>
          <w:tcPr>
            <w:tcW w:w="1139" w:type="dxa"/>
          </w:tcPr>
          <w:p>
            <w:pPr>
              <w:pStyle w:val="nTable"/>
              <w:spacing w:before="26" w:after="24"/>
            </w:pPr>
            <w:r>
              <w:t>9 Jun 2006</w:t>
            </w:r>
          </w:p>
        </w:tc>
        <w:tc>
          <w:tcPr>
            <w:tcW w:w="2575" w:type="dxa"/>
            <w:gridSpan w:val="2"/>
          </w:tcPr>
          <w:p>
            <w:pPr>
              <w:pStyle w:val="nTable"/>
              <w:spacing w:before="26" w:after="24"/>
            </w:pPr>
            <w:r>
              <w:rPr>
                <w:color w:val="000000"/>
              </w:rPr>
              <w:t xml:space="preserve">1 Jul 2007 (see s. 2 and </w:t>
            </w:r>
            <w:r>
              <w:rPr>
                <w:i/>
                <w:iCs/>
                <w:color w:val="000000"/>
              </w:rPr>
              <w:t>Gazette</w:t>
            </w:r>
            <w:r>
              <w:rPr>
                <w:color w:val="000000"/>
              </w:rPr>
              <w:t xml:space="preserve"> 26 Jun 2007 p. 3013)</w:t>
            </w:r>
          </w:p>
        </w:tc>
      </w:tr>
      <w:tr>
        <w:trPr>
          <w:gridBefore w:val="1"/>
          <w:wBefore w:w="7" w:type="dxa"/>
          <w:cantSplit/>
        </w:trPr>
        <w:tc>
          <w:tcPr>
            <w:tcW w:w="2254" w:type="dxa"/>
            <w:gridSpan w:val="2"/>
          </w:tcPr>
          <w:p>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4</w:t>
            </w:r>
          </w:p>
        </w:tc>
        <w:tc>
          <w:tcPr>
            <w:tcW w:w="1134" w:type="dxa"/>
            <w:gridSpan w:val="2"/>
          </w:tcPr>
          <w:p>
            <w:pPr>
              <w:pStyle w:val="nTable"/>
              <w:spacing w:before="26" w:after="24"/>
              <w:rPr>
                <w:snapToGrid w:val="0"/>
              </w:rPr>
            </w:pPr>
            <w:r>
              <w:rPr>
                <w:snapToGrid w:val="0"/>
              </w:rPr>
              <w:t>28 of 2006</w:t>
            </w:r>
          </w:p>
        </w:tc>
        <w:tc>
          <w:tcPr>
            <w:tcW w:w="1139" w:type="dxa"/>
          </w:tcPr>
          <w:p>
            <w:pPr>
              <w:pStyle w:val="nTable"/>
              <w:spacing w:before="26" w:after="24"/>
            </w:pPr>
            <w:r>
              <w:t>26 Jun 2006</w:t>
            </w:r>
          </w:p>
        </w:tc>
        <w:tc>
          <w:tcPr>
            <w:tcW w:w="2575" w:type="dxa"/>
            <w:gridSpan w:val="2"/>
          </w:tcPr>
          <w:p>
            <w:pPr>
              <w:pStyle w:val="nTable"/>
              <w:spacing w:before="26" w:after="24"/>
            </w:pPr>
            <w:r>
              <w:t xml:space="preserve">1 Jul 2006 (see s. 2 and </w:t>
            </w:r>
            <w:r>
              <w:rPr>
                <w:i/>
                <w:iCs/>
              </w:rPr>
              <w:t>Gazette</w:t>
            </w:r>
            <w:r>
              <w:t xml:space="preserve"> 27 Jun 2006 p. 2347)</w:t>
            </w:r>
          </w:p>
        </w:tc>
      </w:tr>
      <w:tr>
        <w:trPr>
          <w:gridBefore w:val="1"/>
          <w:wBefore w:w="7" w:type="dxa"/>
          <w:cantSplit/>
        </w:trPr>
        <w:tc>
          <w:tcPr>
            <w:tcW w:w="2254" w:type="dxa"/>
            <w:gridSpan w:val="2"/>
          </w:tcPr>
          <w:p>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pPr>
              <w:pStyle w:val="nTable"/>
              <w:spacing w:before="26" w:after="24"/>
              <w:rPr>
                <w:snapToGrid w:val="0"/>
              </w:rPr>
            </w:pPr>
            <w:r>
              <w:rPr>
                <w:snapToGrid w:val="0"/>
              </w:rPr>
              <w:t>50 of 2006</w:t>
            </w:r>
          </w:p>
        </w:tc>
        <w:tc>
          <w:tcPr>
            <w:tcW w:w="1139" w:type="dxa"/>
          </w:tcPr>
          <w:p>
            <w:pPr>
              <w:pStyle w:val="nTable"/>
              <w:spacing w:before="26" w:after="24"/>
            </w:pPr>
            <w:r>
              <w:t>6 Oct 2006</w:t>
            </w:r>
          </w:p>
        </w:tc>
        <w:tc>
          <w:tcPr>
            <w:tcW w:w="2575" w:type="dxa"/>
            <w:gridSpan w:val="2"/>
          </w:tcPr>
          <w:p>
            <w:pPr>
              <w:pStyle w:val="nTable"/>
              <w:spacing w:before="26" w:after="24"/>
            </w:pPr>
            <w:r>
              <w:t xml:space="preserve">19 Sep 2007 (see s. 2 and </w:t>
            </w:r>
            <w:r>
              <w:rPr>
                <w:i/>
                <w:iCs/>
              </w:rPr>
              <w:t>Gazette</w:t>
            </w:r>
            <w:r>
              <w:t xml:space="preserve"> 18 Sep 2007 p. 4711)</w:t>
            </w:r>
          </w:p>
        </w:tc>
      </w:tr>
      <w:tr>
        <w:trPr>
          <w:gridBefore w:val="1"/>
          <w:wBefore w:w="7" w:type="dxa"/>
          <w:cantSplit/>
        </w:trPr>
        <w:tc>
          <w:tcPr>
            <w:tcW w:w="2254" w:type="dxa"/>
            <w:gridSpan w:val="2"/>
          </w:tcPr>
          <w:p>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pPr>
              <w:pStyle w:val="nTable"/>
              <w:spacing w:before="26" w:after="24"/>
              <w:rPr>
                <w:snapToGrid w:val="0"/>
              </w:rPr>
            </w:pPr>
            <w:r>
              <w:rPr>
                <w:snapToGrid w:val="0"/>
              </w:rPr>
              <w:t xml:space="preserve">77 of 2006 </w:t>
            </w:r>
          </w:p>
        </w:tc>
        <w:tc>
          <w:tcPr>
            <w:tcW w:w="1139" w:type="dxa"/>
          </w:tcPr>
          <w:p>
            <w:pPr>
              <w:pStyle w:val="nTable"/>
              <w:spacing w:before="26" w:after="24"/>
            </w:pPr>
            <w:r>
              <w:rPr>
                <w:snapToGrid w:val="0"/>
              </w:rPr>
              <w:t>21 Dec 2006</w:t>
            </w:r>
          </w:p>
        </w:tc>
        <w:tc>
          <w:tcPr>
            <w:tcW w:w="2575" w:type="dxa"/>
            <w:gridSpan w:val="2"/>
          </w:tcPr>
          <w:p>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trPr>
          <w:gridBefore w:val="1"/>
          <w:wBefore w:w="7" w:type="dxa"/>
          <w:cantSplit/>
        </w:trPr>
        <w:tc>
          <w:tcPr>
            <w:tcW w:w="7102" w:type="dxa"/>
            <w:gridSpan w:val="7"/>
          </w:tcPr>
          <w:p>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4" w:type="dxa"/>
            <w:gridSpan w:val="2"/>
            <w:tcBorders>
              <w:top w:val="nil"/>
              <w:bottom w:val="nil"/>
            </w:tcBorders>
          </w:tcPr>
          <w:p>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pPr>
              <w:pStyle w:val="nTable"/>
              <w:spacing w:before="26" w:after="24"/>
            </w:pPr>
            <w:r>
              <w:t>22 of 2008</w:t>
            </w:r>
          </w:p>
        </w:tc>
        <w:tc>
          <w:tcPr>
            <w:tcW w:w="1139" w:type="dxa"/>
            <w:tcBorders>
              <w:top w:val="nil"/>
              <w:bottom w:val="nil"/>
            </w:tcBorders>
          </w:tcPr>
          <w:p>
            <w:pPr>
              <w:pStyle w:val="nTable"/>
              <w:spacing w:before="26" w:after="24"/>
            </w:pPr>
            <w:r>
              <w:t>27 May 2008</w:t>
            </w:r>
          </w:p>
        </w:tc>
        <w:tc>
          <w:tcPr>
            <w:tcW w:w="2575" w:type="dxa"/>
            <w:gridSpan w:val="2"/>
            <w:tcBorders>
              <w:top w:val="nil"/>
              <w:bottom w:val="nil"/>
            </w:tcBorders>
          </w:tcPr>
          <w:p>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26" w:type="dxa"/>
          <w:cantSplit/>
        </w:trPr>
        <w:tc>
          <w:tcPr>
            <w:tcW w:w="2261" w:type="dxa"/>
            <w:gridSpan w:val="3"/>
          </w:tcPr>
          <w:p>
            <w:pPr>
              <w:pStyle w:val="nTable"/>
              <w:spacing w:before="26" w:after="24"/>
              <w:ind w:right="113"/>
              <w:rPr>
                <w:iCs/>
              </w:rPr>
            </w:pPr>
            <w:r>
              <w:rPr>
                <w:i/>
              </w:rPr>
              <w:t>Statutes (Repeals and Miscellaneous Amendments) Act 2009</w:t>
            </w:r>
            <w:r>
              <w:rPr>
                <w:iCs/>
              </w:rPr>
              <w:t xml:space="preserve"> s. 73</w:t>
            </w:r>
          </w:p>
        </w:tc>
        <w:tc>
          <w:tcPr>
            <w:tcW w:w="1134" w:type="dxa"/>
            <w:gridSpan w:val="2"/>
          </w:tcPr>
          <w:p>
            <w:pPr>
              <w:pStyle w:val="nTable"/>
              <w:spacing w:before="26" w:after="24"/>
            </w:pPr>
            <w:r>
              <w:t xml:space="preserve">8 of 2009 </w:t>
            </w:r>
          </w:p>
        </w:tc>
        <w:tc>
          <w:tcPr>
            <w:tcW w:w="1139" w:type="dxa"/>
          </w:tcPr>
          <w:p>
            <w:pPr>
              <w:pStyle w:val="nTable"/>
              <w:spacing w:before="26" w:after="24"/>
            </w:pPr>
            <w:r>
              <w:t>21 May 2009</w:t>
            </w:r>
          </w:p>
        </w:tc>
        <w:tc>
          <w:tcPr>
            <w:tcW w:w="2549" w:type="dxa"/>
          </w:tcPr>
          <w:p>
            <w:pPr>
              <w:pStyle w:val="nTable"/>
              <w:spacing w:before="26" w:after="24"/>
            </w:pPr>
            <w:r>
              <w:t>22 May 2009 (see s. 2(b))</w:t>
            </w:r>
          </w:p>
        </w:tc>
      </w:tr>
      <w:tr>
        <w:trPr>
          <w:gridAfter w:val="1"/>
          <w:wAfter w:w="26" w:type="dxa"/>
          <w:cantSplit/>
        </w:trPr>
        <w:tc>
          <w:tcPr>
            <w:tcW w:w="2261" w:type="dxa"/>
            <w:gridSpan w:val="3"/>
          </w:tcPr>
          <w:p>
            <w:pPr>
              <w:pStyle w:val="nTable"/>
              <w:spacing w:before="26" w:after="24"/>
              <w:rPr>
                <w:iCs/>
                <w:snapToGrid w:val="0"/>
              </w:rPr>
            </w:pPr>
            <w:r>
              <w:rPr>
                <w:i/>
                <w:snapToGrid w:val="0"/>
              </w:rPr>
              <w:lastRenderedPageBreak/>
              <w:t>Acts Amendment (Bankruptcy) Act 2009</w:t>
            </w:r>
            <w:r>
              <w:rPr>
                <w:iCs/>
                <w:snapToGrid w:val="0"/>
              </w:rPr>
              <w:t xml:space="preserve"> s. 40</w:t>
            </w:r>
          </w:p>
        </w:tc>
        <w:tc>
          <w:tcPr>
            <w:tcW w:w="1134" w:type="dxa"/>
            <w:gridSpan w:val="2"/>
          </w:tcPr>
          <w:p>
            <w:pPr>
              <w:pStyle w:val="nTable"/>
              <w:spacing w:before="26" w:after="24"/>
            </w:pPr>
            <w:r>
              <w:t>18 of 2009</w:t>
            </w:r>
          </w:p>
        </w:tc>
        <w:tc>
          <w:tcPr>
            <w:tcW w:w="1139" w:type="dxa"/>
          </w:tcPr>
          <w:p>
            <w:pPr>
              <w:pStyle w:val="nTable"/>
              <w:spacing w:before="26" w:after="24"/>
            </w:pPr>
            <w:r>
              <w:t>16 Sep 2009</w:t>
            </w:r>
          </w:p>
        </w:tc>
        <w:tc>
          <w:tcPr>
            <w:tcW w:w="2549" w:type="dxa"/>
          </w:tcPr>
          <w:p>
            <w:pPr>
              <w:pStyle w:val="nTable"/>
              <w:spacing w:before="26" w:after="24"/>
            </w:pPr>
            <w:r>
              <w:t>17 Sep 2009 (see s. 2(b))</w:t>
            </w:r>
          </w:p>
        </w:tc>
      </w:tr>
      <w:tr>
        <w:trPr>
          <w:gridAfter w:val="1"/>
          <w:wAfter w:w="26" w:type="dxa"/>
          <w:cantSplit/>
        </w:trPr>
        <w:tc>
          <w:tcPr>
            <w:tcW w:w="2261" w:type="dxa"/>
            <w:gridSpan w:val="3"/>
          </w:tcPr>
          <w:p>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26" w:after="24"/>
              <w:rPr>
                <w:snapToGrid w:val="0"/>
              </w:rPr>
            </w:pPr>
            <w:r>
              <w:rPr>
                <w:snapToGrid w:val="0"/>
              </w:rPr>
              <w:t>19 of 2010</w:t>
            </w:r>
          </w:p>
        </w:tc>
        <w:tc>
          <w:tcPr>
            <w:tcW w:w="1139" w:type="dxa"/>
          </w:tcPr>
          <w:p>
            <w:pPr>
              <w:pStyle w:val="nTable"/>
              <w:spacing w:before="26" w:after="24"/>
              <w:rPr>
                <w:snapToGrid w:val="0"/>
              </w:rPr>
            </w:pPr>
            <w:r>
              <w:rPr>
                <w:snapToGrid w:val="0"/>
              </w:rPr>
              <w:t>28 Jun 2010</w:t>
            </w:r>
          </w:p>
        </w:tc>
        <w:tc>
          <w:tcPr>
            <w:tcW w:w="2549" w:type="dxa"/>
          </w:tcPr>
          <w:p>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1" w:type="dxa"/>
            <w:gridSpan w:val="3"/>
          </w:tcPr>
          <w:p>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pPr>
              <w:pStyle w:val="nTable"/>
              <w:spacing w:before="26" w:after="24"/>
              <w:rPr>
                <w:snapToGrid w:val="0"/>
              </w:rPr>
            </w:pPr>
            <w:r>
              <w:rPr>
                <w:snapToGrid w:val="0"/>
              </w:rPr>
              <w:t>33 of 2010 (as amended by 35 of 2010 s. 83(3))</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6" w:type="dxa"/>
          <w:cantSplit/>
        </w:trPr>
        <w:tc>
          <w:tcPr>
            <w:tcW w:w="2261" w:type="dxa"/>
            <w:gridSpan w:val="3"/>
          </w:tcPr>
          <w:p>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pPr>
              <w:pStyle w:val="nTable"/>
              <w:spacing w:before="26" w:after="24"/>
              <w:rPr>
                <w:snapToGrid w:val="0"/>
              </w:rPr>
            </w:pPr>
            <w:r>
              <w:rPr>
                <w:snapToGrid w:val="0"/>
              </w:rPr>
              <w:t>35 of 2010</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trPr>
          <w:gridAfter w:val="1"/>
          <w:wAfter w:w="26" w:type="dxa"/>
          <w:cantSplit/>
        </w:trPr>
        <w:tc>
          <w:tcPr>
            <w:tcW w:w="2261" w:type="dxa"/>
            <w:gridSpan w:val="3"/>
          </w:tcPr>
          <w:p>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26" w:after="24"/>
              <w:rPr>
                <w:snapToGrid w:val="0"/>
              </w:rPr>
            </w:pPr>
            <w:r>
              <w:rPr>
                <w:snapToGrid w:val="0"/>
              </w:rPr>
              <w:t>39 of 2010</w:t>
            </w:r>
          </w:p>
        </w:tc>
        <w:tc>
          <w:tcPr>
            <w:tcW w:w="1139" w:type="dxa"/>
          </w:tcPr>
          <w:p>
            <w:pPr>
              <w:pStyle w:val="nTable"/>
              <w:spacing w:before="26" w:after="24"/>
              <w:rPr>
                <w:snapToGrid w:val="0"/>
              </w:rPr>
            </w:pPr>
            <w:r>
              <w:rPr>
                <w:snapToGrid w:val="0"/>
              </w:rPr>
              <w:t>1 Oct 2010</w:t>
            </w:r>
          </w:p>
        </w:tc>
        <w:tc>
          <w:tcPr>
            <w:tcW w:w="2549" w:type="dxa"/>
          </w:tcPr>
          <w:p>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6" w:type="dxa"/>
          <w:cantSplit/>
        </w:trPr>
        <w:tc>
          <w:tcPr>
            <w:tcW w:w="7083" w:type="dxa"/>
            <w:gridSpan w:val="7"/>
          </w:tcPr>
          <w:p>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13</w:t>
            </w:r>
          </w:p>
        </w:tc>
        <w:tc>
          <w:tcPr>
            <w:tcW w:w="1134" w:type="dxa"/>
            <w:gridSpan w:val="2"/>
            <w:tcBorders>
              <w:top w:val="nil"/>
              <w:bottom w:val="nil"/>
            </w:tcBorders>
          </w:tcPr>
          <w:p>
            <w:pPr>
              <w:pStyle w:val="nTable"/>
              <w:spacing w:after="40"/>
              <w:rPr>
                <w:snapToGrid w:val="0"/>
              </w:rPr>
            </w:pPr>
            <w:r>
              <w:rPr>
                <w:snapToGrid w:val="0"/>
              </w:rPr>
              <w:t>25 of 2014</w:t>
            </w:r>
          </w:p>
        </w:tc>
        <w:tc>
          <w:tcPr>
            <w:tcW w:w="1148" w:type="dxa"/>
            <w:gridSpan w:val="2"/>
            <w:tcBorders>
              <w:top w:val="nil"/>
              <w:bottom w:val="nil"/>
            </w:tcBorders>
          </w:tcPr>
          <w:p>
            <w:pPr>
              <w:pStyle w:val="nTable"/>
              <w:spacing w:after="40"/>
              <w:rPr>
                <w:snapToGrid w:val="0"/>
              </w:rPr>
            </w:pPr>
            <w:r>
              <w:t>3 Nov 2014</w:t>
            </w:r>
          </w:p>
        </w:tc>
        <w:tc>
          <w:tcPr>
            <w:tcW w:w="2549"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i/>
              </w:rPr>
            </w:pPr>
            <w:r>
              <w:rPr>
                <w:i/>
                <w:snapToGrid w:val="0"/>
              </w:rPr>
              <w:t>Health Services Act 2016</w:t>
            </w:r>
            <w:r>
              <w:rPr>
                <w:snapToGrid w:val="0"/>
              </w:rPr>
              <w:t xml:space="preserve"> s. 292</w:t>
            </w:r>
          </w:p>
        </w:tc>
        <w:tc>
          <w:tcPr>
            <w:tcW w:w="1134" w:type="dxa"/>
            <w:gridSpan w:val="2"/>
            <w:tcBorders>
              <w:top w:val="nil"/>
              <w:bottom w:val="nil"/>
            </w:tcBorders>
          </w:tcPr>
          <w:p>
            <w:pPr>
              <w:pStyle w:val="nTable"/>
              <w:spacing w:after="40"/>
              <w:rPr>
                <w:snapToGrid w:val="0"/>
              </w:rPr>
            </w:pPr>
            <w:r>
              <w:t>11 of 2016</w:t>
            </w:r>
          </w:p>
        </w:tc>
        <w:tc>
          <w:tcPr>
            <w:tcW w:w="1148" w:type="dxa"/>
            <w:gridSpan w:val="2"/>
            <w:tcBorders>
              <w:top w:val="nil"/>
              <w:bottom w:val="nil"/>
            </w:tcBorders>
          </w:tcPr>
          <w:p>
            <w:pPr>
              <w:pStyle w:val="nTable"/>
              <w:spacing w:after="40"/>
            </w:pPr>
            <w:r>
              <w:t>26 May 2016</w:t>
            </w:r>
          </w:p>
        </w:tc>
        <w:tc>
          <w:tcPr>
            <w:tcW w:w="2549"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i/>
                <w:snapToGrid w:val="0"/>
              </w:rPr>
            </w:pPr>
            <w:r>
              <w:rPr>
                <w:i/>
              </w:rPr>
              <w:t>Health Practitioner Regulation National Law (WA) Amendment Act 2018</w:t>
            </w:r>
            <w:r>
              <w:t xml:space="preserve"> s. 112</w:t>
            </w:r>
          </w:p>
        </w:tc>
        <w:tc>
          <w:tcPr>
            <w:tcW w:w="1134" w:type="dxa"/>
            <w:gridSpan w:val="2"/>
            <w:tcBorders>
              <w:top w:val="nil"/>
              <w:bottom w:val="nil"/>
            </w:tcBorders>
          </w:tcPr>
          <w:p>
            <w:pPr>
              <w:pStyle w:val="nTable"/>
              <w:spacing w:after="40"/>
            </w:pPr>
            <w:r>
              <w:t>4 of 2018</w:t>
            </w:r>
          </w:p>
        </w:tc>
        <w:tc>
          <w:tcPr>
            <w:tcW w:w="1148" w:type="dxa"/>
            <w:gridSpan w:val="2"/>
            <w:tcBorders>
              <w:top w:val="nil"/>
              <w:bottom w:val="nil"/>
            </w:tcBorders>
          </w:tcPr>
          <w:p>
            <w:pPr>
              <w:pStyle w:val="nTable"/>
              <w:spacing w:after="40"/>
            </w:pPr>
            <w:r>
              <w:t>19 Apr 2018</w:t>
            </w:r>
          </w:p>
        </w:tc>
        <w:tc>
          <w:tcPr>
            <w:tcW w:w="2549"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single" w:sz="4" w:space="0" w:color="auto"/>
            </w:tcBorders>
          </w:tcPr>
          <w:p>
            <w:pPr>
              <w:pStyle w:val="nTable"/>
              <w:spacing w:after="40"/>
              <w:rPr>
                <w:i/>
              </w:rPr>
            </w:pPr>
            <w:r>
              <w:rPr>
                <w:i/>
              </w:rPr>
              <w:t>Voluntary Assisted Dying Act 2019</w:t>
            </w:r>
            <w:r>
              <w:t xml:space="preserve"> Pt. 12 Div. 4</w:t>
            </w:r>
          </w:p>
        </w:tc>
        <w:tc>
          <w:tcPr>
            <w:tcW w:w="1134" w:type="dxa"/>
            <w:gridSpan w:val="2"/>
            <w:tcBorders>
              <w:top w:val="nil"/>
              <w:bottom w:val="single" w:sz="4" w:space="0" w:color="auto"/>
            </w:tcBorders>
          </w:tcPr>
          <w:p>
            <w:pPr>
              <w:pStyle w:val="nTable"/>
              <w:spacing w:after="40"/>
            </w:pPr>
            <w:r>
              <w:t>27 of 2019</w:t>
            </w:r>
          </w:p>
        </w:tc>
        <w:tc>
          <w:tcPr>
            <w:tcW w:w="1148" w:type="dxa"/>
            <w:gridSpan w:val="2"/>
            <w:tcBorders>
              <w:top w:val="nil"/>
              <w:bottom w:val="single" w:sz="4" w:space="0" w:color="auto"/>
            </w:tcBorders>
          </w:tcPr>
          <w:p>
            <w:pPr>
              <w:pStyle w:val="nTable"/>
              <w:spacing w:after="40"/>
            </w:pPr>
            <w:r>
              <w:t>19 Dec 2019</w:t>
            </w:r>
          </w:p>
        </w:tc>
        <w:tc>
          <w:tcPr>
            <w:tcW w:w="2549" w:type="dxa"/>
            <w:tcBorders>
              <w:top w:val="nil"/>
              <w:bottom w:val="single" w:sz="4" w:space="0" w:color="auto"/>
            </w:tcBorders>
          </w:tcPr>
          <w:p>
            <w:pPr>
              <w:pStyle w:val="nTable"/>
              <w:spacing w:after="40"/>
            </w:pPr>
            <w:r>
              <w:t>1 Jul 2021 (see s. 2(b) and SL 2021/83 cl. 2)</w:t>
            </w:r>
          </w:p>
        </w:tc>
      </w:tr>
    </w:tbl>
    <w:p>
      <w:pPr>
        <w:pStyle w:val="nHeading3"/>
      </w:pPr>
      <w:bookmarkStart w:id="131" w:name="_Toc117776112"/>
      <w:r>
        <w:lastRenderedPageBreak/>
        <w:t>Uncommenced provisions table</w:t>
      </w:r>
      <w:bookmarkEnd w:id="131"/>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56" w:type="dxa"/>
        <w:tblLayout w:type="fixed"/>
        <w:tblCellMar>
          <w:left w:w="56" w:type="dxa"/>
          <w:right w:w="56" w:type="dxa"/>
        </w:tblCellMar>
        <w:tblLook w:val="0000" w:firstRow="0" w:lastRow="0" w:firstColumn="0" w:lastColumn="0" w:noHBand="0" w:noVBand="0"/>
      </w:tblPr>
      <w:tblGrid>
        <w:gridCol w:w="2267"/>
        <w:gridCol w:w="1135"/>
        <w:gridCol w:w="1135"/>
        <w:gridCol w:w="2550"/>
      </w:tblGrid>
      <w:tr>
        <w:trPr>
          <w:cantSplit/>
          <w:tblHeader/>
        </w:trPr>
        <w:tc>
          <w:tcPr>
            <w:tcW w:w="2267" w:type="dxa"/>
            <w:tcBorders>
              <w:top w:val="single" w:sz="8" w:space="0" w:color="auto"/>
              <w:bottom w:val="single" w:sz="4" w:space="0" w:color="auto"/>
            </w:tcBorders>
          </w:tcPr>
          <w:p>
            <w:pPr>
              <w:pStyle w:val="nTable"/>
              <w:keepNext/>
              <w:spacing w:after="40"/>
              <w:ind w:right="113"/>
              <w:rPr>
                <w:b/>
              </w:rPr>
            </w:pPr>
            <w:r>
              <w:rPr>
                <w:b/>
              </w:rPr>
              <w:t>Short title</w:t>
            </w:r>
          </w:p>
        </w:tc>
        <w:tc>
          <w:tcPr>
            <w:tcW w:w="1135"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0"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7" w:type="dxa"/>
            <w:tcBorders>
              <w:top w:val="single" w:sz="4" w:space="0" w:color="auto"/>
            </w:tcBorders>
          </w:tcPr>
          <w:p>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w:t>
            </w:r>
          </w:p>
        </w:tc>
        <w:tc>
          <w:tcPr>
            <w:tcW w:w="1135" w:type="dxa"/>
            <w:tcBorders>
              <w:top w:val="single" w:sz="4" w:space="0" w:color="auto"/>
            </w:tcBorders>
          </w:tcPr>
          <w:p>
            <w:pPr>
              <w:pStyle w:val="nTable"/>
              <w:spacing w:after="40"/>
            </w:pPr>
            <w:r>
              <w:t>43 of 2000</w:t>
            </w:r>
          </w:p>
        </w:tc>
        <w:tc>
          <w:tcPr>
            <w:tcW w:w="1135" w:type="dxa"/>
            <w:tcBorders>
              <w:top w:val="single" w:sz="4" w:space="0" w:color="auto"/>
            </w:tcBorders>
          </w:tcPr>
          <w:p>
            <w:pPr>
              <w:pStyle w:val="nTable"/>
              <w:spacing w:after="40"/>
            </w:pPr>
            <w:r>
              <w:t>2 Nov 2000</w:t>
            </w:r>
          </w:p>
        </w:tc>
        <w:tc>
          <w:tcPr>
            <w:tcW w:w="2550" w:type="dxa"/>
            <w:tcBorders>
              <w:top w:val="single" w:sz="4" w:space="0" w:color="auto"/>
            </w:tcBorders>
          </w:tcPr>
          <w:p>
            <w:pPr>
              <w:pStyle w:val="nTable"/>
              <w:spacing w:after="40"/>
            </w:pPr>
            <w:r>
              <w:t>To be proclaimed (see s. 2(2))</w:t>
            </w:r>
          </w:p>
        </w:tc>
      </w:tr>
      <w:tr>
        <w:trPr>
          <w:cantSplit/>
        </w:trPr>
        <w:tc>
          <w:tcPr>
            <w:tcW w:w="2267" w:type="dxa"/>
            <w:tcBorders>
              <w:bottom w:val="single" w:sz="4" w:space="0" w:color="auto"/>
            </w:tcBorders>
          </w:tcPr>
          <w:p>
            <w:pPr>
              <w:pStyle w:val="nTable"/>
              <w:spacing w:after="40"/>
              <w:ind w:left="-28"/>
            </w:pPr>
            <w:r>
              <w:rPr>
                <w:i/>
              </w:rPr>
              <w:t>Health and Disability Services (Complaints) Amendment Act 2022</w:t>
            </w:r>
            <w:r>
              <w:t xml:space="preserve"> s. 3</w:t>
            </w:r>
            <w:r>
              <w:noBreakHyphen/>
              <w:t>43</w:t>
            </w:r>
          </w:p>
        </w:tc>
        <w:tc>
          <w:tcPr>
            <w:tcW w:w="1135" w:type="dxa"/>
            <w:tcBorders>
              <w:bottom w:val="single" w:sz="4" w:space="0" w:color="auto"/>
            </w:tcBorders>
          </w:tcPr>
          <w:p>
            <w:pPr>
              <w:pStyle w:val="nTable"/>
              <w:spacing w:after="40"/>
            </w:pPr>
            <w:r>
              <w:t>35 of 2022</w:t>
            </w:r>
          </w:p>
        </w:tc>
        <w:tc>
          <w:tcPr>
            <w:tcW w:w="1135" w:type="dxa"/>
            <w:tcBorders>
              <w:bottom w:val="single" w:sz="4" w:space="0" w:color="auto"/>
            </w:tcBorders>
          </w:tcPr>
          <w:p>
            <w:pPr>
              <w:pStyle w:val="nTable"/>
              <w:spacing w:after="40"/>
            </w:pPr>
            <w:r>
              <w:t>28 Oct 2022</w:t>
            </w:r>
          </w:p>
        </w:tc>
        <w:tc>
          <w:tcPr>
            <w:tcW w:w="2550" w:type="dxa"/>
            <w:tcBorders>
              <w:bottom w:val="single" w:sz="4" w:space="0" w:color="auto"/>
            </w:tcBorders>
          </w:tcPr>
          <w:p>
            <w:pPr>
              <w:pStyle w:val="nTable"/>
              <w:spacing w:after="40"/>
            </w:pPr>
            <w:r>
              <w:t>To be proclaimed (see s. 2(b))</w:t>
            </w:r>
          </w:p>
        </w:tc>
      </w:tr>
    </w:tbl>
    <w:p>
      <w:pPr>
        <w:pStyle w:val="nHeading3"/>
      </w:pPr>
      <w:bookmarkStart w:id="132" w:name="_Toc117776113"/>
      <w:r>
        <w:t>Other notes</w:t>
      </w:r>
      <w:bookmarkEnd w:id="132"/>
    </w:p>
    <w:p>
      <w:pPr>
        <w:pStyle w:val="nNote"/>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2</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Note"/>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r>
        <w:rPr>
          <w:vertAlign w:val="superscript"/>
        </w:rPr>
        <w:t>4</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lastRenderedPageBreak/>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34" w:name="_Toc117775197"/>
      <w:bookmarkStart w:id="135" w:name="_Toc117775503"/>
      <w:bookmarkStart w:id="136" w:name="_Toc117776114"/>
      <w:r>
        <w:rPr>
          <w:sz w:val="28"/>
        </w:rPr>
        <w:lastRenderedPageBreak/>
        <w:t>Defined terms</w:t>
      </w:r>
      <w:bookmarkEnd w:id="134"/>
      <w:bookmarkEnd w:id="135"/>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carer</w:t>
      </w:r>
      <w:r>
        <w:tab/>
        <w:t>3(1)</w:t>
      </w:r>
    </w:p>
    <w:p>
      <w:pPr>
        <w:pStyle w:val="DefinedTerms"/>
      </w:pPr>
      <w:r>
        <w:t>conciliator</w:t>
      </w:r>
      <w:r>
        <w:tab/>
        <w:t>3(1)</w:t>
      </w:r>
    </w:p>
    <w:p>
      <w:pPr>
        <w:pStyle w:val="DefinedTerms"/>
      </w:pPr>
      <w:r>
        <w:t>Director</w:t>
      </w:r>
      <w:r>
        <w:tab/>
        <w:t>3(1)</w:t>
      </w:r>
    </w:p>
    <w:p>
      <w:pPr>
        <w:pStyle w:val="DefinedTerms"/>
      </w:pPr>
      <w:r>
        <w:t>document</w:t>
      </w:r>
      <w:r>
        <w:tab/>
        <w:t>12(5)</w:t>
      </w:r>
    </w:p>
    <w:p>
      <w:pPr>
        <w:pStyle w:val="DefinedTerms"/>
      </w:pPr>
      <w:r>
        <w:t>excluded service</w:t>
      </w:r>
      <w:r>
        <w:tab/>
        <w:t>3(1)</w:t>
      </w:r>
    </w:p>
    <w:p>
      <w:pPr>
        <w:pStyle w:val="DefinedTerms"/>
      </w:pPr>
      <w:r>
        <w:t>functions of the Director</w:t>
      </w:r>
      <w:r>
        <w:tab/>
        <w:t>11(4)</w:t>
      </w:r>
    </w:p>
    <w:p>
      <w:pPr>
        <w:pStyle w:val="DefinedTerms"/>
      </w:pPr>
      <w:r>
        <w:t>Health Department</w:t>
      </w:r>
      <w:r>
        <w:tab/>
        <w:t>3(1)</w:t>
      </w:r>
    </w:p>
    <w:p>
      <w:pPr>
        <w:pStyle w:val="DefinedTerms"/>
      </w:pPr>
      <w:r>
        <w:t>health service</w:t>
      </w:r>
      <w:r>
        <w:tab/>
        <w:t>3(1)</w:t>
      </w:r>
    </w:p>
    <w:p>
      <w:pPr>
        <w:pStyle w:val="DefinedTerms"/>
      </w:pPr>
      <w:r>
        <w:t>industrial tribunal</w:t>
      </w:r>
      <w:r>
        <w:tab/>
        <w:t>3(1)</w:t>
      </w:r>
    </w:p>
    <w:p>
      <w:pPr>
        <w:pStyle w:val="DefinedTerms"/>
      </w:pPr>
      <w:r>
        <w:t>information</w:t>
      </w:r>
      <w:r>
        <w:tab/>
        <w:t>12(5)</w:t>
      </w:r>
    </w:p>
    <w:p>
      <w:pPr>
        <w:pStyle w:val="DefinedTerms"/>
      </w:pPr>
      <w:r>
        <w:t>manager</w:t>
      </w:r>
      <w:r>
        <w:tab/>
        <w:t>25(2)</w:t>
      </w:r>
    </w:p>
    <w:p>
      <w:pPr>
        <w:pStyle w:val="DefinedTerms"/>
      </w:pPr>
      <w:r>
        <w:t xml:space="preserve">member of the staff </w:t>
      </w:r>
      <w:r>
        <w:tab/>
        <w:t>3(1)</w:t>
      </w:r>
    </w:p>
    <w:p>
      <w:pPr>
        <w:pStyle w:val="DefinedTerms"/>
      </w:pPr>
      <w:r>
        <w:t>misbehaviour</w:t>
      </w:r>
      <w:r>
        <w:tab/>
        <w:t>Sch. 2 cl. 5(2)</w:t>
      </w:r>
    </w:p>
    <w:p>
      <w:pPr>
        <w:pStyle w:val="DefinedTerms"/>
      </w:pPr>
      <w:r>
        <w:t>Office</w:t>
      </w:r>
      <w:r>
        <w:tab/>
        <w:t>3(1)</w:t>
      </w:r>
    </w:p>
    <w:p>
      <w:pPr>
        <w:pStyle w:val="DefinedTerms"/>
      </w:pPr>
      <w:r>
        <w:t>person’s representative</w:t>
      </w:r>
      <w:r>
        <w:tab/>
        <w:t>67(2)</w:t>
      </w:r>
    </w:p>
    <w:p>
      <w:pPr>
        <w:pStyle w:val="DefinedTerms"/>
      </w:pPr>
      <w:r>
        <w:t>provide</w:t>
      </w:r>
      <w:r>
        <w:tab/>
        <w:t>3(1)</w:t>
      </w:r>
    </w:p>
    <w:p>
      <w:pPr>
        <w:pStyle w:val="DefinedTerms"/>
      </w:pPr>
      <w:r>
        <w:t>provider</w:t>
      </w:r>
      <w:r>
        <w:tab/>
        <w:t>3(1)</w:t>
      </w:r>
    </w:p>
    <w:p>
      <w:pPr>
        <w:pStyle w:val="DefinedTerms"/>
      </w:pPr>
      <w:r>
        <w:t>public provider</w:t>
      </w:r>
      <w:r>
        <w:tab/>
        <w:t>3(1)</w:t>
      </w:r>
    </w:p>
    <w:p>
      <w:pPr>
        <w:pStyle w:val="DefinedTerms"/>
      </w:pPr>
      <w:r>
        <w:t>registered provider</w:t>
      </w:r>
      <w:r>
        <w:tab/>
        <w:t>3(1)</w:t>
      </w:r>
    </w:p>
    <w:p>
      <w:pPr>
        <w:pStyle w:val="DefinedTerms"/>
      </w:pPr>
      <w:r>
        <w:t>registration board</w:t>
      </w:r>
      <w:r>
        <w:tab/>
        <w:t>3(1)</w:t>
      </w:r>
    </w:p>
    <w:p>
      <w:pPr>
        <w:pStyle w:val="DefinedTerms"/>
      </w:pPr>
      <w:r>
        <w:t>relative</w:t>
      </w:r>
      <w:r>
        <w:tab/>
        <w:t>20(4)</w:t>
      </w:r>
    </w:p>
    <w:p>
      <w:pPr>
        <w:pStyle w:val="DefinedTerms"/>
      </w:pPr>
      <w:r>
        <w:t>user</w:t>
      </w:r>
      <w:r>
        <w:tab/>
        <w:t>3(1)</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rPr>
          <w:i/>
        </w:rPr>
      </w:pPr>
    </w:p>
    <w:p/>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Health and Disability Services (Complaints) Act 1995</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D40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3EF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0E22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24E5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2CB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45538"/>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 w:name="WAFER_20191220113646" w:val="RemoveTocBookmarks,RemoveUnusedBookmarks,RemoveLanguageTags,ResetPageSize,RunningHeaders,UpdateStyles,UsedStyles"/>
    <w:docVar w:name="WAFER_20191220113646_GUID" w:val="75928615-6bf3-432a-8974-fa11f02dbfa3"/>
    <w:docVar w:name="WAFER_202002101550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5037_GUID" w:val="acdd8b7f-1226-4ac8-bf88-f4cec8ef2ea2"/>
    <w:docVar w:name="WAFER_20210617121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1219_GUID" w:val="7abbb140-9f1b-4d50-8898-b8287454803a"/>
    <w:docVar w:name="WAFER_20210625144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47_GUID" w:val="f8482c34-f358-4a01-9558-bc4394437f74"/>
    <w:docVar w:name="WAFER_202210271455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38_GUID" w:val="c8257abb-ae49-431d-969f-1402ac8129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13847</Words>
  <Characters>65502</Characters>
  <Application>Microsoft Office Word</Application>
  <DocSecurity>0</DocSecurity>
  <Lines>1926</Lines>
  <Paragraphs>1220</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1995 - 04-k0-00</dc:title>
  <dc:subject/>
  <dc:creator/>
  <cp:keywords/>
  <dc:description/>
  <cp:lastModifiedBy>Master Repository Process</cp:lastModifiedBy>
  <cp:revision>4</cp:revision>
  <cp:lastPrinted>2011-01-11T00:45:00Z</cp:lastPrinted>
  <dcterms:created xsi:type="dcterms:W3CDTF">2022-10-28T10:14:00Z</dcterms:created>
  <dcterms:modified xsi:type="dcterms:W3CDTF">2022-10-28T10:14:00Z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DocumentType">
    <vt:lpwstr>Act</vt:lpwstr>
  </property>
  <property fmtid="{D5CDD505-2E9C-101B-9397-08002B2CF9AE}" pid="4" name="OwlsUID">
    <vt:i4>345</vt:i4>
  </property>
  <property fmtid="{D5CDD505-2E9C-101B-9397-08002B2CF9AE}" pid="5" name="ReprintNo">
    <vt:lpwstr>4</vt:lpwstr>
  </property>
  <property fmtid="{D5CDD505-2E9C-101B-9397-08002B2CF9AE}" pid="6" name="ReprintedAsAt">
    <vt:filetime>2011-01-06T16:00:00Z</vt:filetime>
  </property>
  <property fmtid="{D5CDD505-2E9C-101B-9397-08002B2CF9AE}" pid="7" name="AsAtDate">
    <vt:lpwstr>28 Oct 2022</vt:lpwstr>
  </property>
  <property fmtid="{D5CDD505-2E9C-101B-9397-08002B2CF9AE}" pid="8" name="Suffix">
    <vt:lpwstr>04-k0-00</vt:lpwstr>
  </property>
  <property fmtid="{D5CDD505-2E9C-101B-9397-08002B2CF9AE}" pid="9" name="CommencementDate">
    <vt:lpwstr>20221028</vt:lpwstr>
  </property>
</Properties>
</file>