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Emergency Management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Emergency Management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_Toc118299966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_Toc118299967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_Toc118299968 \h </w:instrText>
      </w:r>
      <w:r>
        <w:fldChar w:fldCharType="separate"/>
      </w:r>
      <w:r>
        <w:t>2</w:t>
      </w:r>
      <w:r>
        <w:fldChar w:fldCharType="end"/>
      </w:r>
    </w:p>
    <w:p>
      <w:pPr>
        <w:pStyle w:val="TOC8"/>
        <w:rPr>
          <w:rFonts w:asciiTheme="minorHAnsi" w:eastAsiaTheme="minorEastAsia" w:hAnsiTheme="minorHAnsi" w:cstheme="minorBidi"/>
          <w:szCs w:val="22"/>
        </w:rPr>
      </w:pPr>
      <w:r>
        <w:t>4.</w:t>
      </w:r>
      <w:r>
        <w:tab/>
        <w:t>Hazard management agencies may be prescribed</w:t>
      </w:r>
      <w:r>
        <w:tab/>
      </w:r>
      <w:r>
        <w:fldChar w:fldCharType="begin"/>
      </w:r>
      <w:r>
        <w:instrText xml:space="preserve"> PAGEREF _Toc118299969 \h </w:instrText>
      </w:r>
      <w:r>
        <w:fldChar w:fldCharType="separate"/>
      </w:r>
      <w:r>
        <w:t>6</w:t>
      </w:r>
      <w:r>
        <w:fldChar w:fldCharType="end"/>
      </w:r>
    </w:p>
    <w:p>
      <w:pPr>
        <w:pStyle w:val="TOC8"/>
        <w:rPr>
          <w:rFonts w:asciiTheme="minorHAnsi" w:eastAsiaTheme="minorEastAsia" w:hAnsiTheme="minorHAnsi" w:cstheme="minorBidi"/>
          <w:szCs w:val="22"/>
        </w:rPr>
      </w:pPr>
      <w:r>
        <w:t>5.</w:t>
      </w:r>
      <w:r>
        <w:tab/>
        <w:t>Delegation by hazard management agency</w:t>
      </w:r>
      <w:r>
        <w:tab/>
      </w:r>
      <w:r>
        <w:fldChar w:fldCharType="begin"/>
      </w:r>
      <w:r>
        <w:instrText xml:space="preserve"> PAGEREF _Toc118299970 \h </w:instrText>
      </w:r>
      <w:r>
        <w:fldChar w:fldCharType="separate"/>
      </w:r>
      <w:r>
        <w:t>7</w:t>
      </w:r>
      <w:r>
        <w:fldChar w:fldCharType="end"/>
      </w:r>
    </w:p>
    <w:p>
      <w:pPr>
        <w:pStyle w:val="TOC8"/>
        <w:rPr>
          <w:rFonts w:asciiTheme="minorHAnsi" w:eastAsiaTheme="minorEastAsia" w:hAnsiTheme="minorHAnsi" w:cstheme="minorBidi"/>
          <w:szCs w:val="22"/>
        </w:rPr>
      </w:pPr>
      <w:r>
        <w:t>6.</w:t>
      </w:r>
      <w:r>
        <w:tab/>
        <w:t>Combat agencies and support organisations may be prescribed</w:t>
      </w:r>
      <w:r>
        <w:tab/>
      </w:r>
      <w:r>
        <w:fldChar w:fldCharType="begin"/>
      </w:r>
      <w:r>
        <w:instrText xml:space="preserve"> PAGEREF _Toc118299971 \h </w:instrText>
      </w:r>
      <w:r>
        <w:fldChar w:fldCharType="separate"/>
      </w:r>
      <w:r>
        <w:t>7</w:t>
      </w:r>
      <w:r>
        <w:fldChar w:fldCharType="end"/>
      </w:r>
    </w:p>
    <w:p>
      <w:pPr>
        <w:pStyle w:val="TOC8"/>
        <w:rPr>
          <w:rFonts w:asciiTheme="minorHAnsi" w:eastAsiaTheme="minorEastAsia" w:hAnsiTheme="minorHAnsi" w:cstheme="minorBidi"/>
          <w:szCs w:val="22"/>
        </w:rPr>
      </w:pPr>
      <w:r>
        <w:t>7.</w:t>
      </w:r>
      <w:r>
        <w:tab/>
        <w:t>Act binds the Crown</w:t>
      </w:r>
      <w:r>
        <w:tab/>
      </w:r>
      <w:r>
        <w:fldChar w:fldCharType="begin"/>
      </w:r>
      <w:r>
        <w:instrText xml:space="preserve"> PAGEREF _Toc118299972 \h </w:instrText>
      </w:r>
      <w:r>
        <w:fldChar w:fldCharType="separate"/>
      </w:r>
      <w:r>
        <w:t>8</w:t>
      </w:r>
      <w:r>
        <w:fldChar w:fldCharType="end"/>
      </w:r>
    </w:p>
    <w:p>
      <w:pPr>
        <w:pStyle w:val="TOC8"/>
        <w:rPr>
          <w:rFonts w:asciiTheme="minorHAnsi" w:eastAsiaTheme="minorEastAsia" w:hAnsiTheme="minorHAnsi" w:cstheme="minorBidi"/>
          <w:szCs w:val="22"/>
        </w:rPr>
      </w:pPr>
      <w:r>
        <w:t>8.</w:t>
      </w:r>
      <w:r>
        <w:tab/>
        <w:t>Relationship to other Acts</w:t>
      </w:r>
      <w:r>
        <w:tab/>
      </w:r>
      <w:r>
        <w:fldChar w:fldCharType="begin"/>
      </w:r>
      <w:r>
        <w:instrText xml:space="preserve"> PAGEREF _Toc118299973 \h </w:instrText>
      </w:r>
      <w:r>
        <w:fldChar w:fldCharType="separate"/>
      </w:r>
      <w:r>
        <w:t>8</w:t>
      </w:r>
      <w:r>
        <w:fldChar w:fldCharType="end"/>
      </w:r>
    </w:p>
    <w:p>
      <w:pPr>
        <w:pStyle w:val="TOC8"/>
        <w:rPr>
          <w:rFonts w:asciiTheme="minorHAnsi" w:eastAsiaTheme="minorEastAsia" w:hAnsiTheme="minorHAnsi" w:cstheme="minorBidi"/>
          <w:szCs w:val="22"/>
        </w:rPr>
      </w:pPr>
      <w:r>
        <w:t>9.</w:t>
      </w:r>
      <w:r>
        <w:tab/>
        <w:t>Limitation on Act — industrial disputes and civil disturbances</w:t>
      </w:r>
      <w:r>
        <w:tab/>
      </w:r>
      <w:r>
        <w:fldChar w:fldCharType="begin"/>
      </w:r>
      <w:r>
        <w:instrText xml:space="preserve"> PAGEREF _Toc118299974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State arrangements</w:t>
      </w:r>
    </w:p>
    <w:p>
      <w:pPr>
        <w:pStyle w:val="TOC4"/>
        <w:tabs>
          <w:tab w:val="right" w:leader="dot" w:pos="7077"/>
        </w:tabs>
        <w:rPr>
          <w:rFonts w:asciiTheme="minorHAnsi" w:eastAsiaTheme="minorEastAsia" w:hAnsiTheme="minorHAnsi" w:cstheme="minorBidi"/>
          <w:b w:val="0"/>
          <w:szCs w:val="22"/>
        </w:rPr>
      </w:pPr>
      <w:r>
        <w:t>Division 1 — The State Emergency Coordinator</w:t>
      </w:r>
    </w:p>
    <w:p>
      <w:pPr>
        <w:pStyle w:val="TOC8"/>
        <w:rPr>
          <w:rFonts w:asciiTheme="minorHAnsi" w:eastAsiaTheme="minorEastAsia" w:hAnsiTheme="minorHAnsi" w:cstheme="minorBidi"/>
          <w:szCs w:val="22"/>
        </w:rPr>
      </w:pPr>
      <w:r>
        <w:t>10.</w:t>
      </w:r>
      <w:r>
        <w:tab/>
        <w:t>State Emergency Coordinator</w:t>
      </w:r>
      <w:r>
        <w:tab/>
      </w:r>
      <w:r>
        <w:fldChar w:fldCharType="begin"/>
      </w:r>
      <w:r>
        <w:instrText xml:space="preserve"> PAGEREF _Toc118299977 \h </w:instrText>
      </w:r>
      <w:r>
        <w:fldChar w:fldCharType="separate"/>
      </w:r>
      <w:r>
        <w:t>9</w:t>
      </w:r>
      <w:r>
        <w:fldChar w:fldCharType="end"/>
      </w:r>
    </w:p>
    <w:p>
      <w:pPr>
        <w:pStyle w:val="TOC8"/>
        <w:rPr>
          <w:rFonts w:asciiTheme="minorHAnsi" w:eastAsiaTheme="minorEastAsia" w:hAnsiTheme="minorHAnsi" w:cstheme="minorBidi"/>
          <w:szCs w:val="22"/>
        </w:rPr>
      </w:pPr>
      <w:r>
        <w:t>11.</w:t>
      </w:r>
      <w:r>
        <w:tab/>
        <w:t>Functions of the State Emergency Coordinator</w:t>
      </w:r>
      <w:r>
        <w:tab/>
      </w:r>
      <w:r>
        <w:fldChar w:fldCharType="begin"/>
      </w:r>
      <w:r>
        <w:instrText xml:space="preserve"> PAGEREF _Toc118299978 \h </w:instrText>
      </w:r>
      <w:r>
        <w:fldChar w:fldCharType="separate"/>
      </w:r>
      <w:r>
        <w:t>9</w:t>
      </w:r>
      <w:r>
        <w:fldChar w:fldCharType="end"/>
      </w:r>
    </w:p>
    <w:p>
      <w:pPr>
        <w:pStyle w:val="TOC8"/>
        <w:rPr>
          <w:rFonts w:asciiTheme="minorHAnsi" w:eastAsiaTheme="minorEastAsia" w:hAnsiTheme="minorHAnsi" w:cstheme="minorBidi"/>
          <w:szCs w:val="22"/>
        </w:rPr>
      </w:pPr>
      <w:r>
        <w:t>12.</w:t>
      </w:r>
      <w:r>
        <w:tab/>
        <w:t>Delegation by State Emergency Coordinator</w:t>
      </w:r>
      <w:r>
        <w:tab/>
      </w:r>
      <w:r>
        <w:fldChar w:fldCharType="begin"/>
      </w:r>
      <w:r>
        <w:instrText xml:space="preserve"> PAGEREF _Toc118299979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The State Emergency Management Committee</w:t>
      </w:r>
    </w:p>
    <w:p>
      <w:pPr>
        <w:pStyle w:val="TOC8"/>
        <w:rPr>
          <w:rFonts w:asciiTheme="minorHAnsi" w:eastAsiaTheme="minorEastAsia" w:hAnsiTheme="minorHAnsi" w:cstheme="minorBidi"/>
          <w:szCs w:val="22"/>
        </w:rPr>
      </w:pPr>
      <w:r>
        <w:t>13.</w:t>
      </w:r>
      <w:r>
        <w:tab/>
        <w:t>State Emergency Management Committee</w:t>
      </w:r>
      <w:r>
        <w:tab/>
      </w:r>
      <w:r>
        <w:fldChar w:fldCharType="begin"/>
      </w:r>
      <w:r>
        <w:instrText xml:space="preserve"> PAGEREF _Toc118299981 \h </w:instrText>
      </w:r>
      <w:r>
        <w:fldChar w:fldCharType="separate"/>
      </w:r>
      <w:r>
        <w:t>10</w:t>
      </w:r>
      <w:r>
        <w:fldChar w:fldCharType="end"/>
      </w:r>
    </w:p>
    <w:p>
      <w:pPr>
        <w:pStyle w:val="TOC8"/>
        <w:rPr>
          <w:rFonts w:asciiTheme="minorHAnsi" w:eastAsiaTheme="minorEastAsia" w:hAnsiTheme="minorHAnsi" w:cstheme="minorBidi"/>
          <w:szCs w:val="22"/>
        </w:rPr>
      </w:pPr>
      <w:r>
        <w:t>14.</w:t>
      </w:r>
      <w:r>
        <w:tab/>
        <w:t>Functions of the SEMC</w:t>
      </w:r>
      <w:r>
        <w:tab/>
      </w:r>
      <w:r>
        <w:fldChar w:fldCharType="begin"/>
      </w:r>
      <w:r>
        <w:instrText xml:space="preserve"> PAGEREF _Toc118299982 \h </w:instrText>
      </w:r>
      <w:r>
        <w:fldChar w:fldCharType="separate"/>
      </w:r>
      <w:r>
        <w:t>11</w:t>
      </w:r>
      <w:r>
        <w:fldChar w:fldCharType="end"/>
      </w:r>
    </w:p>
    <w:p>
      <w:pPr>
        <w:pStyle w:val="TOC8"/>
        <w:rPr>
          <w:rFonts w:asciiTheme="minorHAnsi" w:eastAsiaTheme="minorEastAsia" w:hAnsiTheme="minorHAnsi" w:cstheme="minorBidi"/>
          <w:szCs w:val="22"/>
        </w:rPr>
      </w:pPr>
      <w:r>
        <w:t>15.</w:t>
      </w:r>
      <w:r>
        <w:tab/>
        <w:t>Powers of the SEMC</w:t>
      </w:r>
      <w:r>
        <w:tab/>
      </w:r>
      <w:r>
        <w:fldChar w:fldCharType="begin"/>
      </w:r>
      <w:r>
        <w:instrText xml:space="preserve"> PAGEREF _Toc118299983 \h </w:instrText>
      </w:r>
      <w:r>
        <w:fldChar w:fldCharType="separate"/>
      </w:r>
      <w:r>
        <w:t>12</w:t>
      </w:r>
      <w:r>
        <w:fldChar w:fldCharType="end"/>
      </w:r>
    </w:p>
    <w:p>
      <w:pPr>
        <w:pStyle w:val="TOC8"/>
        <w:rPr>
          <w:rFonts w:asciiTheme="minorHAnsi" w:eastAsiaTheme="minorEastAsia" w:hAnsiTheme="minorHAnsi" w:cstheme="minorBidi"/>
          <w:szCs w:val="22"/>
        </w:rPr>
      </w:pPr>
      <w:r>
        <w:t>16.</w:t>
      </w:r>
      <w:r>
        <w:tab/>
        <w:t>Designation of cyclone areas</w:t>
      </w:r>
      <w:r>
        <w:tab/>
      </w:r>
      <w:r>
        <w:fldChar w:fldCharType="begin"/>
      </w:r>
      <w:r>
        <w:instrText xml:space="preserve"> PAGEREF _Toc118299984 \h </w:instrText>
      </w:r>
      <w:r>
        <w:fldChar w:fldCharType="separate"/>
      </w:r>
      <w:r>
        <w:t>12</w:t>
      </w:r>
      <w:r>
        <w:fldChar w:fldCharType="end"/>
      </w:r>
    </w:p>
    <w:p>
      <w:pPr>
        <w:pStyle w:val="TOC8"/>
        <w:rPr>
          <w:rFonts w:asciiTheme="minorHAnsi" w:eastAsiaTheme="minorEastAsia" w:hAnsiTheme="minorHAnsi" w:cstheme="minorBidi"/>
          <w:szCs w:val="22"/>
        </w:rPr>
      </w:pPr>
      <w:r>
        <w:t>17.</w:t>
      </w:r>
      <w:r>
        <w:tab/>
        <w:t>State emergency management policies</w:t>
      </w:r>
      <w:r>
        <w:tab/>
      </w:r>
      <w:r>
        <w:fldChar w:fldCharType="begin"/>
      </w:r>
      <w:r>
        <w:instrText xml:space="preserve"> PAGEREF _Toc118299985 \h </w:instrText>
      </w:r>
      <w:r>
        <w:fldChar w:fldCharType="separate"/>
      </w:r>
      <w:r>
        <w:t>12</w:t>
      </w:r>
      <w:r>
        <w:fldChar w:fldCharType="end"/>
      </w:r>
    </w:p>
    <w:p>
      <w:pPr>
        <w:pStyle w:val="TOC8"/>
        <w:rPr>
          <w:rFonts w:asciiTheme="minorHAnsi" w:eastAsiaTheme="minorEastAsia" w:hAnsiTheme="minorHAnsi" w:cstheme="minorBidi"/>
          <w:szCs w:val="22"/>
        </w:rPr>
      </w:pPr>
      <w:r>
        <w:t>18.</w:t>
      </w:r>
      <w:r>
        <w:tab/>
        <w:t>State emergency management plans</w:t>
      </w:r>
      <w:r>
        <w:tab/>
      </w:r>
      <w:r>
        <w:fldChar w:fldCharType="begin"/>
      </w:r>
      <w:r>
        <w:instrText xml:space="preserve"> PAGEREF _Toc118299986 \h </w:instrText>
      </w:r>
      <w:r>
        <w:fldChar w:fldCharType="separate"/>
      </w:r>
      <w:r>
        <w:t>13</w:t>
      </w:r>
      <w:r>
        <w:fldChar w:fldCharType="end"/>
      </w:r>
    </w:p>
    <w:p>
      <w:pPr>
        <w:pStyle w:val="TOC8"/>
        <w:rPr>
          <w:rFonts w:asciiTheme="minorHAnsi" w:eastAsiaTheme="minorEastAsia" w:hAnsiTheme="minorHAnsi" w:cstheme="minorBidi"/>
          <w:szCs w:val="22"/>
        </w:rPr>
      </w:pPr>
      <w:r>
        <w:t>19.</w:t>
      </w:r>
      <w:r>
        <w:tab/>
        <w:t>Reviewing State emergency management policies and State emergency management plans</w:t>
      </w:r>
      <w:r>
        <w:tab/>
      </w:r>
      <w:r>
        <w:fldChar w:fldCharType="begin"/>
      </w:r>
      <w:r>
        <w:instrText xml:space="preserve"> PAGEREF _Toc118299987 \h </w:instrText>
      </w:r>
      <w:r>
        <w:fldChar w:fldCharType="separate"/>
      </w:r>
      <w:r>
        <w:t>13</w:t>
      </w:r>
      <w:r>
        <w:fldChar w:fldCharType="end"/>
      </w:r>
    </w:p>
    <w:p>
      <w:pPr>
        <w:pStyle w:val="TOC8"/>
        <w:rPr>
          <w:rFonts w:asciiTheme="minorHAnsi" w:eastAsiaTheme="minorEastAsia" w:hAnsiTheme="minorHAnsi" w:cstheme="minorBidi"/>
          <w:szCs w:val="22"/>
        </w:rPr>
      </w:pPr>
      <w:r>
        <w:lastRenderedPageBreak/>
        <w:t>20.</w:t>
      </w:r>
      <w:r>
        <w:tab/>
        <w:t>Directions to, and duties of, public authorities</w:t>
      </w:r>
      <w:r>
        <w:tab/>
      </w:r>
      <w:r>
        <w:fldChar w:fldCharType="begin"/>
      </w:r>
      <w:r>
        <w:instrText xml:space="preserve"> PAGEREF _Toc118299988 \h </w:instrText>
      </w:r>
      <w:r>
        <w:fldChar w:fldCharType="separate"/>
      </w:r>
      <w:r>
        <w:t>13</w:t>
      </w:r>
      <w:r>
        <w:fldChar w:fldCharType="end"/>
      </w:r>
    </w:p>
    <w:p>
      <w:pPr>
        <w:pStyle w:val="TOC8"/>
        <w:rPr>
          <w:rFonts w:asciiTheme="minorHAnsi" w:eastAsiaTheme="minorEastAsia" w:hAnsiTheme="minorHAnsi" w:cstheme="minorBidi"/>
          <w:szCs w:val="22"/>
        </w:rPr>
      </w:pPr>
      <w:r>
        <w:t>21.</w:t>
      </w:r>
      <w:r>
        <w:tab/>
        <w:t>Sub</w:t>
      </w:r>
      <w:r>
        <w:noBreakHyphen/>
        <w:t>committees</w:t>
      </w:r>
      <w:r>
        <w:tab/>
      </w:r>
      <w:r>
        <w:fldChar w:fldCharType="begin"/>
      </w:r>
      <w:r>
        <w:instrText xml:space="preserve"> PAGEREF _Toc118299989 \h </w:instrText>
      </w:r>
      <w:r>
        <w:fldChar w:fldCharType="separate"/>
      </w:r>
      <w:r>
        <w:t>14</w:t>
      </w:r>
      <w:r>
        <w:fldChar w:fldCharType="end"/>
      </w:r>
    </w:p>
    <w:p>
      <w:pPr>
        <w:pStyle w:val="TOC8"/>
        <w:rPr>
          <w:rFonts w:asciiTheme="minorHAnsi" w:eastAsiaTheme="minorEastAsia" w:hAnsiTheme="minorHAnsi" w:cstheme="minorBidi"/>
          <w:szCs w:val="22"/>
        </w:rPr>
      </w:pPr>
      <w:r>
        <w:t>22.</w:t>
      </w:r>
      <w:r>
        <w:tab/>
        <w:t>SEMC may delegate</w:t>
      </w:r>
      <w:r>
        <w:tab/>
      </w:r>
      <w:r>
        <w:fldChar w:fldCharType="begin"/>
      </w:r>
      <w:r>
        <w:instrText xml:space="preserve"> PAGEREF _Toc118299990 \h </w:instrText>
      </w:r>
      <w:r>
        <w:fldChar w:fldCharType="separate"/>
      </w:r>
      <w:r>
        <w:t>14</w:t>
      </w:r>
      <w:r>
        <w:fldChar w:fldCharType="end"/>
      </w:r>
    </w:p>
    <w:p>
      <w:pPr>
        <w:pStyle w:val="TOC8"/>
        <w:rPr>
          <w:rFonts w:asciiTheme="minorHAnsi" w:eastAsiaTheme="minorEastAsia" w:hAnsiTheme="minorHAnsi" w:cstheme="minorBidi"/>
          <w:szCs w:val="22"/>
        </w:rPr>
      </w:pPr>
      <w:r>
        <w:t>23.</w:t>
      </w:r>
      <w:r>
        <w:tab/>
        <w:t>Minister may give directions</w:t>
      </w:r>
      <w:r>
        <w:tab/>
      </w:r>
      <w:r>
        <w:fldChar w:fldCharType="begin"/>
      </w:r>
      <w:r>
        <w:instrText xml:space="preserve"> PAGEREF _Toc118299991 \h </w:instrText>
      </w:r>
      <w:r>
        <w:fldChar w:fldCharType="separate"/>
      </w:r>
      <w:r>
        <w:t>15</w:t>
      </w:r>
      <w:r>
        <w:fldChar w:fldCharType="end"/>
      </w:r>
    </w:p>
    <w:p>
      <w:pPr>
        <w:pStyle w:val="TOC8"/>
        <w:rPr>
          <w:rFonts w:asciiTheme="minorHAnsi" w:eastAsiaTheme="minorEastAsia" w:hAnsiTheme="minorHAnsi" w:cstheme="minorBidi"/>
          <w:szCs w:val="22"/>
        </w:rPr>
      </w:pPr>
      <w:r>
        <w:t>24.</w:t>
      </w:r>
      <w:r>
        <w:tab/>
        <w:t>Facilities and services for SEMC</w:t>
      </w:r>
      <w:r>
        <w:tab/>
      </w:r>
      <w:r>
        <w:fldChar w:fldCharType="begin"/>
      </w:r>
      <w:r>
        <w:instrText xml:space="preserve"> PAGEREF _Toc118299992 \h </w:instrText>
      </w:r>
      <w:r>
        <w:fldChar w:fldCharType="separate"/>
      </w:r>
      <w:r>
        <w:t>15</w:t>
      </w:r>
      <w:r>
        <w:fldChar w:fldCharType="end"/>
      </w:r>
    </w:p>
    <w:p>
      <w:pPr>
        <w:pStyle w:val="TOC8"/>
        <w:rPr>
          <w:rFonts w:asciiTheme="minorHAnsi" w:eastAsiaTheme="minorEastAsia" w:hAnsiTheme="minorHAnsi" w:cstheme="minorBidi"/>
          <w:szCs w:val="22"/>
        </w:rPr>
      </w:pPr>
      <w:r>
        <w:t>25.</w:t>
      </w:r>
      <w:r>
        <w:tab/>
        <w:t>Annual report of SEMC</w:t>
      </w:r>
      <w:r>
        <w:tab/>
      </w:r>
      <w:r>
        <w:fldChar w:fldCharType="begin"/>
      </w:r>
      <w:r>
        <w:instrText xml:space="preserve"> PAGEREF _Toc118299993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The State Emergency Coordination Group</w:t>
      </w:r>
    </w:p>
    <w:p>
      <w:pPr>
        <w:pStyle w:val="TOC8"/>
        <w:rPr>
          <w:rFonts w:asciiTheme="minorHAnsi" w:eastAsiaTheme="minorEastAsia" w:hAnsiTheme="minorHAnsi" w:cstheme="minorBidi"/>
          <w:szCs w:val="22"/>
        </w:rPr>
      </w:pPr>
      <w:r>
        <w:t>26.</w:t>
      </w:r>
      <w:r>
        <w:tab/>
        <w:t>State Emergency Coordination Group</w:t>
      </w:r>
      <w:r>
        <w:tab/>
      </w:r>
      <w:r>
        <w:fldChar w:fldCharType="begin"/>
      </w:r>
      <w:r>
        <w:instrText xml:space="preserve"> PAGEREF _Toc118299995 \h </w:instrText>
      </w:r>
      <w:r>
        <w:fldChar w:fldCharType="separate"/>
      </w:r>
      <w:r>
        <w:t>16</w:t>
      </w:r>
      <w:r>
        <w:fldChar w:fldCharType="end"/>
      </w:r>
    </w:p>
    <w:p>
      <w:pPr>
        <w:pStyle w:val="TOC8"/>
        <w:rPr>
          <w:rFonts w:asciiTheme="minorHAnsi" w:eastAsiaTheme="minorEastAsia" w:hAnsiTheme="minorHAnsi" w:cstheme="minorBidi"/>
          <w:szCs w:val="22"/>
        </w:rPr>
      </w:pPr>
      <w:r>
        <w:t>27.</w:t>
      </w:r>
      <w:r>
        <w:tab/>
        <w:t>Functions of the State Emergency Coordination Group</w:t>
      </w:r>
      <w:r>
        <w:tab/>
      </w:r>
      <w:r>
        <w:fldChar w:fldCharType="begin"/>
      </w:r>
      <w:r>
        <w:instrText xml:space="preserve"> PAGEREF _Toc118299996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Emergency management districts</w:t>
      </w:r>
    </w:p>
    <w:p>
      <w:pPr>
        <w:pStyle w:val="TOC8"/>
        <w:rPr>
          <w:rFonts w:asciiTheme="minorHAnsi" w:eastAsiaTheme="minorEastAsia" w:hAnsiTheme="minorHAnsi" w:cstheme="minorBidi"/>
          <w:szCs w:val="22"/>
        </w:rPr>
      </w:pPr>
      <w:r>
        <w:t>28.</w:t>
      </w:r>
      <w:r>
        <w:tab/>
        <w:t>Establishment of emergency management districts</w:t>
      </w:r>
      <w:r>
        <w:tab/>
      </w:r>
      <w:r>
        <w:fldChar w:fldCharType="begin"/>
      </w:r>
      <w:r>
        <w:instrText xml:space="preserve"> PAGEREF _Toc118299998 \h </w:instrText>
      </w:r>
      <w:r>
        <w:fldChar w:fldCharType="separate"/>
      </w:r>
      <w:r>
        <w:t>17</w:t>
      </w:r>
      <w:r>
        <w:fldChar w:fldCharType="end"/>
      </w:r>
    </w:p>
    <w:p>
      <w:pPr>
        <w:pStyle w:val="TOC8"/>
        <w:rPr>
          <w:rFonts w:asciiTheme="minorHAnsi" w:eastAsiaTheme="minorEastAsia" w:hAnsiTheme="minorHAnsi" w:cstheme="minorBidi"/>
          <w:szCs w:val="22"/>
        </w:rPr>
      </w:pPr>
      <w:r>
        <w:t>29.</w:t>
      </w:r>
      <w:r>
        <w:tab/>
        <w:t>District emergency coordinator</w:t>
      </w:r>
      <w:r>
        <w:tab/>
      </w:r>
      <w:r>
        <w:fldChar w:fldCharType="begin"/>
      </w:r>
      <w:r>
        <w:instrText xml:space="preserve"> PAGEREF _Toc118299999 \h </w:instrText>
      </w:r>
      <w:r>
        <w:fldChar w:fldCharType="separate"/>
      </w:r>
      <w:r>
        <w:t>18</w:t>
      </w:r>
      <w:r>
        <w:fldChar w:fldCharType="end"/>
      </w:r>
    </w:p>
    <w:p>
      <w:pPr>
        <w:pStyle w:val="TOC8"/>
        <w:rPr>
          <w:rFonts w:asciiTheme="minorHAnsi" w:eastAsiaTheme="minorEastAsia" w:hAnsiTheme="minorHAnsi" w:cstheme="minorBidi"/>
          <w:szCs w:val="22"/>
        </w:rPr>
      </w:pPr>
      <w:r>
        <w:t>30.</w:t>
      </w:r>
      <w:r>
        <w:tab/>
        <w:t>Functions of district emergency coordinator</w:t>
      </w:r>
      <w:r>
        <w:tab/>
      </w:r>
      <w:r>
        <w:fldChar w:fldCharType="begin"/>
      </w:r>
      <w:r>
        <w:instrText xml:space="preserve"> PAGEREF _Toc118300000 \h </w:instrText>
      </w:r>
      <w:r>
        <w:fldChar w:fldCharType="separate"/>
      </w:r>
      <w:r>
        <w:t>18</w:t>
      </w:r>
      <w:r>
        <w:fldChar w:fldCharType="end"/>
      </w:r>
    </w:p>
    <w:p>
      <w:pPr>
        <w:pStyle w:val="TOC8"/>
        <w:rPr>
          <w:rFonts w:asciiTheme="minorHAnsi" w:eastAsiaTheme="minorEastAsia" w:hAnsiTheme="minorHAnsi" w:cstheme="minorBidi"/>
          <w:szCs w:val="22"/>
        </w:rPr>
      </w:pPr>
      <w:r>
        <w:t>31.</w:t>
      </w:r>
      <w:r>
        <w:tab/>
        <w:t>District emergency management committees</w:t>
      </w:r>
      <w:r>
        <w:tab/>
      </w:r>
      <w:r>
        <w:fldChar w:fldCharType="begin"/>
      </w:r>
      <w:r>
        <w:instrText xml:space="preserve"> PAGEREF _Toc118300001 \h </w:instrText>
      </w:r>
      <w:r>
        <w:fldChar w:fldCharType="separate"/>
      </w:r>
      <w:r>
        <w:t>18</w:t>
      </w:r>
      <w:r>
        <w:fldChar w:fldCharType="end"/>
      </w:r>
    </w:p>
    <w:p>
      <w:pPr>
        <w:pStyle w:val="TOC8"/>
        <w:rPr>
          <w:rFonts w:asciiTheme="minorHAnsi" w:eastAsiaTheme="minorEastAsia" w:hAnsiTheme="minorHAnsi" w:cstheme="minorBidi"/>
          <w:szCs w:val="22"/>
        </w:rPr>
      </w:pPr>
      <w:r>
        <w:t>32.</w:t>
      </w:r>
      <w:r>
        <w:tab/>
        <w:t>Functions of district emergency management committees</w:t>
      </w:r>
      <w:r>
        <w:tab/>
      </w:r>
      <w:r>
        <w:fldChar w:fldCharType="begin"/>
      </w:r>
      <w:r>
        <w:instrText xml:space="preserve"> PAGEREF _Toc118300002 \h </w:instrText>
      </w:r>
      <w:r>
        <w:fldChar w:fldCharType="separate"/>
      </w:r>
      <w:r>
        <w:t>19</w:t>
      </w:r>
      <w:r>
        <w:fldChar w:fldCharType="end"/>
      </w:r>
    </w:p>
    <w:p>
      <w:pPr>
        <w:pStyle w:val="TOC8"/>
        <w:rPr>
          <w:rFonts w:asciiTheme="minorHAnsi" w:eastAsiaTheme="minorEastAsia" w:hAnsiTheme="minorHAnsi" w:cstheme="minorBidi"/>
          <w:szCs w:val="22"/>
        </w:rPr>
      </w:pPr>
      <w:r>
        <w:t>33.</w:t>
      </w:r>
      <w:r>
        <w:tab/>
        <w:t>Annual report of district emergency management committees</w:t>
      </w:r>
      <w:r>
        <w:tab/>
      </w:r>
      <w:r>
        <w:fldChar w:fldCharType="begin"/>
      </w:r>
      <w:r>
        <w:instrText xml:space="preserve"> PAGEREF _Toc118300003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Local arrangements</w:t>
      </w:r>
    </w:p>
    <w:p>
      <w:pPr>
        <w:pStyle w:val="TOC4"/>
        <w:tabs>
          <w:tab w:val="right" w:leader="dot" w:pos="7077"/>
        </w:tabs>
        <w:rPr>
          <w:rFonts w:asciiTheme="minorHAnsi" w:eastAsiaTheme="minorEastAsia" w:hAnsiTheme="minorHAnsi" w:cstheme="minorBidi"/>
          <w:b w:val="0"/>
          <w:szCs w:val="22"/>
        </w:rPr>
      </w:pPr>
      <w:r>
        <w:t>Division 1 — Local emergency authorities</w:t>
      </w:r>
    </w:p>
    <w:p>
      <w:pPr>
        <w:pStyle w:val="TOC8"/>
        <w:rPr>
          <w:rFonts w:asciiTheme="minorHAnsi" w:eastAsiaTheme="minorEastAsia" w:hAnsiTheme="minorHAnsi" w:cstheme="minorBidi"/>
          <w:szCs w:val="22"/>
        </w:rPr>
      </w:pPr>
      <w:r>
        <w:t>34.</w:t>
      </w:r>
      <w:r>
        <w:tab/>
        <w:t>Local governments may combine</w:t>
      </w:r>
      <w:r>
        <w:tab/>
      </w:r>
      <w:r>
        <w:fldChar w:fldCharType="begin"/>
      </w:r>
      <w:r>
        <w:instrText xml:space="preserve"> PAGEREF _Toc118300006 \h </w:instrText>
      </w:r>
      <w:r>
        <w:fldChar w:fldCharType="separate"/>
      </w:r>
      <w:r>
        <w:t>20</w:t>
      </w:r>
      <w:r>
        <w:fldChar w:fldCharType="end"/>
      </w:r>
    </w:p>
    <w:p>
      <w:pPr>
        <w:pStyle w:val="TOC8"/>
        <w:rPr>
          <w:rFonts w:asciiTheme="minorHAnsi" w:eastAsiaTheme="minorEastAsia" w:hAnsiTheme="minorHAnsi" w:cstheme="minorBidi"/>
          <w:szCs w:val="22"/>
        </w:rPr>
      </w:pPr>
      <w:r>
        <w:t>35.</w:t>
      </w:r>
      <w:r>
        <w:tab/>
        <w:t>Specified public authority may exercise functions of local government</w:t>
      </w:r>
      <w:r>
        <w:tab/>
      </w:r>
      <w:r>
        <w:fldChar w:fldCharType="begin"/>
      </w:r>
      <w:r>
        <w:instrText xml:space="preserve"> PAGEREF _Toc118300007 \h </w:instrText>
      </w:r>
      <w:r>
        <w:fldChar w:fldCharType="separate"/>
      </w:r>
      <w:r>
        <w:t>20</w:t>
      </w:r>
      <w:r>
        <w:fldChar w:fldCharType="end"/>
      </w:r>
    </w:p>
    <w:p>
      <w:pPr>
        <w:pStyle w:val="TOC8"/>
        <w:rPr>
          <w:rFonts w:asciiTheme="minorHAnsi" w:eastAsiaTheme="minorEastAsia" w:hAnsiTheme="minorHAnsi" w:cstheme="minorBidi"/>
          <w:szCs w:val="22"/>
        </w:rPr>
      </w:pPr>
      <w:r>
        <w:t>36.</w:t>
      </w:r>
      <w:r>
        <w:tab/>
        <w:t>Functions of local government</w:t>
      </w:r>
      <w:r>
        <w:tab/>
      </w:r>
      <w:r>
        <w:fldChar w:fldCharType="begin"/>
      </w:r>
      <w:r>
        <w:instrText xml:space="preserve"> PAGEREF _Toc118300008 \h </w:instrText>
      </w:r>
      <w:r>
        <w:fldChar w:fldCharType="separate"/>
      </w:r>
      <w:r>
        <w:t>21</w:t>
      </w:r>
      <w:r>
        <w:fldChar w:fldCharType="end"/>
      </w:r>
    </w:p>
    <w:p>
      <w:pPr>
        <w:pStyle w:val="TOC8"/>
        <w:rPr>
          <w:rFonts w:asciiTheme="minorHAnsi" w:eastAsiaTheme="minorEastAsia" w:hAnsiTheme="minorHAnsi" w:cstheme="minorBidi"/>
          <w:szCs w:val="22"/>
        </w:rPr>
      </w:pPr>
      <w:r>
        <w:t>37.</w:t>
      </w:r>
      <w:r>
        <w:tab/>
        <w:t>Local emergency coordinators</w:t>
      </w:r>
      <w:r>
        <w:tab/>
      </w:r>
      <w:r>
        <w:fldChar w:fldCharType="begin"/>
      </w:r>
      <w:r>
        <w:instrText xml:space="preserve"> PAGEREF _Toc118300009 \h </w:instrText>
      </w:r>
      <w:r>
        <w:fldChar w:fldCharType="separate"/>
      </w:r>
      <w:r>
        <w:t>22</w:t>
      </w:r>
      <w:r>
        <w:fldChar w:fldCharType="end"/>
      </w:r>
    </w:p>
    <w:p>
      <w:pPr>
        <w:pStyle w:val="TOC8"/>
        <w:rPr>
          <w:rFonts w:asciiTheme="minorHAnsi" w:eastAsiaTheme="minorEastAsia" w:hAnsiTheme="minorHAnsi" w:cstheme="minorBidi"/>
          <w:szCs w:val="22"/>
        </w:rPr>
      </w:pPr>
      <w:r>
        <w:t>38.</w:t>
      </w:r>
      <w:r>
        <w:tab/>
        <w:t>Local emergency management committees</w:t>
      </w:r>
      <w:r>
        <w:tab/>
      </w:r>
      <w:r>
        <w:fldChar w:fldCharType="begin"/>
      </w:r>
      <w:r>
        <w:instrText xml:space="preserve"> PAGEREF _Toc118300010 \h </w:instrText>
      </w:r>
      <w:r>
        <w:fldChar w:fldCharType="separate"/>
      </w:r>
      <w:r>
        <w:t>22</w:t>
      </w:r>
      <w:r>
        <w:fldChar w:fldCharType="end"/>
      </w:r>
    </w:p>
    <w:p>
      <w:pPr>
        <w:pStyle w:val="TOC8"/>
        <w:rPr>
          <w:rFonts w:asciiTheme="minorHAnsi" w:eastAsiaTheme="minorEastAsia" w:hAnsiTheme="minorHAnsi" w:cstheme="minorBidi"/>
          <w:szCs w:val="22"/>
        </w:rPr>
      </w:pPr>
      <w:r>
        <w:t>39.</w:t>
      </w:r>
      <w:r>
        <w:tab/>
        <w:t>Functions of local emergency management committees</w:t>
      </w:r>
      <w:r>
        <w:tab/>
      </w:r>
      <w:r>
        <w:fldChar w:fldCharType="begin"/>
      </w:r>
      <w:r>
        <w:instrText xml:space="preserve"> PAGEREF _Toc118300011 \h </w:instrText>
      </w:r>
      <w:r>
        <w:fldChar w:fldCharType="separate"/>
      </w:r>
      <w:r>
        <w:t>23</w:t>
      </w:r>
      <w:r>
        <w:fldChar w:fldCharType="end"/>
      </w:r>
    </w:p>
    <w:p>
      <w:pPr>
        <w:pStyle w:val="TOC8"/>
        <w:rPr>
          <w:rFonts w:asciiTheme="minorHAnsi" w:eastAsiaTheme="minorEastAsia" w:hAnsiTheme="minorHAnsi" w:cstheme="minorBidi"/>
          <w:szCs w:val="22"/>
        </w:rPr>
      </w:pPr>
      <w:r>
        <w:t>40.</w:t>
      </w:r>
      <w:r>
        <w:tab/>
        <w:t>Annual report of local emergency management committee</w:t>
      </w:r>
      <w:r>
        <w:tab/>
      </w:r>
      <w:r>
        <w:fldChar w:fldCharType="begin"/>
      </w:r>
      <w:r>
        <w:instrText xml:space="preserve"> PAGEREF _Toc118300012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Emergency management arrangements for local governments</w:t>
      </w:r>
    </w:p>
    <w:p>
      <w:pPr>
        <w:pStyle w:val="TOC8"/>
        <w:rPr>
          <w:rFonts w:asciiTheme="minorHAnsi" w:eastAsiaTheme="minorEastAsia" w:hAnsiTheme="minorHAnsi" w:cstheme="minorBidi"/>
          <w:szCs w:val="22"/>
        </w:rPr>
      </w:pPr>
      <w:r>
        <w:t>41.</w:t>
      </w:r>
      <w:r>
        <w:tab/>
        <w:t>Emergency management arrangements in local government district</w:t>
      </w:r>
      <w:r>
        <w:tab/>
      </w:r>
      <w:r>
        <w:fldChar w:fldCharType="begin"/>
      </w:r>
      <w:r>
        <w:instrText xml:space="preserve"> PAGEREF _Toc118300014 \h </w:instrText>
      </w:r>
      <w:r>
        <w:fldChar w:fldCharType="separate"/>
      </w:r>
      <w:r>
        <w:t>24</w:t>
      </w:r>
      <w:r>
        <w:fldChar w:fldCharType="end"/>
      </w:r>
    </w:p>
    <w:p>
      <w:pPr>
        <w:pStyle w:val="TOC8"/>
        <w:rPr>
          <w:rFonts w:asciiTheme="minorHAnsi" w:eastAsiaTheme="minorEastAsia" w:hAnsiTheme="minorHAnsi" w:cstheme="minorBidi"/>
          <w:szCs w:val="22"/>
        </w:rPr>
      </w:pPr>
      <w:r>
        <w:t>42.</w:t>
      </w:r>
      <w:r>
        <w:tab/>
        <w:t>Reviewing and renewing local emergency management arrangements</w:t>
      </w:r>
      <w:r>
        <w:tab/>
      </w:r>
      <w:r>
        <w:fldChar w:fldCharType="begin"/>
      </w:r>
      <w:r>
        <w:instrText xml:space="preserve"> PAGEREF _Toc118300015 \h </w:instrText>
      </w:r>
      <w:r>
        <w:fldChar w:fldCharType="separate"/>
      </w:r>
      <w:r>
        <w:t>25</w:t>
      </w:r>
      <w:r>
        <w:fldChar w:fldCharType="end"/>
      </w:r>
    </w:p>
    <w:p>
      <w:pPr>
        <w:pStyle w:val="TOC8"/>
        <w:rPr>
          <w:rFonts w:asciiTheme="minorHAnsi" w:eastAsiaTheme="minorEastAsia" w:hAnsiTheme="minorHAnsi" w:cstheme="minorBidi"/>
          <w:szCs w:val="22"/>
        </w:rPr>
      </w:pPr>
      <w:r>
        <w:lastRenderedPageBreak/>
        <w:t>43.</w:t>
      </w:r>
      <w:r>
        <w:tab/>
        <w:t>Local emergency management arrangements to be available for inspection</w:t>
      </w:r>
      <w:r>
        <w:tab/>
      </w:r>
      <w:r>
        <w:fldChar w:fldCharType="begin"/>
      </w:r>
      <w:r>
        <w:instrText xml:space="preserve"> PAGEREF _Toc118300016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Powers of local government during cyclone</w:t>
      </w:r>
    </w:p>
    <w:p>
      <w:pPr>
        <w:pStyle w:val="TOC8"/>
        <w:rPr>
          <w:rFonts w:asciiTheme="minorHAnsi" w:eastAsiaTheme="minorEastAsia" w:hAnsiTheme="minorHAnsi" w:cstheme="minorBidi"/>
          <w:szCs w:val="22"/>
        </w:rPr>
      </w:pPr>
      <w:r>
        <w:t>44.</w:t>
      </w:r>
      <w:r>
        <w:tab/>
        <w:t>Term used: cyclone area</w:t>
      </w:r>
      <w:r>
        <w:tab/>
      </w:r>
      <w:r>
        <w:fldChar w:fldCharType="begin"/>
      </w:r>
      <w:r>
        <w:instrText xml:space="preserve"> PAGEREF _Toc118300018 \h </w:instrText>
      </w:r>
      <w:r>
        <w:fldChar w:fldCharType="separate"/>
      </w:r>
      <w:r>
        <w:t>25</w:t>
      </w:r>
      <w:r>
        <w:fldChar w:fldCharType="end"/>
      </w:r>
    </w:p>
    <w:p>
      <w:pPr>
        <w:pStyle w:val="TOC8"/>
        <w:rPr>
          <w:rFonts w:asciiTheme="minorHAnsi" w:eastAsiaTheme="minorEastAsia" w:hAnsiTheme="minorHAnsi" w:cstheme="minorBidi"/>
          <w:szCs w:val="22"/>
        </w:rPr>
      </w:pPr>
      <w:r>
        <w:t>45.</w:t>
      </w:r>
      <w:r>
        <w:tab/>
        <w:t>Exercise of powers under this Division</w:t>
      </w:r>
      <w:r>
        <w:tab/>
      </w:r>
      <w:r>
        <w:fldChar w:fldCharType="begin"/>
      </w:r>
      <w:r>
        <w:instrText xml:space="preserve"> PAGEREF _Toc118300019 \h </w:instrText>
      </w:r>
      <w:r>
        <w:fldChar w:fldCharType="separate"/>
      </w:r>
      <w:r>
        <w:t>26</w:t>
      </w:r>
      <w:r>
        <w:fldChar w:fldCharType="end"/>
      </w:r>
    </w:p>
    <w:p>
      <w:pPr>
        <w:pStyle w:val="TOC8"/>
        <w:rPr>
          <w:rFonts w:asciiTheme="minorHAnsi" w:eastAsiaTheme="minorEastAsia" w:hAnsiTheme="minorHAnsi" w:cstheme="minorBidi"/>
          <w:szCs w:val="22"/>
        </w:rPr>
      </w:pPr>
      <w:r>
        <w:t>46.</w:t>
      </w:r>
      <w:r>
        <w:tab/>
        <w:t>Power of local government to destroy dangerous vegetation or premises in cyclone area</w:t>
      </w:r>
      <w:r>
        <w:tab/>
      </w:r>
      <w:r>
        <w:fldChar w:fldCharType="begin"/>
      </w:r>
      <w:r>
        <w:instrText xml:space="preserve"> PAGEREF _Toc118300020 \h </w:instrText>
      </w:r>
      <w:r>
        <w:fldChar w:fldCharType="separate"/>
      </w:r>
      <w:r>
        <w:t>26</w:t>
      </w:r>
      <w:r>
        <w:fldChar w:fldCharType="end"/>
      </w:r>
    </w:p>
    <w:p>
      <w:pPr>
        <w:pStyle w:val="TOC8"/>
        <w:rPr>
          <w:rFonts w:asciiTheme="minorHAnsi" w:eastAsiaTheme="minorEastAsia" w:hAnsiTheme="minorHAnsi" w:cstheme="minorBidi"/>
          <w:szCs w:val="22"/>
        </w:rPr>
      </w:pPr>
      <w:r>
        <w:t>47.</w:t>
      </w:r>
      <w:r>
        <w:tab/>
        <w:t>Local government may require owner or occupier of land to take action</w:t>
      </w:r>
      <w:r>
        <w:tab/>
      </w:r>
      <w:r>
        <w:fldChar w:fldCharType="begin"/>
      </w:r>
      <w:r>
        <w:instrText xml:space="preserve"> PAGEREF _Toc118300021 \h </w:instrText>
      </w:r>
      <w:r>
        <w:fldChar w:fldCharType="separate"/>
      </w:r>
      <w:r>
        <w:t>26</w:t>
      </w:r>
      <w:r>
        <w:fldChar w:fldCharType="end"/>
      </w:r>
    </w:p>
    <w:p>
      <w:pPr>
        <w:pStyle w:val="TOC8"/>
        <w:rPr>
          <w:rFonts w:asciiTheme="minorHAnsi" w:eastAsiaTheme="minorEastAsia" w:hAnsiTheme="minorHAnsi" w:cstheme="minorBidi"/>
          <w:szCs w:val="22"/>
        </w:rPr>
      </w:pPr>
      <w:r>
        <w:t>48.</w:t>
      </w:r>
      <w:r>
        <w:tab/>
        <w:t>Additional powers when direction given</w:t>
      </w:r>
      <w:r>
        <w:tab/>
      </w:r>
      <w:r>
        <w:fldChar w:fldCharType="begin"/>
      </w:r>
      <w:r>
        <w:instrText xml:space="preserve"> PAGEREF _Toc118300022 \h </w:instrText>
      </w:r>
      <w:r>
        <w:fldChar w:fldCharType="separate"/>
      </w:r>
      <w:r>
        <w:t>27</w:t>
      </w:r>
      <w:r>
        <w:fldChar w:fldCharType="end"/>
      </w:r>
    </w:p>
    <w:p>
      <w:pPr>
        <w:pStyle w:val="TOC8"/>
        <w:rPr>
          <w:rFonts w:asciiTheme="minorHAnsi" w:eastAsiaTheme="minorEastAsia" w:hAnsiTheme="minorHAnsi" w:cstheme="minorBidi"/>
          <w:szCs w:val="22"/>
        </w:rPr>
      </w:pPr>
      <w:r>
        <w:t>49.</w:t>
      </w:r>
      <w:r>
        <w:tab/>
        <w:t>Provisions are in addition to other powers</w:t>
      </w:r>
      <w:r>
        <w:tab/>
      </w:r>
      <w:r>
        <w:fldChar w:fldCharType="begin"/>
      </w:r>
      <w:r>
        <w:instrText xml:space="preserve"> PAGEREF _Toc118300023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Hazard management</w:t>
      </w:r>
    </w:p>
    <w:p>
      <w:pPr>
        <w:pStyle w:val="TOC4"/>
        <w:tabs>
          <w:tab w:val="right" w:leader="dot" w:pos="7077"/>
        </w:tabs>
        <w:rPr>
          <w:rFonts w:asciiTheme="minorHAnsi" w:eastAsiaTheme="minorEastAsia" w:hAnsiTheme="minorHAnsi" w:cstheme="minorBidi"/>
          <w:b w:val="0"/>
          <w:szCs w:val="22"/>
        </w:rPr>
      </w:pPr>
      <w:r>
        <w:t>Division 1 — Emergency situation declaration</w:t>
      </w:r>
    </w:p>
    <w:p>
      <w:pPr>
        <w:pStyle w:val="TOC8"/>
        <w:rPr>
          <w:rFonts w:asciiTheme="minorHAnsi" w:eastAsiaTheme="minorEastAsia" w:hAnsiTheme="minorHAnsi" w:cstheme="minorBidi"/>
          <w:szCs w:val="22"/>
        </w:rPr>
      </w:pPr>
      <w:r>
        <w:t>50.</w:t>
      </w:r>
      <w:r>
        <w:tab/>
        <w:t>State Emergency Coordinator or hazard management agency may make emergency situation declaration</w:t>
      </w:r>
      <w:r>
        <w:tab/>
      </w:r>
      <w:r>
        <w:fldChar w:fldCharType="begin"/>
      </w:r>
      <w:r>
        <w:instrText xml:space="preserve"> PAGEREF _Toc118300026 \h </w:instrText>
      </w:r>
      <w:r>
        <w:fldChar w:fldCharType="separate"/>
      </w:r>
      <w:r>
        <w:t>29</w:t>
      </w:r>
      <w:r>
        <w:fldChar w:fldCharType="end"/>
      </w:r>
    </w:p>
    <w:p>
      <w:pPr>
        <w:pStyle w:val="TOC8"/>
        <w:rPr>
          <w:rFonts w:asciiTheme="minorHAnsi" w:eastAsiaTheme="minorEastAsia" w:hAnsiTheme="minorHAnsi" w:cstheme="minorBidi"/>
          <w:szCs w:val="22"/>
        </w:rPr>
      </w:pPr>
      <w:r>
        <w:t>51.</w:t>
      </w:r>
      <w:r>
        <w:tab/>
        <w:t>Duration of emergency situation declaration</w:t>
      </w:r>
      <w:r>
        <w:tab/>
      </w:r>
      <w:r>
        <w:fldChar w:fldCharType="begin"/>
      </w:r>
      <w:r>
        <w:instrText xml:space="preserve"> PAGEREF _Toc118300027 \h </w:instrText>
      </w:r>
      <w:r>
        <w:fldChar w:fldCharType="separate"/>
      </w:r>
      <w:r>
        <w:t>31</w:t>
      </w:r>
      <w:r>
        <w:fldChar w:fldCharType="end"/>
      </w:r>
    </w:p>
    <w:p>
      <w:pPr>
        <w:pStyle w:val="TOC8"/>
        <w:rPr>
          <w:rFonts w:asciiTheme="minorHAnsi" w:eastAsiaTheme="minorEastAsia" w:hAnsiTheme="minorHAnsi" w:cstheme="minorBidi"/>
          <w:szCs w:val="22"/>
        </w:rPr>
      </w:pPr>
      <w:r>
        <w:t>52.</w:t>
      </w:r>
      <w:r>
        <w:tab/>
        <w:t>Extension of emergency situation declaration</w:t>
      </w:r>
      <w:r>
        <w:tab/>
      </w:r>
      <w:r>
        <w:fldChar w:fldCharType="begin"/>
      </w:r>
      <w:r>
        <w:instrText xml:space="preserve"> PAGEREF _Toc118300028 \h </w:instrText>
      </w:r>
      <w:r>
        <w:fldChar w:fldCharType="separate"/>
      </w:r>
      <w:r>
        <w:t>31</w:t>
      </w:r>
      <w:r>
        <w:fldChar w:fldCharType="end"/>
      </w:r>
    </w:p>
    <w:p>
      <w:pPr>
        <w:pStyle w:val="TOC8"/>
        <w:rPr>
          <w:rFonts w:asciiTheme="minorHAnsi" w:eastAsiaTheme="minorEastAsia" w:hAnsiTheme="minorHAnsi" w:cstheme="minorBidi"/>
          <w:szCs w:val="22"/>
        </w:rPr>
      </w:pPr>
      <w:r>
        <w:t>53.</w:t>
      </w:r>
      <w:r>
        <w:tab/>
        <w:t>Revocation of emergency situation declaration</w:t>
      </w:r>
      <w:r>
        <w:tab/>
      </w:r>
      <w:r>
        <w:fldChar w:fldCharType="begin"/>
      </w:r>
      <w:r>
        <w:instrText xml:space="preserve"> PAGEREF _Toc118300029 \h </w:instrText>
      </w:r>
      <w:r>
        <w:fldChar w:fldCharType="separate"/>
      </w:r>
      <w:r>
        <w:t>32</w:t>
      </w:r>
      <w:r>
        <w:fldChar w:fldCharType="end"/>
      </w:r>
    </w:p>
    <w:p>
      <w:pPr>
        <w:pStyle w:val="TOC8"/>
        <w:rPr>
          <w:rFonts w:asciiTheme="minorHAnsi" w:eastAsiaTheme="minorEastAsia" w:hAnsiTheme="minorHAnsi" w:cstheme="minorBidi"/>
          <w:szCs w:val="22"/>
        </w:rPr>
      </w:pPr>
      <w:r>
        <w:t>54.</w:t>
      </w:r>
      <w:r>
        <w:tab/>
        <w:t>Notice of declaration</w:t>
      </w:r>
      <w:r>
        <w:tab/>
      </w:r>
      <w:r>
        <w:fldChar w:fldCharType="begin"/>
      </w:r>
      <w:r>
        <w:instrText xml:space="preserve"> PAGEREF _Toc118300030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Hazard management officers</w:t>
      </w:r>
    </w:p>
    <w:p>
      <w:pPr>
        <w:pStyle w:val="TOC8"/>
        <w:rPr>
          <w:rFonts w:asciiTheme="minorHAnsi" w:eastAsiaTheme="minorEastAsia" w:hAnsiTheme="minorHAnsi" w:cstheme="minorBidi"/>
          <w:szCs w:val="22"/>
        </w:rPr>
      </w:pPr>
      <w:r>
        <w:t>55.</w:t>
      </w:r>
      <w:r>
        <w:tab/>
        <w:t>Authorisation of hazard management officers</w:t>
      </w:r>
      <w:r>
        <w:tab/>
      </w:r>
      <w:r>
        <w:fldChar w:fldCharType="begin"/>
      </w:r>
      <w:r>
        <w:instrText xml:space="preserve"> PAGEREF _Toc118300032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State of emergency</w:t>
      </w:r>
    </w:p>
    <w:p>
      <w:pPr>
        <w:pStyle w:val="TOC4"/>
        <w:tabs>
          <w:tab w:val="right" w:leader="dot" w:pos="7077"/>
        </w:tabs>
        <w:rPr>
          <w:rFonts w:asciiTheme="minorHAnsi" w:eastAsiaTheme="minorEastAsia" w:hAnsiTheme="minorHAnsi" w:cstheme="minorBidi"/>
          <w:b w:val="0"/>
          <w:szCs w:val="22"/>
        </w:rPr>
      </w:pPr>
      <w:r>
        <w:t>Division 1 — State of emergency declaration</w:t>
      </w:r>
    </w:p>
    <w:p>
      <w:pPr>
        <w:pStyle w:val="TOC8"/>
        <w:rPr>
          <w:rFonts w:asciiTheme="minorHAnsi" w:eastAsiaTheme="minorEastAsia" w:hAnsiTheme="minorHAnsi" w:cstheme="minorBidi"/>
          <w:szCs w:val="22"/>
        </w:rPr>
      </w:pPr>
      <w:r>
        <w:t>56.</w:t>
      </w:r>
      <w:r>
        <w:tab/>
        <w:t>Minister may make state of emergency declaration</w:t>
      </w:r>
      <w:r>
        <w:tab/>
      </w:r>
      <w:r>
        <w:fldChar w:fldCharType="begin"/>
      </w:r>
      <w:r>
        <w:instrText xml:space="preserve"> PAGEREF _Toc118300035 \h </w:instrText>
      </w:r>
      <w:r>
        <w:fldChar w:fldCharType="separate"/>
      </w:r>
      <w:r>
        <w:t>34</w:t>
      </w:r>
      <w:r>
        <w:fldChar w:fldCharType="end"/>
      </w:r>
    </w:p>
    <w:p>
      <w:pPr>
        <w:pStyle w:val="TOC8"/>
        <w:rPr>
          <w:rFonts w:asciiTheme="minorHAnsi" w:eastAsiaTheme="minorEastAsia" w:hAnsiTheme="minorHAnsi" w:cstheme="minorBidi"/>
          <w:szCs w:val="22"/>
        </w:rPr>
      </w:pPr>
      <w:r>
        <w:t>57.</w:t>
      </w:r>
      <w:r>
        <w:tab/>
        <w:t>Duration of state of emergency declaration</w:t>
      </w:r>
      <w:r>
        <w:tab/>
      </w:r>
      <w:r>
        <w:fldChar w:fldCharType="begin"/>
      </w:r>
      <w:r>
        <w:instrText xml:space="preserve"> PAGEREF _Toc118300036 \h </w:instrText>
      </w:r>
      <w:r>
        <w:fldChar w:fldCharType="separate"/>
      </w:r>
      <w:r>
        <w:t>34</w:t>
      </w:r>
      <w:r>
        <w:fldChar w:fldCharType="end"/>
      </w:r>
    </w:p>
    <w:p>
      <w:pPr>
        <w:pStyle w:val="TOC8"/>
        <w:rPr>
          <w:rFonts w:asciiTheme="minorHAnsi" w:eastAsiaTheme="minorEastAsia" w:hAnsiTheme="minorHAnsi" w:cstheme="minorBidi"/>
          <w:szCs w:val="22"/>
        </w:rPr>
      </w:pPr>
      <w:r>
        <w:t>58.</w:t>
      </w:r>
      <w:r>
        <w:tab/>
        <w:t>Extension of state of emergency declaration</w:t>
      </w:r>
      <w:r>
        <w:tab/>
      </w:r>
      <w:r>
        <w:fldChar w:fldCharType="begin"/>
      </w:r>
      <w:r>
        <w:instrText xml:space="preserve"> PAGEREF _Toc118300037 \h </w:instrText>
      </w:r>
      <w:r>
        <w:fldChar w:fldCharType="separate"/>
      </w:r>
      <w:r>
        <w:t>35</w:t>
      </w:r>
      <w:r>
        <w:fldChar w:fldCharType="end"/>
      </w:r>
    </w:p>
    <w:p>
      <w:pPr>
        <w:pStyle w:val="TOC8"/>
        <w:rPr>
          <w:rFonts w:asciiTheme="minorHAnsi" w:eastAsiaTheme="minorEastAsia" w:hAnsiTheme="minorHAnsi" w:cstheme="minorBidi"/>
          <w:szCs w:val="22"/>
        </w:rPr>
      </w:pPr>
      <w:r>
        <w:t>59.</w:t>
      </w:r>
      <w:r>
        <w:tab/>
        <w:t>Revocation of state of emergency declaration</w:t>
      </w:r>
      <w:r>
        <w:tab/>
      </w:r>
      <w:r>
        <w:fldChar w:fldCharType="begin"/>
      </w:r>
      <w:r>
        <w:instrText xml:space="preserve"> PAGEREF _Toc118300038 \h </w:instrText>
      </w:r>
      <w:r>
        <w:fldChar w:fldCharType="separate"/>
      </w:r>
      <w:r>
        <w:t>35</w:t>
      </w:r>
      <w:r>
        <w:fldChar w:fldCharType="end"/>
      </w:r>
    </w:p>
    <w:p>
      <w:pPr>
        <w:pStyle w:val="TOC8"/>
        <w:rPr>
          <w:rFonts w:asciiTheme="minorHAnsi" w:eastAsiaTheme="minorEastAsia" w:hAnsiTheme="minorHAnsi" w:cstheme="minorBidi"/>
          <w:szCs w:val="22"/>
        </w:rPr>
      </w:pPr>
      <w:r>
        <w:t>60.</w:t>
      </w:r>
      <w:r>
        <w:tab/>
        <w:t>Notice of declaration</w:t>
      </w:r>
      <w:r>
        <w:tab/>
      </w:r>
      <w:r>
        <w:fldChar w:fldCharType="begin"/>
      </w:r>
      <w:r>
        <w:instrText xml:space="preserve"> PAGEREF _Toc118300039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Authorised officers</w:t>
      </w:r>
    </w:p>
    <w:p>
      <w:pPr>
        <w:pStyle w:val="TOC8"/>
        <w:rPr>
          <w:rFonts w:asciiTheme="minorHAnsi" w:eastAsiaTheme="minorEastAsia" w:hAnsiTheme="minorHAnsi" w:cstheme="minorBidi"/>
          <w:szCs w:val="22"/>
        </w:rPr>
      </w:pPr>
      <w:r>
        <w:t>61.</w:t>
      </w:r>
      <w:r>
        <w:tab/>
        <w:t>Authorised officers</w:t>
      </w:r>
      <w:r>
        <w:tab/>
      </w:r>
      <w:r>
        <w:fldChar w:fldCharType="begin"/>
      </w:r>
      <w:r>
        <w:instrText xml:space="preserve"> PAGEREF _Toc118300041 \h </w:instrText>
      </w:r>
      <w:r>
        <w:fldChar w:fldCharType="separate"/>
      </w:r>
      <w:r>
        <w:t>36</w:t>
      </w:r>
      <w:r>
        <w:fldChar w:fldCharType="end"/>
      </w:r>
    </w:p>
    <w:p>
      <w:pPr>
        <w:pStyle w:val="TOC8"/>
        <w:rPr>
          <w:rFonts w:asciiTheme="minorHAnsi" w:eastAsiaTheme="minorEastAsia" w:hAnsiTheme="minorHAnsi" w:cstheme="minorBidi"/>
          <w:szCs w:val="22"/>
        </w:rPr>
      </w:pPr>
      <w:r>
        <w:t>62.</w:t>
      </w:r>
      <w:r>
        <w:tab/>
        <w:t>Identification of authorised officers</w:t>
      </w:r>
      <w:r>
        <w:tab/>
      </w:r>
      <w:r>
        <w:fldChar w:fldCharType="begin"/>
      </w:r>
      <w:r>
        <w:instrText xml:space="preserve"> PAGEREF _Toc118300042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The State Disaster Council</w:t>
      </w:r>
    </w:p>
    <w:p>
      <w:pPr>
        <w:pStyle w:val="TOC8"/>
        <w:rPr>
          <w:rFonts w:asciiTheme="minorHAnsi" w:eastAsiaTheme="minorEastAsia" w:hAnsiTheme="minorHAnsi" w:cstheme="minorBidi"/>
          <w:szCs w:val="22"/>
        </w:rPr>
      </w:pPr>
      <w:r>
        <w:t>63.</w:t>
      </w:r>
      <w:r>
        <w:tab/>
        <w:t>State Disaster Council</w:t>
      </w:r>
      <w:r>
        <w:tab/>
      </w:r>
      <w:r>
        <w:fldChar w:fldCharType="begin"/>
      </w:r>
      <w:r>
        <w:instrText xml:space="preserve"> PAGEREF _Toc118300044 \h </w:instrText>
      </w:r>
      <w:r>
        <w:fldChar w:fldCharType="separate"/>
      </w:r>
      <w:r>
        <w:t>38</w:t>
      </w:r>
      <w:r>
        <w:fldChar w:fldCharType="end"/>
      </w:r>
    </w:p>
    <w:p>
      <w:pPr>
        <w:pStyle w:val="TOC8"/>
        <w:rPr>
          <w:rFonts w:asciiTheme="minorHAnsi" w:eastAsiaTheme="minorEastAsia" w:hAnsiTheme="minorHAnsi" w:cstheme="minorBidi"/>
          <w:szCs w:val="22"/>
        </w:rPr>
      </w:pPr>
      <w:r>
        <w:t>64.</w:t>
      </w:r>
      <w:r>
        <w:tab/>
        <w:t>Functions of the State Disaster Council</w:t>
      </w:r>
      <w:r>
        <w:tab/>
      </w:r>
      <w:r>
        <w:fldChar w:fldCharType="begin"/>
      </w:r>
      <w:r>
        <w:instrText xml:space="preserve"> PAGEREF _Toc118300045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Emergency powers</w:t>
      </w:r>
    </w:p>
    <w:p>
      <w:pPr>
        <w:pStyle w:val="TOC4"/>
        <w:tabs>
          <w:tab w:val="right" w:leader="dot" w:pos="7077"/>
        </w:tabs>
        <w:rPr>
          <w:rFonts w:asciiTheme="minorHAnsi" w:eastAsiaTheme="minorEastAsia" w:hAnsiTheme="minorHAnsi" w:cstheme="minorBidi"/>
          <w:b w:val="0"/>
          <w:szCs w:val="22"/>
        </w:rPr>
      </w:pPr>
      <w:r>
        <w:t>Division 1 — Powers during emergency situation or state of emergency</w:t>
      </w:r>
    </w:p>
    <w:p>
      <w:pPr>
        <w:pStyle w:val="TOC8"/>
        <w:rPr>
          <w:rFonts w:asciiTheme="minorHAnsi" w:eastAsiaTheme="minorEastAsia" w:hAnsiTheme="minorHAnsi" w:cstheme="minorBidi"/>
          <w:szCs w:val="22"/>
        </w:rPr>
      </w:pPr>
      <w:r>
        <w:t>65.</w:t>
      </w:r>
      <w:r>
        <w:tab/>
        <w:t>Application of this Division</w:t>
      </w:r>
      <w:r>
        <w:tab/>
      </w:r>
      <w:r>
        <w:fldChar w:fldCharType="begin"/>
      </w:r>
      <w:r>
        <w:instrText xml:space="preserve"> PAGEREF _Toc118300048 \h </w:instrText>
      </w:r>
      <w:r>
        <w:fldChar w:fldCharType="separate"/>
      </w:r>
      <w:r>
        <w:t>40</w:t>
      </w:r>
      <w:r>
        <w:fldChar w:fldCharType="end"/>
      </w:r>
    </w:p>
    <w:p>
      <w:pPr>
        <w:pStyle w:val="TOC8"/>
        <w:rPr>
          <w:rFonts w:asciiTheme="minorHAnsi" w:eastAsiaTheme="minorEastAsia" w:hAnsiTheme="minorHAnsi" w:cstheme="minorBidi"/>
          <w:szCs w:val="22"/>
        </w:rPr>
      </w:pPr>
      <w:r>
        <w:t>66.</w:t>
      </w:r>
      <w:r>
        <w:tab/>
        <w:t>Obtaining identifying particulars</w:t>
      </w:r>
      <w:r>
        <w:tab/>
      </w:r>
      <w:r>
        <w:fldChar w:fldCharType="begin"/>
      </w:r>
      <w:r>
        <w:instrText xml:space="preserve"> PAGEREF _Toc118300049 \h </w:instrText>
      </w:r>
      <w:r>
        <w:fldChar w:fldCharType="separate"/>
      </w:r>
      <w:r>
        <w:t>40</w:t>
      </w:r>
      <w:r>
        <w:fldChar w:fldCharType="end"/>
      </w:r>
    </w:p>
    <w:p>
      <w:pPr>
        <w:pStyle w:val="TOC8"/>
        <w:rPr>
          <w:rFonts w:asciiTheme="minorHAnsi" w:eastAsiaTheme="minorEastAsia" w:hAnsiTheme="minorHAnsi" w:cstheme="minorBidi"/>
          <w:szCs w:val="22"/>
        </w:rPr>
      </w:pPr>
      <w:r>
        <w:t>67.</w:t>
      </w:r>
      <w:r>
        <w:tab/>
        <w:t>Powers concerning movement and evacuation</w:t>
      </w:r>
      <w:r>
        <w:tab/>
      </w:r>
      <w:r>
        <w:fldChar w:fldCharType="begin"/>
      </w:r>
      <w:r>
        <w:instrText xml:space="preserve"> PAGEREF _Toc118300050 \h </w:instrText>
      </w:r>
      <w:r>
        <w:fldChar w:fldCharType="separate"/>
      </w:r>
      <w:r>
        <w:t>41</w:t>
      </w:r>
      <w:r>
        <w:fldChar w:fldCharType="end"/>
      </w:r>
    </w:p>
    <w:p>
      <w:pPr>
        <w:pStyle w:val="TOC8"/>
        <w:rPr>
          <w:rFonts w:asciiTheme="minorHAnsi" w:eastAsiaTheme="minorEastAsia" w:hAnsiTheme="minorHAnsi" w:cstheme="minorBidi"/>
          <w:szCs w:val="22"/>
        </w:rPr>
      </w:pPr>
      <w:r>
        <w:t>68.</w:t>
      </w:r>
      <w:r>
        <w:tab/>
        <w:t>Use of vehicles</w:t>
      </w:r>
      <w:r>
        <w:tab/>
      </w:r>
      <w:r>
        <w:fldChar w:fldCharType="begin"/>
      </w:r>
      <w:r>
        <w:instrText xml:space="preserve"> PAGEREF _Toc118300051 \h </w:instrText>
      </w:r>
      <w:r>
        <w:fldChar w:fldCharType="separate"/>
      </w:r>
      <w:r>
        <w:t>41</w:t>
      </w:r>
      <w:r>
        <w:fldChar w:fldCharType="end"/>
      </w:r>
    </w:p>
    <w:p>
      <w:pPr>
        <w:pStyle w:val="TOC8"/>
        <w:rPr>
          <w:rFonts w:asciiTheme="minorHAnsi" w:eastAsiaTheme="minorEastAsia" w:hAnsiTheme="minorHAnsi" w:cstheme="minorBidi"/>
          <w:szCs w:val="22"/>
        </w:rPr>
      </w:pPr>
      <w:r>
        <w:t>69.</w:t>
      </w:r>
      <w:r>
        <w:tab/>
        <w:t>Powers of officer to control or use property</w:t>
      </w:r>
      <w:r>
        <w:tab/>
      </w:r>
      <w:r>
        <w:fldChar w:fldCharType="begin"/>
      </w:r>
      <w:r>
        <w:instrText xml:space="preserve"> PAGEREF _Toc118300052 \h </w:instrText>
      </w:r>
      <w:r>
        <w:fldChar w:fldCharType="separate"/>
      </w:r>
      <w:r>
        <w:t>41</w:t>
      </w:r>
      <w:r>
        <w:fldChar w:fldCharType="end"/>
      </w:r>
    </w:p>
    <w:p>
      <w:pPr>
        <w:pStyle w:val="TOC8"/>
        <w:rPr>
          <w:rFonts w:asciiTheme="minorHAnsi" w:eastAsiaTheme="minorEastAsia" w:hAnsiTheme="minorHAnsi" w:cstheme="minorBidi"/>
          <w:szCs w:val="22"/>
        </w:rPr>
      </w:pPr>
      <w:r>
        <w:t>70.</w:t>
      </w:r>
      <w:r>
        <w:tab/>
        <w:t>Powers of officers in relation to persons exposed to hazardous substances</w:t>
      </w:r>
      <w:r>
        <w:tab/>
      </w:r>
      <w:r>
        <w:fldChar w:fldCharType="begin"/>
      </w:r>
      <w:r>
        <w:instrText xml:space="preserve"> PAGEREF _Toc118300053 \h </w:instrText>
      </w:r>
      <w:r>
        <w:fldChar w:fldCharType="separate"/>
      </w:r>
      <w:r>
        <w:t>42</w:t>
      </w:r>
      <w:r>
        <w:fldChar w:fldCharType="end"/>
      </w:r>
    </w:p>
    <w:p>
      <w:pPr>
        <w:pStyle w:val="TOC8"/>
        <w:rPr>
          <w:rFonts w:asciiTheme="minorHAnsi" w:eastAsiaTheme="minorEastAsia" w:hAnsiTheme="minorHAnsi" w:cstheme="minorBidi"/>
          <w:szCs w:val="22"/>
        </w:rPr>
      </w:pPr>
      <w:r>
        <w:t>70A.</w:t>
      </w:r>
      <w:r>
        <w:tab/>
        <w:t>Electronic monitoring of persons in quarantine</w:t>
      </w:r>
      <w:r>
        <w:tab/>
      </w:r>
      <w:r>
        <w:fldChar w:fldCharType="begin"/>
      </w:r>
      <w:r>
        <w:instrText xml:space="preserve"> PAGEREF _Toc118300054 \h </w:instrText>
      </w:r>
      <w:r>
        <w:fldChar w:fldCharType="separate"/>
      </w:r>
      <w:r>
        <w:t>43</w:t>
      </w:r>
      <w:r>
        <w:fldChar w:fldCharType="end"/>
      </w:r>
    </w:p>
    <w:p>
      <w:pPr>
        <w:pStyle w:val="TOC8"/>
        <w:rPr>
          <w:rFonts w:asciiTheme="minorHAnsi" w:eastAsiaTheme="minorEastAsia" w:hAnsiTheme="minorHAnsi" w:cstheme="minorBidi"/>
          <w:szCs w:val="22"/>
        </w:rPr>
      </w:pPr>
      <w:r>
        <w:t>71.</w:t>
      </w:r>
      <w:r>
        <w:tab/>
        <w:t>Powers of police to direct closure of places and concerning movement and evacuation</w:t>
      </w:r>
      <w:r>
        <w:tab/>
      </w:r>
      <w:r>
        <w:fldChar w:fldCharType="begin"/>
      </w:r>
      <w:r>
        <w:instrText xml:space="preserve"> PAGEREF _Toc118300055 \h </w:instrText>
      </w:r>
      <w:r>
        <w:fldChar w:fldCharType="separate"/>
      </w:r>
      <w:r>
        <w:t>44</w:t>
      </w:r>
      <w:r>
        <w:fldChar w:fldCharType="end"/>
      </w:r>
    </w:p>
    <w:p>
      <w:pPr>
        <w:pStyle w:val="TOC8"/>
        <w:rPr>
          <w:rFonts w:asciiTheme="minorHAnsi" w:eastAsiaTheme="minorEastAsia" w:hAnsiTheme="minorHAnsi" w:cstheme="minorBidi"/>
          <w:szCs w:val="22"/>
        </w:rPr>
      </w:pPr>
      <w:r>
        <w:t>72.</w:t>
      </w:r>
      <w:r>
        <w:tab/>
        <w:t>Exchange of information</w:t>
      </w:r>
      <w:r>
        <w:tab/>
      </w:r>
      <w:r>
        <w:fldChar w:fldCharType="begin"/>
      </w:r>
      <w:r>
        <w:instrText xml:space="preserve"> PAGEREF _Toc118300056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1A — Temporary powers during state of emergency in relation to COVID</w:t>
      </w:r>
      <w:r>
        <w:noBreakHyphen/>
        <w:t>19</w:t>
      </w:r>
    </w:p>
    <w:p>
      <w:pPr>
        <w:pStyle w:val="TOC8"/>
        <w:rPr>
          <w:rFonts w:asciiTheme="minorHAnsi" w:eastAsiaTheme="minorEastAsia" w:hAnsiTheme="minorHAnsi" w:cstheme="minorBidi"/>
          <w:szCs w:val="22"/>
        </w:rPr>
      </w:pPr>
      <w:r>
        <w:t>72A.</w:t>
      </w:r>
      <w:r>
        <w:tab/>
        <w:t>General powers during state of emergency in relation to COVID</w:t>
      </w:r>
      <w:r>
        <w:noBreakHyphen/>
        <w:t>19</w:t>
      </w:r>
      <w:r>
        <w:tab/>
      </w:r>
      <w:r>
        <w:fldChar w:fldCharType="begin"/>
      </w:r>
      <w:r>
        <w:instrText xml:space="preserve"> PAGEREF _Toc118300058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Further powers during state of emergency</w:t>
      </w:r>
    </w:p>
    <w:p>
      <w:pPr>
        <w:pStyle w:val="TOC8"/>
        <w:rPr>
          <w:rFonts w:asciiTheme="minorHAnsi" w:eastAsiaTheme="minorEastAsia" w:hAnsiTheme="minorHAnsi" w:cstheme="minorBidi"/>
          <w:szCs w:val="22"/>
        </w:rPr>
      </w:pPr>
      <w:r>
        <w:t>73.</w:t>
      </w:r>
      <w:r>
        <w:tab/>
        <w:t>Application of this Division</w:t>
      </w:r>
      <w:r>
        <w:tab/>
      </w:r>
      <w:r>
        <w:fldChar w:fldCharType="begin"/>
      </w:r>
      <w:r>
        <w:instrText xml:space="preserve"> PAGEREF _Toc118300060 \h </w:instrText>
      </w:r>
      <w:r>
        <w:fldChar w:fldCharType="separate"/>
      </w:r>
      <w:r>
        <w:t>49</w:t>
      </w:r>
      <w:r>
        <w:fldChar w:fldCharType="end"/>
      </w:r>
    </w:p>
    <w:p>
      <w:pPr>
        <w:pStyle w:val="TOC8"/>
        <w:rPr>
          <w:rFonts w:asciiTheme="minorHAnsi" w:eastAsiaTheme="minorEastAsia" w:hAnsiTheme="minorHAnsi" w:cstheme="minorBidi"/>
          <w:szCs w:val="22"/>
        </w:rPr>
      </w:pPr>
      <w:r>
        <w:t>74.</w:t>
      </w:r>
      <w:r>
        <w:tab/>
        <w:t>Power to direct public authorities during state of emergency</w:t>
      </w:r>
      <w:r>
        <w:tab/>
      </w:r>
      <w:r>
        <w:fldChar w:fldCharType="begin"/>
      </w:r>
      <w:r>
        <w:instrText xml:space="preserve"> PAGEREF _Toc118300061 \h </w:instrText>
      </w:r>
      <w:r>
        <w:fldChar w:fldCharType="separate"/>
      </w:r>
      <w:r>
        <w:t>49</w:t>
      </w:r>
      <w:r>
        <w:fldChar w:fldCharType="end"/>
      </w:r>
    </w:p>
    <w:p>
      <w:pPr>
        <w:pStyle w:val="TOC8"/>
        <w:rPr>
          <w:rFonts w:asciiTheme="minorHAnsi" w:eastAsiaTheme="minorEastAsia" w:hAnsiTheme="minorHAnsi" w:cstheme="minorBidi"/>
          <w:szCs w:val="22"/>
        </w:rPr>
      </w:pPr>
      <w:r>
        <w:t>75.</w:t>
      </w:r>
      <w:r>
        <w:tab/>
        <w:t>General powers during a state of emergency</w:t>
      </w:r>
      <w:r>
        <w:tab/>
      </w:r>
      <w:r>
        <w:fldChar w:fldCharType="begin"/>
      </w:r>
      <w:r>
        <w:instrText xml:space="preserve"> PAGEREF _Toc118300062 \h </w:instrText>
      </w:r>
      <w:r>
        <w:fldChar w:fldCharType="separate"/>
      </w:r>
      <w:r>
        <w:t>49</w:t>
      </w:r>
      <w:r>
        <w:fldChar w:fldCharType="end"/>
      </w:r>
    </w:p>
    <w:p>
      <w:pPr>
        <w:pStyle w:val="TOC8"/>
        <w:rPr>
          <w:rFonts w:asciiTheme="minorHAnsi" w:eastAsiaTheme="minorEastAsia" w:hAnsiTheme="minorHAnsi" w:cstheme="minorBidi"/>
          <w:szCs w:val="22"/>
        </w:rPr>
      </w:pPr>
      <w:r>
        <w:t>76A.</w:t>
      </w:r>
      <w:r>
        <w:tab/>
        <w:t xml:space="preserve">Manufacture, supply and prescription of </w:t>
      </w:r>
      <w:r>
        <w:rPr>
          <w:iCs/>
        </w:rPr>
        <w:t>poisons</w:t>
      </w:r>
      <w:r>
        <w:tab/>
      </w:r>
      <w:r>
        <w:fldChar w:fldCharType="begin"/>
      </w:r>
      <w:r>
        <w:instrText xml:space="preserve"> PAGEREF _Toc118300063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76.</w:t>
      </w:r>
      <w:r>
        <w:tab/>
        <w:t>General provisions regarding powers</w:t>
      </w:r>
      <w:r>
        <w:tab/>
      </w:r>
      <w:r>
        <w:fldChar w:fldCharType="begin"/>
      </w:r>
      <w:r>
        <w:instrText xml:space="preserve"> PAGEREF _Toc118300065 \h </w:instrText>
      </w:r>
      <w:r>
        <w:fldChar w:fldCharType="separate"/>
      </w:r>
      <w:r>
        <w:t>52</w:t>
      </w:r>
      <w:r>
        <w:fldChar w:fldCharType="end"/>
      </w:r>
    </w:p>
    <w:p>
      <w:pPr>
        <w:pStyle w:val="TOC8"/>
        <w:rPr>
          <w:rFonts w:asciiTheme="minorHAnsi" w:eastAsiaTheme="minorEastAsia" w:hAnsiTheme="minorHAnsi" w:cstheme="minorBidi"/>
          <w:szCs w:val="22"/>
        </w:rPr>
      </w:pPr>
      <w:r>
        <w:t>77.</w:t>
      </w:r>
      <w:r>
        <w:tab/>
        <w:t>General provisions regarding directions</w:t>
      </w:r>
      <w:r>
        <w:tab/>
      </w:r>
      <w:r>
        <w:fldChar w:fldCharType="begin"/>
      </w:r>
      <w:r>
        <w:instrText xml:space="preserve"> PAGEREF _Toc118300066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6A — Temporary provisions for management of COVID</w:t>
      </w:r>
      <w:r>
        <w:noBreakHyphen/>
        <w:t>19</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77A.</w:t>
      </w:r>
      <w:r>
        <w:tab/>
        <w:t>Overview of Part</w:t>
      </w:r>
      <w:r>
        <w:tab/>
      </w:r>
      <w:r>
        <w:fldChar w:fldCharType="begin"/>
      </w:r>
      <w:r>
        <w:instrText xml:space="preserve"> PAGEREF _Toc118300069 \h </w:instrText>
      </w:r>
      <w:r>
        <w:fldChar w:fldCharType="separate"/>
      </w:r>
      <w:r>
        <w:t>54</w:t>
      </w:r>
      <w:r>
        <w:fldChar w:fldCharType="end"/>
      </w:r>
    </w:p>
    <w:p>
      <w:pPr>
        <w:pStyle w:val="TOC8"/>
        <w:rPr>
          <w:rFonts w:asciiTheme="minorHAnsi" w:eastAsiaTheme="minorEastAsia" w:hAnsiTheme="minorHAnsi" w:cstheme="minorBidi"/>
          <w:szCs w:val="22"/>
        </w:rPr>
      </w:pPr>
      <w:r>
        <w:t>77B.</w:t>
      </w:r>
      <w:r>
        <w:tab/>
        <w:t>Terms used</w:t>
      </w:r>
      <w:r>
        <w:tab/>
      </w:r>
      <w:r>
        <w:fldChar w:fldCharType="begin"/>
      </w:r>
      <w:r>
        <w:instrText xml:space="preserve"> PAGEREF _Toc118300070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Power to make COVID</w:t>
      </w:r>
      <w:r>
        <w:noBreakHyphen/>
        <w:t>19 declaration</w:t>
      </w:r>
    </w:p>
    <w:p>
      <w:pPr>
        <w:pStyle w:val="TOC8"/>
        <w:rPr>
          <w:rFonts w:asciiTheme="minorHAnsi" w:eastAsiaTheme="minorEastAsia" w:hAnsiTheme="minorHAnsi" w:cstheme="minorBidi"/>
          <w:szCs w:val="22"/>
        </w:rPr>
      </w:pPr>
      <w:r>
        <w:t>77C.</w:t>
      </w:r>
      <w:r>
        <w:tab/>
        <w:t>State Emergency Coordinator may make COVID</w:t>
      </w:r>
      <w:r>
        <w:noBreakHyphen/>
        <w:t>19 declaration</w:t>
      </w:r>
      <w:r>
        <w:tab/>
      </w:r>
      <w:r>
        <w:fldChar w:fldCharType="begin"/>
      </w:r>
      <w:r>
        <w:instrText xml:space="preserve"> PAGEREF _Toc118300072 \h </w:instrText>
      </w:r>
      <w:r>
        <w:fldChar w:fldCharType="separate"/>
      </w:r>
      <w:r>
        <w:t>55</w:t>
      </w:r>
      <w:r>
        <w:fldChar w:fldCharType="end"/>
      </w:r>
    </w:p>
    <w:p>
      <w:pPr>
        <w:pStyle w:val="TOC8"/>
        <w:rPr>
          <w:rFonts w:asciiTheme="minorHAnsi" w:eastAsiaTheme="minorEastAsia" w:hAnsiTheme="minorHAnsi" w:cstheme="minorBidi"/>
          <w:szCs w:val="22"/>
        </w:rPr>
      </w:pPr>
      <w:r>
        <w:lastRenderedPageBreak/>
        <w:t>77D.</w:t>
      </w:r>
      <w:r>
        <w:tab/>
        <w:t>Duration of COVID</w:t>
      </w:r>
      <w:r>
        <w:noBreakHyphen/>
        <w:t>19 declaration</w:t>
      </w:r>
      <w:r>
        <w:tab/>
      </w:r>
      <w:r>
        <w:fldChar w:fldCharType="begin"/>
      </w:r>
      <w:r>
        <w:instrText xml:space="preserve"> PAGEREF _Toc118300073 \h </w:instrText>
      </w:r>
      <w:r>
        <w:fldChar w:fldCharType="separate"/>
      </w:r>
      <w:r>
        <w:t>56</w:t>
      </w:r>
      <w:r>
        <w:fldChar w:fldCharType="end"/>
      </w:r>
    </w:p>
    <w:p>
      <w:pPr>
        <w:pStyle w:val="TOC8"/>
        <w:rPr>
          <w:rFonts w:asciiTheme="minorHAnsi" w:eastAsiaTheme="minorEastAsia" w:hAnsiTheme="minorHAnsi" w:cstheme="minorBidi"/>
          <w:szCs w:val="22"/>
        </w:rPr>
      </w:pPr>
      <w:r>
        <w:t>77E.</w:t>
      </w:r>
      <w:r>
        <w:tab/>
        <w:t>Extension of COVID</w:t>
      </w:r>
      <w:r>
        <w:noBreakHyphen/>
        <w:t>19 declaration</w:t>
      </w:r>
      <w:r>
        <w:tab/>
      </w:r>
      <w:r>
        <w:fldChar w:fldCharType="begin"/>
      </w:r>
      <w:r>
        <w:instrText xml:space="preserve"> PAGEREF _Toc118300074 \h </w:instrText>
      </w:r>
      <w:r>
        <w:fldChar w:fldCharType="separate"/>
      </w:r>
      <w:r>
        <w:t>56</w:t>
      </w:r>
      <w:r>
        <w:fldChar w:fldCharType="end"/>
      </w:r>
    </w:p>
    <w:p>
      <w:pPr>
        <w:pStyle w:val="TOC8"/>
        <w:rPr>
          <w:rFonts w:asciiTheme="minorHAnsi" w:eastAsiaTheme="minorEastAsia" w:hAnsiTheme="minorHAnsi" w:cstheme="minorBidi"/>
          <w:szCs w:val="22"/>
        </w:rPr>
      </w:pPr>
      <w:r>
        <w:t>77F.</w:t>
      </w:r>
      <w:r>
        <w:tab/>
        <w:t>Revocation of COVID</w:t>
      </w:r>
      <w:r>
        <w:noBreakHyphen/>
        <w:t>19 declaration</w:t>
      </w:r>
      <w:r>
        <w:tab/>
      </w:r>
      <w:r>
        <w:fldChar w:fldCharType="begin"/>
      </w:r>
      <w:r>
        <w:instrText xml:space="preserve"> PAGEREF _Toc118300075 \h </w:instrText>
      </w:r>
      <w:r>
        <w:fldChar w:fldCharType="separate"/>
      </w:r>
      <w:r>
        <w:t>57</w:t>
      </w:r>
      <w:r>
        <w:fldChar w:fldCharType="end"/>
      </w:r>
    </w:p>
    <w:p>
      <w:pPr>
        <w:pStyle w:val="TOC8"/>
        <w:rPr>
          <w:rFonts w:asciiTheme="minorHAnsi" w:eastAsiaTheme="minorEastAsia" w:hAnsiTheme="minorHAnsi" w:cstheme="minorBidi"/>
          <w:szCs w:val="22"/>
        </w:rPr>
      </w:pPr>
      <w:r>
        <w:t>77G.</w:t>
      </w:r>
      <w:r>
        <w:tab/>
        <w:t>Consultation with and advice from Chief Health Officer</w:t>
      </w:r>
      <w:r>
        <w:tab/>
      </w:r>
      <w:r>
        <w:fldChar w:fldCharType="begin"/>
      </w:r>
      <w:r>
        <w:instrText xml:space="preserve"> PAGEREF _Toc118300076 \h </w:instrText>
      </w:r>
      <w:r>
        <w:fldChar w:fldCharType="separate"/>
      </w:r>
      <w:r>
        <w:t>58</w:t>
      </w:r>
      <w:r>
        <w:fldChar w:fldCharType="end"/>
      </w:r>
    </w:p>
    <w:p>
      <w:pPr>
        <w:pStyle w:val="TOC8"/>
        <w:rPr>
          <w:rFonts w:asciiTheme="minorHAnsi" w:eastAsiaTheme="minorEastAsia" w:hAnsiTheme="minorHAnsi" w:cstheme="minorBidi"/>
          <w:szCs w:val="22"/>
        </w:rPr>
      </w:pPr>
      <w:r>
        <w:t>77H.</w:t>
      </w:r>
      <w:r>
        <w:tab/>
        <w:t>Publication of notice of declaration and advice</w:t>
      </w:r>
      <w:r>
        <w:tab/>
      </w:r>
      <w:r>
        <w:fldChar w:fldCharType="begin"/>
      </w:r>
      <w:r>
        <w:instrText xml:space="preserve"> PAGEREF _Toc118300077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Authorised COVID</w:t>
      </w:r>
      <w:r>
        <w:noBreakHyphen/>
        <w:t>19 officers</w:t>
      </w:r>
    </w:p>
    <w:p>
      <w:pPr>
        <w:pStyle w:val="TOC8"/>
        <w:rPr>
          <w:rFonts w:asciiTheme="minorHAnsi" w:eastAsiaTheme="minorEastAsia" w:hAnsiTheme="minorHAnsi" w:cstheme="minorBidi"/>
          <w:szCs w:val="22"/>
        </w:rPr>
      </w:pPr>
      <w:r>
        <w:t>77I.</w:t>
      </w:r>
      <w:r>
        <w:tab/>
        <w:t>Authorised COVID</w:t>
      </w:r>
      <w:r>
        <w:noBreakHyphen/>
        <w:t>19 officers</w:t>
      </w:r>
      <w:r>
        <w:tab/>
      </w:r>
      <w:r>
        <w:fldChar w:fldCharType="begin"/>
      </w:r>
      <w:r>
        <w:instrText xml:space="preserve"> PAGEREF _Toc118300079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4 — Powers during COVID</w:t>
      </w:r>
      <w:r>
        <w:noBreakHyphen/>
        <w:t>19 declaration</w:t>
      </w:r>
    </w:p>
    <w:p>
      <w:pPr>
        <w:pStyle w:val="TOC8"/>
        <w:rPr>
          <w:rFonts w:asciiTheme="minorHAnsi" w:eastAsiaTheme="minorEastAsia" w:hAnsiTheme="minorHAnsi" w:cstheme="minorBidi"/>
          <w:szCs w:val="22"/>
        </w:rPr>
      </w:pPr>
      <w:r>
        <w:t>77J.</w:t>
      </w:r>
      <w:r>
        <w:tab/>
        <w:t>Matters that may be taken into account and consultation</w:t>
      </w:r>
      <w:r>
        <w:tab/>
      </w:r>
      <w:r>
        <w:fldChar w:fldCharType="begin"/>
      </w:r>
      <w:r>
        <w:instrText xml:space="preserve"> PAGEREF _Toc118300081 \h </w:instrText>
      </w:r>
      <w:r>
        <w:fldChar w:fldCharType="separate"/>
      </w:r>
      <w:r>
        <w:t>61</w:t>
      </w:r>
      <w:r>
        <w:fldChar w:fldCharType="end"/>
      </w:r>
    </w:p>
    <w:p>
      <w:pPr>
        <w:pStyle w:val="TOC8"/>
        <w:rPr>
          <w:rFonts w:asciiTheme="minorHAnsi" w:eastAsiaTheme="minorEastAsia" w:hAnsiTheme="minorHAnsi" w:cstheme="minorBidi"/>
          <w:szCs w:val="22"/>
        </w:rPr>
      </w:pPr>
      <w:r>
        <w:t>77K.</w:t>
      </w:r>
      <w:r>
        <w:tab/>
        <w:t>Obtaining identifying particulars</w:t>
      </w:r>
      <w:r>
        <w:tab/>
      </w:r>
      <w:r>
        <w:fldChar w:fldCharType="begin"/>
      </w:r>
      <w:r>
        <w:instrText xml:space="preserve"> PAGEREF _Toc118300082 \h </w:instrText>
      </w:r>
      <w:r>
        <w:fldChar w:fldCharType="separate"/>
      </w:r>
      <w:r>
        <w:t>61</w:t>
      </w:r>
      <w:r>
        <w:fldChar w:fldCharType="end"/>
      </w:r>
    </w:p>
    <w:p>
      <w:pPr>
        <w:pStyle w:val="TOC8"/>
        <w:rPr>
          <w:rFonts w:asciiTheme="minorHAnsi" w:eastAsiaTheme="minorEastAsia" w:hAnsiTheme="minorHAnsi" w:cstheme="minorBidi"/>
          <w:szCs w:val="22"/>
        </w:rPr>
      </w:pPr>
      <w:r>
        <w:t>77L.</w:t>
      </w:r>
      <w:r>
        <w:tab/>
        <w:t>Powers concerning movement and evacuation</w:t>
      </w:r>
      <w:r>
        <w:tab/>
      </w:r>
      <w:r>
        <w:fldChar w:fldCharType="begin"/>
      </w:r>
      <w:r>
        <w:instrText xml:space="preserve"> PAGEREF _Toc118300083 \h </w:instrText>
      </w:r>
      <w:r>
        <w:fldChar w:fldCharType="separate"/>
      </w:r>
      <w:r>
        <w:t>62</w:t>
      </w:r>
      <w:r>
        <w:fldChar w:fldCharType="end"/>
      </w:r>
    </w:p>
    <w:p>
      <w:pPr>
        <w:pStyle w:val="TOC8"/>
        <w:rPr>
          <w:rFonts w:asciiTheme="minorHAnsi" w:eastAsiaTheme="minorEastAsia" w:hAnsiTheme="minorHAnsi" w:cstheme="minorBidi"/>
          <w:szCs w:val="22"/>
        </w:rPr>
      </w:pPr>
      <w:r>
        <w:t>77M.</w:t>
      </w:r>
      <w:r>
        <w:tab/>
        <w:t>Powers to control and use property and related powers</w:t>
      </w:r>
      <w:r>
        <w:tab/>
      </w:r>
      <w:r>
        <w:fldChar w:fldCharType="begin"/>
      </w:r>
      <w:r>
        <w:instrText xml:space="preserve"> PAGEREF _Toc118300084 \h </w:instrText>
      </w:r>
      <w:r>
        <w:fldChar w:fldCharType="separate"/>
      </w:r>
      <w:r>
        <w:t>62</w:t>
      </w:r>
      <w:r>
        <w:fldChar w:fldCharType="end"/>
      </w:r>
    </w:p>
    <w:p>
      <w:pPr>
        <w:pStyle w:val="TOC8"/>
        <w:rPr>
          <w:rFonts w:asciiTheme="minorHAnsi" w:eastAsiaTheme="minorEastAsia" w:hAnsiTheme="minorHAnsi" w:cstheme="minorBidi"/>
          <w:szCs w:val="22"/>
        </w:rPr>
      </w:pPr>
      <w:r>
        <w:t>77N.</w:t>
      </w:r>
      <w:r>
        <w:tab/>
        <w:t>Powers of officers in relation to persons exposed to SARS</w:t>
      </w:r>
      <w:r>
        <w:noBreakHyphen/>
        <w:t>CoV</w:t>
      </w:r>
      <w:r>
        <w:noBreakHyphen/>
        <w:t>2 virus</w:t>
      </w:r>
      <w:r>
        <w:tab/>
      </w:r>
      <w:r>
        <w:fldChar w:fldCharType="begin"/>
      </w:r>
      <w:r>
        <w:instrText xml:space="preserve"> PAGEREF _Toc118300085 \h </w:instrText>
      </w:r>
      <w:r>
        <w:fldChar w:fldCharType="separate"/>
      </w:r>
      <w:r>
        <w:t>63</w:t>
      </w:r>
      <w:r>
        <w:fldChar w:fldCharType="end"/>
      </w:r>
    </w:p>
    <w:p>
      <w:pPr>
        <w:pStyle w:val="TOC8"/>
        <w:rPr>
          <w:rFonts w:asciiTheme="minorHAnsi" w:eastAsiaTheme="minorEastAsia" w:hAnsiTheme="minorHAnsi" w:cstheme="minorBidi"/>
          <w:szCs w:val="22"/>
        </w:rPr>
      </w:pPr>
      <w:r>
        <w:t>77O.</w:t>
      </w:r>
      <w:r>
        <w:tab/>
        <w:t>Powers of police to direct closure of places and concerning movement and evacuation</w:t>
      </w:r>
      <w:r>
        <w:tab/>
      </w:r>
      <w:r>
        <w:fldChar w:fldCharType="begin"/>
      </w:r>
      <w:r>
        <w:instrText xml:space="preserve"> PAGEREF _Toc118300086 \h </w:instrText>
      </w:r>
      <w:r>
        <w:fldChar w:fldCharType="separate"/>
      </w:r>
      <w:r>
        <w:t>64</w:t>
      </w:r>
      <w:r>
        <w:fldChar w:fldCharType="end"/>
      </w:r>
    </w:p>
    <w:p>
      <w:pPr>
        <w:pStyle w:val="TOC8"/>
        <w:rPr>
          <w:rFonts w:asciiTheme="minorHAnsi" w:eastAsiaTheme="minorEastAsia" w:hAnsiTheme="minorHAnsi" w:cstheme="minorBidi"/>
          <w:szCs w:val="22"/>
        </w:rPr>
      </w:pPr>
      <w:r>
        <w:t>77P.</w:t>
      </w:r>
      <w:r>
        <w:tab/>
        <w:t>Exchange of information</w:t>
      </w:r>
      <w:r>
        <w:tab/>
      </w:r>
      <w:r>
        <w:fldChar w:fldCharType="begin"/>
      </w:r>
      <w:r>
        <w:instrText xml:space="preserve"> PAGEREF _Toc118300087 \h </w:instrText>
      </w:r>
      <w:r>
        <w:fldChar w:fldCharType="separate"/>
      </w:r>
      <w:r>
        <w:t>65</w:t>
      </w:r>
      <w:r>
        <w:fldChar w:fldCharType="end"/>
      </w:r>
    </w:p>
    <w:p>
      <w:pPr>
        <w:pStyle w:val="TOC8"/>
        <w:rPr>
          <w:rFonts w:asciiTheme="minorHAnsi" w:eastAsiaTheme="minorEastAsia" w:hAnsiTheme="minorHAnsi" w:cstheme="minorBidi"/>
          <w:szCs w:val="22"/>
        </w:rPr>
      </w:pPr>
      <w:r>
        <w:t>77Q.</w:t>
      </w:r>
      <w:r>
        <w:tab/>
        <w:t>General powers during COVID</w:t>
      </w:r>
      <w:r>
        <w:noBreakHyphen/>
        <w:t>19 declaration</w:t>
      </w:r>
      <w:r>
        <w:tab/>
      </w:r>
      <w:r>
        <w:fldChar w:fldCharType="begin"/>
      </w:r>
      <w:r>
        <w:instrText xml:space="preserve"> PAGEREF _Toc118300088 \h </w:instrText>
      </w:r>
      <w:r>
        <w:fldChar w:fldCharType="separate"/>
      </w:r>
      <w:r>
        <w:t>67</w:t>
      </w:r>
      <w:r>
        <w:fldChar w:fldCharType="end"/>
      </w:r>
    </w:p>
    <w:p>
      <w:pPr>
        <w:pStyle w:val="TOC8"/>
        <w:rPr>
          <w:rFonts w:asciiTheme="minorHAnsi" w:eastAsiaTheme="minorEastAsia" w:hAnsiTheme="minorHAnsi" w:cstheme="minorBidi"/>
          <w:szCs w:val="22"/>
        </w:rPr>
      </w:pPr>
      <w:r>
        <w:t>77R.</w:t>
      </w:r>
      <w:r>
        <w:tab/>
        <w:t>Powers under this Division cannot be exercised to effect interstate border closure</w:t>
      </w:r>
      <w:r>
        <w:tab/>
      </w:r>
      <w:r>
        <w:fldChar w:fldCharType="begin"/>
      </w:r>
      <w:r>
        <w:instrText xml:space="preserve"> PAGEREF _Toc118300089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77S.</w:t>
      </w:r>
      <w:r>
        <w:tab/>
        <w:t>General provisions regarding powers</w:t>
      </w:r>
      <w:r>
        <w:tab/>
      </w:r>
      <w:r>
        <w:fldChar w:fldCharType="begin"/>
      </w:r>
      <w:r>
        <w:instrText xml:space="preserve"> PAGEREF _Toc118300091 \h </w:instrText>
      </w:r>
      <w:r>
        <w:fldChar w:fldCharType="separate"/>
      </w:r>
      <w:r>
        <w:t>68</w:t>
      </w:r>
      <w:r>
        <w:fldChar w:fldCharType="end"/>
      </w:r>
    </w:p>
    <w:p>
      <w:pPr>
        <w:pStyle w:val="TOC8"/>
        <w:rPr>
          <w:rFonts w:asciiTheme="minorHAnsi" w:eastAsiaTheme="minorEastAsia" w:hAnsiTheme="minorHAnsi" w:cstheme="minorBidi"/>
          <w:szCs w:val="22"/>
        </w:rPr>
      </w:pPr>
      <w:r>
        <w:t>77T.</w:t>
      </w:r>
      <w:r>
        <w:tab/>
        <w:t>General provisions regarding directions</w:t>
      </w:r>
      <w:r>
        <w:tab/>
      </w:r>
      <w:r>
        <w:fldChar w:fldCharType="begin"/>
      </w:r>
      <w:r>
        <w:instrText xml:space="preserve"> PAGEREF _Toc118300092 \h </w:instrText>
      </w:r>
      <w:r>
        <w:fldChar w:fldCharType="separate"/>
      </w:r>
      <w:r>
        <w:t>69</w:t>
      </w:r>
      <w:r>
        <w:fldChar w:fldCharType="end"/>
      </w:r>
    </w:p>
    <w:p>
      <w:pPr>
        <w:pStyle w:val="TOC8"/>
        <w:rPr>
          <w:rFonts w:asciiTheme="minorHAnsi" w:eastAsiaTheme="minorEastAsia" w:hAnsiTheme="minorHAnsi" w:cstheme="minorBidi"/>
          <w:szCs w:val="22"/>
        </w:rPr>
      </w:pPr>
      <w:r>
        <w:t>77U.</w:t>
      </w:r>
      <w:r>
        <w:tab/>
        <w:t>Establishment of State Emergency Coordination Group for COVID</w:t>
      </w:r>
      <w:r>
        <w:noBreakHyphen/>
        <w:t>19</w:t>
      </w:r>
      <w:r>
        <w:tab/>
      </w:r>
      <w:r>
        <w:fldChar w:fldCharType="begin"/>
      </w:r>
      <w:r>
        <w:instrText xml:space="preserve"> PAGEREF _Toc118300093 \h </w:instrText>
      </w:r>
      <w:r>
        <w:fldChar w:fldCharType="separate"/>
      </w:r>
      <w:r>
        <w:t>70</w:t>
      </w:r>
      <w:r>
        <w:fldChar w:fldCharType="end"/>
      </w:r>
    </w:p>
    <w:p>
      <w:pPr>
        <w:pStyle w:val="TOC8"/>
        <w:rPr>
          <w:rFonts w:asciiTheme="minorHAnsi" w:eastAsiaTheme="minorEastAsia" w:hAnsiTheme="minorHAnsi" w:cstheme="minorBidi"/>
          <w:szCs w:val="22"/>
        </w:rPr>
      </w:pPr>
      <w:r>
        <w:t>77V.</w:t>
      </w:r>
      <w:r>
        <w:tab/>
        <w:t>Continuation of State Disaster Council for COVID</w:t>
      </w:r>
      <w:r>
        <w:noBreakHyphen/>
        <w:t>19</w:t>
      </w:r>
      <w:r>
        <w:tab/>
      </w:r>
      <w:r>
        <w:fldChar w:fldCharType="begin"/>
      </w:r>
      <w:r>
        <w:instrText xml:space="preserve"> PAGEREF _Toc118300094 \h </w:instrText>
      </w:r>
      <w:r>
        <w:fldChar w:fldCharType="separate"/>
      </w:r>
      <w:r>
        <w:t>71</w:t>
      </w:r>
      <w:r>
        <w:fldChar w:fldCharType="end"/>
      </w:r>
    </w:p>
    <w:p>
      <w:pPr>
        <w:pStyle w:val="TOC8"/>
        <w:rPr>
          <w:rFonts w:asciiTheme="minorHAnsi" w:eastAsiaTheme="minorEastAsia" w:hAnsiTheme="minorHAnsi" w:cstheme="minorBidi"/>
          <w:szCs w:val="22"/>
        </w:rPr>
      </w:pPr>
      <w:r>
        <w:t>77W.</w:t>
      </w:r>
      <w:r>
        <w:tab/>
        <w:t>Modification of State and local arrangements</w:t>
      </w:r>
      <w:r>
        <w:tab/>
      </w:r>
      <w:r>
        <w:fldChar w:fldCharType="begin"/>
      </w:r>
      <w:r>
        <w:instrText xml:space="preserve"> PAGEREF _Toc118300095 \h </w:instrText>
      </w:r>
      <w:r>
        <w:fldChar w:fldCharType="separate"/>
      </w:r>
      <w:r>
        <w:t>72</w:t>
      </w:r>
      <w:r>
        <w:fldChar w:fldCharType="end"/>
      </w:r>
    </w:p>
    <w:p>
      <w:pPr>
        <w:pStyle w:val="TOC8"/>
        <w:rPr>
          <w:rFonts w:asciiTheme="minorHAnsi" w:eastAsiaTheme="minorEastAsia" w:hAnsiTheme="minorHAnsi" w:cstheme="minorBidi"/>
          <w:szCs w:val="22"/>
        </w:rPr>
      </w:pPr>
      <w:r>
        <w:t>77X.</w:t>
      </w:r>
      <w:r>
        <w:tab/>
        <w:t>Modification of other provisions of this Act</w:t>
      </w:r>
      <w:r>
        <w:tab/>
      </w:r>
      <w:r>
        <w:fldChar w:fldCharType="begin"/>
      </w:r>
      <w:r>
        <w:instrText xml:space="preserve"> PAGEREF _Toc118300096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7 — Compensation and insurance</w:t>
      </w:r>
    </w:p>
    <w:p>
      <w:pPr>
        <w:pStyle w:val="TOC4"/>
        <w:tabs>
          <w:tab w:val="right" w:leader="dot" w:pos="7077"/>
        </w:tabs>
        <w:rPr>
          <w:rFonts w:asciiTheme="minorHAnsi" w:eastAsiaTheme="minorEastAsia" w:hAnsiTheme="minorHAnsi" w:cstheme="minorBidi"/>
          <w:b w:val="0"/>
          <w:szCs w:val="22"/>
        </w:rPr>
      </w:pPr>
      <w:r>
        <w:t>Division 1 — Compensation</w:t>
      </w:r>
    </w:p>
    <w:p>
      <w:pPr>
        <w:pStyle w:val="TOC8"/>
        <w:rPr>
          <w:rFonts w:asciiTheme="minorHAnsi" w:eastAsiaTheme="minorEastAsia" w:hAnsiTheme="minorHAnsi" w:cstheme="minorBidi"/>
          <w:szCs w:val="22"/>
        </w:rPr>
      </w:pPr>
      <w:r>
        <w:t>78.</w:t>
      </w:r>
      <w:r>
        <w:tab/>
        <w:t>Entitlement to compensation</w:t>
      </w:r>
      <w:r>
        <w:tab/>
      </w:r>
      <w:r>
        <w:fldChar w:fldCharType="begin"/>
      </w:r>
      <w:r>
        <w:instrText xml:space="preserve"> PAGEREF _Toc118300099 \h </w:instrText>
      </w:r>
      <w:r>
        <w:fldChar w:fldCharType="separate"/>
      </w:r>
      <w:r>
        <w:t>75</w:t>
      </w:r>
      <w:r>
        <w:fldChar w:fldCharType="end"/>
      </w:r>
    </w:p>
    <w:p>
      <w:pPr>
        <w:pStyle w:val="TOC8"/>
        <w:rPr>
          <w:rFonts w:asciiTheme="minorHAnsi" w:eastAsiaTheme="minorEastAsia" w:hAnsiTheme="minorHAnsi" w:cstheme="minorBidi"/>
          <w:szCs w:val="22"/>
        </w:rPr>
      </w:pPr>
      <w:r>
        <w:t>79.</w:t>
      </w:r>
      <w:r>
        <w:tab/>
        <w:t>Applying for compensation</w:t>
      </w:r>
      <w:r>
        <w:tab/>
      </w:r>
      <w:r>
        <w:fldChar w:fldCharType="begin"/>
      </w:r>
      <w:r>
        <w:instrText xml:space="preserve"> PAGEREF _Toc118300100 \h </w:instrText>
      </w:r>
      <w:r>
        <w:fldChar w:fldCharType="separate"/>
      </w:r>
      <w:r>
        <w:t>75</w:t>
      </w:r>
      <w:r>
        <w:fldChar w:fldCharType="end"/>
      </w:r>
    </w:p>
    <w:p>
      <w:pPr>
        <w:pStyle w:val="TOC8"/>
        <w:rPr>
          <w:rFonts w:asciiTheme="minorHAnsi" w:eastAsiaTheme="minorEastAsia" w:hAnsiTheme="minorHAnsi" w:cstheme="minorBidi"/>
          <w:szCs w:val="22"/>
        </w:rPr>
      </w:pPr>
      <w:r>
        <w:lastRenderedPageBreak/>
        <w:t>80.</w:t>
      </w:r>
      <w:r>
        <w:tab/>
        <w:t>Lapsing of application</w:t>
      </w:r>
      <w:r>
        <w:tab/>
      </w:r>
      <w:r>
        <w:fldChar w:fldCharType="begin"/>
      </w:r>
      <w:r>
        <w:instrText xml:space="preserve"> PAGEREF _Toc118300101 \h </w:instrText>
      </w:r>
      <w:r>
        <w:fldChar w:fldCharType="separate"/>
      </w:r>
      <w:r>
        <w:t>76</w:t>
      </w:r>
      <w:r>
        <w:fldChar w:fldCharType="end"/>
      </w:r>
    </w:p>
    <w:p>
      <w:pPr>
        <w:pStyle w:val="TOC8"/>
        <w:rPr>
          <w:rFonts w:asciiTheme="minorHAnsi" w:eastAsiaTheme="minorEastAsia" w:hAnsiTheme="minorHAnsi" w:cstheme="minorBidi"/>
          <w:szCs w:val="22"/>
        </w:rPr>
      </w:pPr>
      <w:r>
        <w:t>81.</w:t>
      </w:r>
      <w:r>
        <w:tab/>
        <w:t>Notice of decision</w:t>
      </w:r>
      <w:r>
        <w:tab/>
      </w:r>
      <w:r>
        <w:fldChar w:fldCharType="begin"/>
      </w:r>
      <w:r>
        <w:instrText xml:space="preserve"> PAGEREF _Toc118300102 \h </w:instrText>
      </w:r>
      <w:r>
        <w:fldChar w:fldCharType="separate"/>
      </w:r>
      <w:r>
        <w:t>77</w:t>
      </w:r>
      <w:r>
        <w:fldChar w:fldCharType="end"/>
      </w:r>
    </w:p>
    <w:p>
      <w:pPr>
        <w:pStyle w:val="TOC8"/>
        <w:rPr>
          <w:rFonts w:asciiTheme="minorHAnsi" w:eastAsiaTheme="minorEastAsia" w:hAnsiTheme="minorHAnsi" w:cstheme="minorBidi"/>
          <w:szCs w:val="22"/>
        </w:rPr>
      </w:pPr>
      <w:r>
        <w:t>82.</w:t>
      </w:r>
      <w:r>
        <w:tab/>
        <w:t>Funding of compensation</w:t>
      </w:r>
      <w:r>
        <w:tab/>
      </w:r>
      <w:r>
        <w:fldChar w:fldCharType="begin"/>
      </w:r>
      <w:r>
        <w:instrText xml:space="preserve"> PAGEREF _Toc118300103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Review</w:t>
      </w:r>
    </w:p>
    <w:p>
      <w:pPr>
        <w:pStyle w:val="TOC8"/>
        <w:rPr>
          <w:rFonts w:asciiTheme="minorHAnsi" w:eastAsiaTheme="minorEastAsia" w:hAnsiTheme="minorHAnsi" w:cstheme="minorBidi"/>
          <w:szCs w:val="22"/>
        </w:rPr>
      </w:pPr>
      <w:r>
        <w:t>83.</w:t>
      </w:r>
      <w:r>
        <w:tab/>
        <w:t>Review of compensation decision</w:t>
      </w:r>
      <w:r>
        <w:tab/>
      </w:r>
      <w:r>
        <w:fldChar w:fldCharType="begin"/>
      </w:r>
      <w:r>
        <w:instrText xml:space="preserve"> PAGEREF _Toc118300105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Policies of insurance</w:t>
      </w:r>
    </w:p>
    <w:p>
      <w:pPr>
        <w:pStyle w:val="TOC8"/>
        <w:rPr>
          <w:rFonts w:asciiTheme="minorHAnsi" w:eastAsiaTheme="minorEastAsia" w:hAnsiTheme="minorHAnsi" w:cstheme="minorBidi"/>
          <w:szCs w:val="22"/>
        </w:rPr>
      </w:pPr>
      <w:r>
        <w:t>84.</w:t>
      </w:r>
      <w:r>
        <w:tab/>
        <w:t>Extension of policy of insurance</w:t>
      </w:r>
      <w:r>
        <w:tab/>
      </w:r>
      <w:r>
        <w:fldChar w:fldCharType="begin"/>
      </w:r>
      <w:r>
        <w:instrText xml:space="preserve"> PAGEREF _Toc118300107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8 — Offences</w:t>
      </w:r>
    </w:p>
    <w:p>
      <w:pPr>
        <w:pStyle w:val="TOC8"/>
        <w:rPr>
          <w:rFonts w:asciiTheme="minorHAnsi" w:eastAsiaTheme="minorEastAsia" w:hAnsiTheme="minorHAnsi" w:cstheme="minorBidi"/>
          <w:szCs w:val="22"/>
        </w:rPr>
      </w:pPr>
      <w:r>
        <w:t>85.</w:t>
      </w:r>
      <w:r>
        <w:tab/>
        <w:t>Obstruction of a hazard management officer or authorised officer</w:t>
      </w:r>
      <w:r>
        <w:tab/>
      </w:r>
      <w:r>
        <w:fldChar w:fldCharType="begin"/>
      </w:r>
      <w:r>
        <w:instrText xml:space="preserve"> PAGEREF _Toc118300109 \h </w:instrText>
      </w:r>
      <w:r>
        <w:fldChar w:fldCharType="separate"/>
      </w:r>
      <w:r>
        <w:t>79</w:t>
      </w:r>
      <w:r>
        <w:fldChar w:fldCharType="end"/>
      </w:r>
    </w:p>
    <w:p>
      <w:pPr>
        <w:pStyle w:val="TOC8"/>
        <w:rPr>
          <w:rFonts w:asciiTheme="minorHAnsi" w:eastAsiaTheme="minorEastAsia" w:hAnsiTheme="minorHAnsi" w:cstheme="minorBidi"/>
          <w:szCs w:val="22"/>
        </w:rPr>
      </w:pPr>
      <w:r>
        <w:t>86.</w:t>
      </w:r>
      <w:r>
        <w:tab/>
        <w:t>Failure to comply with direction</w:t>
      </w:r>
      <w:r>
        <w:tab/>
      </w:r>
      <w:r>
        <w:fldChar w:fldCharType="begin"/>
      </w:r>
      <w:r>
        <w:instrText xml:space="preserve"> PAGEREF _Toc118300110 \h </w:instrText>
      </w:r>
      <w:r>
        <w:fldChar w:fldCharType="separate"/>
      </w:r>
      <w:r>
        <w:t>79</w:t>
      </w:r>
      <w:r>
        <w:fldChar w:fldCharType="end"/>
      </w:r>
    </w:p>
    <w:p>
      <w:pPr>
        <w:pStyle w:val="TOC8"/>
        <w:rPr>
          <w:rFonts w:asciiTheme="minorHAnsi" w:eastAsiaTheme="minorEastAsia" w:hAnsiTheme="minorHAnsi" w:cstheme="minorBidi"/>
          <w:szCs w:val="22"/>
        </w:rPr>
      </w:pPr>
      <w:r>
        <w:t>87.</w:t>
      </w:r>
      <w:r>
        <w:tab/>
        <w:t>Failure to give help</w:t>
      </w:r>
      <w:r>
        <w:tab/>
      </w:r>
      <w:r>
        <w:fldChar w:fldCharType="begin"/>
      </w:r>
      <w:r>
        <w:instrText xml:space="preserve"> PAGEREF _Toc118300111 \h </w:instrText>
      </w:r>
      <w:r>
        <w:fldChar w:fldCharType="separate"/>
      </w:r>
      <w:r>
        <w:t>79</w:t>
      </w:r>
      <w:r>
        <w:fldChar w:fldCharType="end"/>
      </w:r>
    </w:p>
    <w:p>
      <w:pPr>
        <w:pStyle w:val="TOC8"/>
        <w:rPr>
          <w:rFonts w:asciiTheme="minorHAnsi" w:eastAsiaTheme="minorEastAsia" w:hAnsiTheme="minorHAnsi" w:cstheme="minorBidi"/>
          <w:szCs w:val="22"/>
        </w:rPr>
      </w:pPr>
      <w:r>
        <w:t>88.</w:t>
      </w:r>
      <w:r>
        <w:tab/>
        <w:t>Impersonation of hazard management officer or authorised officer</w:t>
      </w:r>
      <w:r>
        <w:tab/>
      </w:r>
      <w:r>
        <w:fldChar w:fldCharType="begin"/>
      </w:r>
      <w:r>
        <w:instrText xml:space="preserve"> PAGEREF _Toc118300112 \h </w:instrText>
      </w:r>
      <w:r>
        <w:fldChar w:fldCharType="separate"/>
      </w:r>
      <w:r>
        <w:t>80</w:t>
      </w:r>
      <w:r>
        <w:fldChar w:fldCharType="end"/>
      </w:r>
    </w:p>
    <w:p>
      <w:pPr>
        <w:pStyle w:val="TOC8"/>
        <w:rPr>
          <w:rFonts w:asciiTheme="minorHAnsi" w:eastAsiaTheme="minorEastAsia" w:hAnsiTheme="minorHAnsi" w:cstheme="minorBidi"/>
          <w:szCs w:val="22"/>
        </w:rPr>
      </w:pPr>
      <w:r>
        <w:t>89.</w:t>
      </w:r>
      <w:r>
        <w:tab/>
        <w:t>False or misleading information</w:t>
      </w:r>
      <w:r>
        <w:tab/>
      </w:r>
      <w:r>
        <w:fldChar w:fldCharType="begin"/>
      </w:r>
      <w:r>
        <w:instrText xml:space="preserve"> PAGEREF _Toc118300113 \h </w:instrText>
      </w:r>
      <w:r>
        <w:fldChar w:fldCharType="separate"/>
      </w:r>
      <w:r>
        <w:t>80</w:t>
      </w:r>
      <w:r>
        <w:fldChar w:fldCharType="end"/>
      </w:r>
    </w:p>
    <w:p>
      <w:pPr>
        <w:pStyle w:val="TOC8"/>
        <w:rPr>
          <w:rFonts w:asciiTheme="minorHAnsi" w:eastAsiaTheme="minorEastAsia" w:hAnsiTheme="minorHAnsi" w:cstheme="minorBidi"/>
          <w:szCs w:val="22"/>
        </w:rPr>
      </w:pPr>
      <w:r>
        <w:t>90.</w:t>
      </w:r>
      <w:r>
        <w:tab/>
        <w:t>False compensation claim</w:t>
      </w:r>
      <w:r>
        <w:tab/>
      </w:r>
      <w:r>
        <w:fldChar w:fldCharType="begin"/>
      </w:r>
      <w:r>
        <w:instrText xml:space="preserve"> PAGEREF _Toc118300114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9 — Employment protection</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_Toc118300116 \h </w:instrText>
      </w:r>
      <w:r>
        <w:fldChar w:fldCharType="separate"/>
      </w:r>
      <w:r>
        <w:t>81</w:t>
      </w:r>
      <w:r>
        <w:fldChar w:fldCharType="end"/>
      </w:r>
    </w:p>
    <w:p>
      <w:pPr>
        <w:pStyle w:val="TOC8"/>
        <w:rPr>
          <w:rFonts w:asciiTheme="minorHAnsi" w:eastAsiaTheme="minorEastAsia" w:hAnsiTheme="minorHAnsi" w:cstheme="minorBidi"/>
          <w:szCs w:val="22"/>
        </w:rPr>
      </w:pPr>
      <w:r>
        <w:t>92.</w:t>
      </w:r>
      <w:r>
        <w:tab/>
        <w:t>Protection of employment rights</w:t>
      </w:r>
      <w:r>
        <w:tab/>
      </w:r>
      <w:r>
        <w:fldChar w:fldCharType="begin"/>
      </w:r>
      <w:r>
        <w:instrText xml:space="preserve"> PAGEREF _Toc118300117 \h </w:instrText>
      </w:r>
      <w:r>
        <w:fldChar w:fldCharType="separate"/>
      </w:r>
      <w:r>
        <w:t>82</w:t>
      </w:r>
      <w:r>
        <w:fldChar w:fldCharType="end"/>
      </w:r>
    </w:p>
    <w:p>
      <w:pPr>
        <w:pStyle w:val="TOC8"/>
        <w:rPr>
          <w:rFonts w:asciiTheme="minorHAnsi" w:eastAsiaTheme="minorEastAsia" w:hAnsiTheme="minorHAnsi" w:cstheme="minorBidi"/>
          <w:szCs w:val="22"/>
        </w:rPr>
      </w:pPr>
      <w:r>
        <w:t>93.</w:t>
      </w:r>
      <w:r>
        <w:tab/>
        <w:t>Victimisation because of emergency management response</w:t>
      </w:r>
      <w:r>
        <w:tab/>
      </w:r>
      <w:r>
        <w:fldChar w:fldCharType="begin"/>
      </w:r>
      <w:r>
        <w:instrText xml:space="preserve"> PAGEREF _Toc118300118 \h </w:instrText>
      </w:r>
      <w:r>
        <w:fldChar w:fldCharType="separate"/>
      </w:r>
      <w:r>
        <w:t>82</w:t>
      </w:r>
      <w:r>
        <w:fldChar w:fldCharType="end"/>
      </w:r>
    </w:p>
    <w:p>
      <w:pPr>
        <w:pStyle w:val="TOC8"/>
        <w:rPr>
          <w:rFonts w:asciiTheme="minorHAnsi" w:eastAsiaTheme="minorEastAsia" w:hAnsiTheme="minorHAnsi" w:cstheme="minorBidi"/>
          <w:szCs w:val="22"/>
        </w:rPr>
      </w:pPr>
      <w:r>
        <w:t>94.</w:t>
      </w:r>
      <w:r>
        <w:tab/>
        <w:t>Civil penalty for breach of section 93</w:t>
      </w:r>
      <w:r>
        <w:tab/>
      </w:r>
      <w:r>
        <w:fldChar w:fldCharType="begin"/>
      </w:r>
      <w:r>
        <w:instrText xml:space="preserve"> PAGEREF _Toc118300119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94A.</w:t>
      </w:r>
      <w:r>
        <w:tab/>
        <w:t>Powers under other written laws do not affect whether declarations can be made</w:t>
      </w:r>
      <w:r>
        <w:tab/>
      </w:r>
      <w:r>
        <w:fldChar w:fldCharType="begin"/>
      </w:r>
      <w:r>
        <w:instrText xml:space="preserve"> PAGEREF _Toc118300121 \h </w:instrText>
      </w:r>
      <w:r>
        <w:fldChar w:fldCharType="separate"/>
      </w:r>
      <w:r>
        <w:t>85</w:t>
      </w:r>
      <w:r>
        <w:fldChar w:fldCharType="end"/>
      </w:r>
    </w:p>
    <w:p>
      <w:pPr>
        <w:pStyle w:val="TOC8"/>
        <w:rPr>
          <w:rFonts w:asciiTheme="minorHAnsi" w:eastAsiaTheme="minorEastAsia" w:hAnsiTheme="minorHAnsi" w:cstheme="minorBidi"/>
          <w:szCs w:val="22"/>
        </w:rPr>
      </w:pPr>
      <w:r>
        <w:t>95.</w:t>
      </w:r>
      <w:r>
        <w:tab/>
        <w:t>Confidentiality of information</w:t>
      </w:r>
      <w:r>
        <w:tab/>
      </w:r>
      <w:r>
        <w:fldChar w:fldCharType="begin"/>
      </w:r>
      <w:r>
        <w:instrText xml:space="preserve"> PAGEREF _Toc118300122 \h </w:instrText>
      </w:r>
      <w:r>
        <w:fldChar w:fldCharType="separate"/>
      </w:r>
      <w:r>
        <w:t>86</w:t>
      </w:r>
      <w:r>
        <w:fldChar w:fldCharType="end"/>
      </w:r>
    </w:p>
    <w:p>
      <w:pPr>
        <w:pStyle w:val="TOC8"/>
        <w:rPr>
          <w:rFonts w:asciiTheme="minorHAnsi" w:eastAsiaTheme="minorEastAsia" w:hAnsiTheme="minorHAnsi" w:cstheme="minorBidi"/>
          <w:szCs w:val="22"/>
        </w:rPr>
      </w:pPr>
      <w:r>
        <w:t>96.</w:t>
      </w:r>
      <w:r>
        <w:tab/>
        <w:t>Expenses</w:t>
      </w:r>
      <w:r>
        <w:tab/>
      </w:r>
      <w:r>
        <w:fldChar w:fldCharType="begin"/>
      </w:r>
      <w:r>
        <w:instrText xml:space="preserve"> PAGEREF _Toc118300123 \h </w:instrText>
      </w:r>
      <w:r>
        <w:fldChar w:fldCharType="separate"/>
      </w:r>
      <w:r>
        <w:t>86</w:t>
      </w:r>
      <w:r>
        <w:fldChar w:fldCharType="end"/>
      </w:r>
    </w:p>
    <w:p>
      <w:pPr>
        <w:pStyle w:val="TOC8"/>
        <w:rPr>
          <w:rFonts w:asciiTheme="minorHAnsi" w:eastAsiaTheme="minorEastAsia" w:hAnsiTheme="minorHAnsi" w:cstheme="minorBidi"/>
          <w:szCs w:val="22"/>
        </w:rPr>
      </w:pPr>
      <w:r>
        <w:t>97.</w:t>
      </w:r>
      <w:r>
        <w:tab/>
        <w:t>Bodies corporate or employers, conduct on behalf of</w:t>
      </w:r>
      <w:r>
        <w:tab/>
      </w:r>
      <w:r>
        <w:fldChar w:fldCharType="begin"/>
      </w:r>
      <w:r>
        <w:instrText xml:space="preserve"> PAGEREF _Toc118300124 \h </w:instrText>
      </w:r>
      <w:r>
        <w:fldChar w:fldCharType="separate"/>
      </w:r>
      <w:r>
        <w:t>87</w:t>
      </w:r>
      <w:r>
        <w:fldChar w:fldCharType="end"/>
      </w:r>
    </w:p>
    <w:p>
      <w:pPr>
        <w:pStyle w:val="TOC8"/>
        <w:rPr>
          <w:rFonts w:asciiTheme="minorHAnsi" w:eastAsiaTheme="minorEastAsia" w:hAnsiTheme="minorHAnsi" w:cstheme="minorBidi"/>
          <w:szCs w:val="22"/>
        </w:rPr>
      </w:pPr>
      <w:r>
        <w:t>98.</w:t>
      </w:r>
      <w:r>
        <w:tab/>
        <w:t>Body corporate’s officers, liability of</w:t>
      </w:r>
      <w:r>
        <w:tab/>
      </w:r>
      <w:r>
        <w:fldChar w:fldCharType="begin"/>
      </w:r>
      <w:r>
        <w:instrText xml:space="preserve"> PAGEREF _Toc118300125 \h </w:instrText>
      </w:r>
      <w:r>
        <w:fldChar w:fldCharType="separate"/>
      </w:r>
      <w:r>
        <w:t>88</w:t>
      </w:r>
      <w:r>
        <w:fldChar w:fldCharType="end"/>
      </w:r>
    </w:p>
    <w:p>
      <w:pPr>
        <w:pStyle w:val="TOC8"/>
        <w:rPr>
          <w:rFonts w:asciiTheme="minorHAnsi" w:eastAsiaTheme="minorEastAsia" w:hAnsiTheme="minorHAnsi" w:cstheme="minorBidi"/>
          <w:szCs w:val="22"/>
        </w:rPr>
      </w:pPr>
      <w:r>
        <w:t>99.</w:t>
      </w:r>
      <w:r>
        <w:tab/>
        <w:t>Evidentiary matters</w:t>
      </w:r>
      <w:r>
        <w:tab/>
      </w:r>
      <w:r>
        <w:fldChar w:fldCharType="begin"/>
      </w:r>
      <w:r>
        <w:instrText xml:space="preserve"> PAGEREF _Toc118300126 \h </w:instrText>
      </w:r>
      <w:r>
        <w:fldChar w:fldCharType="separate"/>
      </w:r>
      <w:r>
        <w:t>89</w:t>
      </w:r>
      <w:r>
        <w:fldChar w:fldCharType="end"/>
      </w:r>
    </w:p>
    <w:p>
      <w:pPr>
        <w:pStyle w:val="TOC8"/>
        <w:rPr>
          <w:rFonts w:asciiTheme="minorHAnsi" w:eastAsiaTheme="minorEastAsia" w:hAnsiTheme="minorHAnsi" w:cstheme="minorBidi"/>
          <w:szCs w:val="22"/>
        </w:rPr>
      </w:pPr>
      <w:r>
        <w:t>100.</w:t>
      </w:r>
      <w:r>
        <w:tab/>
        <w:t>Protection from liability</w:t>
      </w:r>
      <w:r>
        <w:tab/>
      </w:r>
      <w:r>
        <w:fldChar w:fldCharType="begin"/>
      </w:r>
      <w:r>
        <w:instrText xml:space="preserve"> PAGEREF _Toc118300127 \h </w:instrText>
      </w:r>
      <w:r>
        <w:fldChar w:fldCharType="separate"/>
      </w:r>
      <w:r>
        <w:t>90</w:t>
      </w:r>
      <w:r>
        <w:fldChar w:fldCharType="end"/>
      </w:r>
    </w:p>
    <w:p>
      <w:pPr>
        <w:pStyle w:val="TOC8"/>
        <w:rPr>
          <w:rFonts w:asciiTheme="minorHAnsi" w:eastAsiaTheme="minorEastAsia" w:hAnsiTheme="minorHAnsi" w:cstheme="minorBidi"/>
          <w:szCs w:val="22"/>
        </w:rPr>
      </w:pPr>
      <w:r>
        <w:t>101.</w:t>
      </w:r>
      <w:r>
        <w:tab/>
        <w:t>Regulations as to compensation of volunteers</w:t>
      </w:r>
      <w:r>
        <w:tab/>
      </w:r>
      <w:r>
        <w:fldChar w:fldCharType="begin"/>
      </w:r>
      <w:r>
        <w:instrText xml:space="preserve"> PAGEREF _Toc118300128 \h </w:instrText>
      </w:r>
      <w:r>
        <w:fldChar w:fldCharType="separate"/>
      </w:r>
      <w:r>
        <w:t>91</w:t>
      </w:r>
      <w:r>
        <w:fldChar w:fldCharType="end"/>
      </w:r>
    </w:p>
    <w:p>
      <w:pPr>
        <w:pStyle w:val="TOC8"/>
        <w:rPr>
          <w:rFonts w:asciiTheme="minorHAnsi" w:eastAsiaTheme="minorEastAsia" w:hAnsiTheme="minorHAnsi" w:cstheme="minorBidi"/>
          <w:szCs w:val="22"/>
        </w:rPr>
      </w:pPr>
      <w:r>
        <w:t>102.</w:t>
      </w:r>
      <w:r>
        <w:tab/>
        <w:t>Regulations</w:t>
      </w:r>
      <w:r>
        <w:tab/>
      </w:r>
      <w:r>
        <w:fldChar w:fldCharType="begin"/>
      </w:r>
      <w:r>
        <w:instrText xml:space="preserve"> PAGEREF _Toc118300129 \h </w:instrText>
      </w:r>
      <w:r>
        <w:fldChar w:fldCharType="separate"/>
      </w:r>
      <w:r>
        <w:t>93</w:t>
      </w:r>
      <w:r>
        <w:fldChar w:fldCharType="end"/>
      </w:r>
    </w:p>
    <w:p>
      <w:pPr>
        <w:pStyle w:val="TOC8"/>
        <w:rPr>
          <w:rFonts w:asciiTheme="minorHAnsi" w:eastAsiaTheme="minorEastAsia" w:hAnsiTheme="minorHAnsi" w:cstheme="minorBidi"/>
          <w:szCs w:val="22"/>
        </w:rPr>
      </w:pPr>
      <w:r>
        <w:t>103.</w:t>
      </w:r>
      <w:r>
        <w:tab/>
        <w:t>Review of Act</w:t>
      </w:r>
      <w:r>
        <w:tab/>
      </w:r>
      <w:r>
        <w:fldChar w:fldCharType="begin"/>
      </w:r>
      <w:r>
        <w:instrText xml:space="preserve"> PAGEREF _Toc118300130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_Toc118300132 \h </w:instrText>
      </w:r>
      <w:r>
        <w:fldChar w:fldCharType="separate"/>
      </w:r>
      <w:r>
        <w:t>95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_Toc118300133 \h </w:instrText>
      </w:r>
      <w:r>
        <w:fldChar w:fldCharType="separate"/>
      </w:r>
      <w:r>
        <w:t>96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_Toc118300134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Emergency Management Act 2005</w:t>
      </w:r>
    </w:p>
    <w:p>
      <w:pPr>
        <w:pStyle w:val="LongTitle"/>
        <w:suppressLineNumbers/>
        <w:rPr>
          <w:snapToGrid w:val="0"/>
        </w:rPr>
      </w:pPr>
      <w:r>
        <w:rPr>
          <w:snapToGrid w:val="0"/>
        </w:rPr>
        <w:t xml:space="preserve">An Act to provide for prompt and coordinated organisation of emergency management </w:t>
      </w:r>
      <w:r>
        <w:t>and the management of COVID</w:t>
      </w:r>
      <w:r>
        <w:noBreakHyphen/>
        <w:t xml:space="preserve">19 </w:t>
      </w:r>
      <w:r>
        <w:rPr>
          <w:snapToGrid w:val="0"/>
        </w:rPr>
        <w:t>in the State, and for related purposes.</w:t>
      </w:r>
    </w:p>
    <w:p>
      <w:pPr>
        <w:pStyle w:val="Footnotelongtitle"/>
      </w:pPr>
      <w:r>
        <w:tab/>
        <w:t>[Long title amended: No. 33 of 2022 s. 4.]</w:t>
      </w:r>
    </w:p>
    <w:p>
      <w:pPr>
        <w:pStyle w:val="Heading2"/>
        <w:spacing w:before="240"/>
      </w:pPr>
      <w:bookmarkStart w:id="3" w:name="_Toc117777609"/>
      <w:bookmarkStart w:id="4" w:name="_Toc117779293"/>
      <w:bookmarkStart w:id="5" w:name="_Toc117845215"/>
      <w:bookmarkStart w:id="6" w:name="_Toc118299601"/>
      <w:bookmarkStart w:id="7" w:name="_Toc118299965"/>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118299966"/>
      <w:r>
        <w:rPr>
          <w:rStyle w:val="CharSectno"/>
        </w:rPr>
        <w:t>1</w:t>
      </w:r>
      <w:r>
        <w:rPr>
          <w:snapToGrid w:val="0"/>
        </w:rPr>
        <w:t>.</w:t>
      </w:r>
      <w:r>
        <w:rPr>
          <w:snapToGrid w:val="0"/>
        </w:rPr>
        <w:tab/>
        <w:t>Short title</w:t>
      </w:r>
      <w:bookmarkEnd w:id="8"/>
    </w:p>
    <w:p>
      <w:pPr>
        <w:pStyle w:val="Subsection"/>
      </w:pPr>
      <w:r>
        <w:rPr>
          <w:snapToGrid w:val="0"/>
        </w:rPr>
        <w:tab/>
      </w:r>
      <w:r>
        <w:rPr>
          <w:snapToGrid w:val="0"/>
        </w:rPr>
        <w:tab/>
      </w:r>
      <w:r>
        <w:t>This</w:t>
      </w:r>
      <w:r>
        <w:rPr>
          <w:snapToGrid w:val="0"/>
        </w:rPr>
        <w:t xml:space="preserve"> is the</w:t>
      </w:r>
      <w:r>
        <w:rPr>
          <w:i/>
          <w:snapToGrid w:val="0"/>
        </w:rPr>
        <w:t xml:space="preserve"> Emergency Management Act 2005</w:t>
      </w:r>
      <w:r>
        <w:rPr>
          <w:snapToGrid w:val="0"/>
        </w:rPr>
        <w:t xml:space="preserve">. </w:t>
      </w:r>
    </w:p>
    <w:p>
      <w:pPr>
        <w:pStyle w:val="Heading5"/>
      </w:pPr>
      <w:bookmarkStart w:id="9" w:name="_Toc118299967"/>
      <w:r>
        <w:rPr>
          <w:rStyle w:val="CharSectno"/>
        </w:rPr>
        <w:t>2</w:t>
      </w:r>
      <w:r>
        <w:t>.</w:t>
      </w:r>
      <w:r>
        <w:tab/>
        <w:t>Commencement</w:t>
      </w:r>
      <w:bookmarkEnd w:id="9"/>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0" w:name="_Toc118299968"/>
      <w:r>
        <w:rPr>
          <w:rStyle w:val="CharSectno"/>
        </w:rPr>
        <w:t>3</w:t>
      </w:r>
      <w:r>
        <w:t>.</w:t>
      </w:r>
      <w:r>
        <w:tab/>
        <w:t>Terms used</w:t>
      </w:r>
      <w:bookmarkEnd w:id="10"/>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 </w:t>
      </w:r>
    </w:p>
    <w:p>
      <w:pPr>
        <w:pStyle w:val="Defpara"/>
      </w:pPr>
      <w:r>
        <w:tab/>
        <w:t>(a)</w:t>
      </w:r>
      <w:r>
        <w:tab/>
        <w:t>the State Emergency Coordinator; and</w:t>
      </w:r>
    </w:p>
    <w:p>
      <w:pPr>
        <w:pStyle w:val="Defpara"/>
      </w:pPr>
      <w:r>
        <w:tab/>
        <w:t>(b)</w:t>
      </w:r>
      <w:r>
        <w:tab/>
        <w:t>a person authorised under section 61;</w:t>
      </w:r>
    </w:p>
    <w:p>
      <w:pPr>
        <w:pStyle w:val="Defstart"/>
      </w:pPr>
      <w:r>
        <w:rPr>
          <w:b/>
        </w:rPr>
        <w:tab/>
      </w:r>
      <w:r>
        <w:rPr>
          <w:rStyle w:val="CharDefText"/>
        </w:rPr>
        <w:t>combat agency</w:t>
      </w:r>
      <w:r>
        <w:t xml:space="preserve"> has the meaning given by section 6(1);</w:t>
      </w:r>
    </w:p>
    <w:p>
      <w:pPr>
        <w:pStyle w:val="Defstart"/>
      </w:pPr>
      <w:r>
        <w:tab/>
      </w:r>
      <w:r>
        <w:rPr>
          <w:rStyle w:val="CharDefText"/>
        </w:rPr>
        <w:t>district emergency management committee</w:t>
      </w:r>
      <w:r>
        <w:t xml:space="preserve"> means a district emergency management committee established under section 31(1);</w:t>
      </w:r>
    </w:p>
    <w:p>
      <w:pPr>
        <w:pStyle w:val="Defstart"/>
      </w:pPr>
      <w:r>
        <w:rPr>
          <w:b/>
        </w:rPr>
        <w:tab/>
      </w:r>
      <w:r>
        <w:rPr>
          <w:rStyle w:val="CharDefText"/>
        </w:rPr>
        <w:t>emergency</w:t>
      </w:r>
      <w:r>
        <w:t xml:space="preserve"> means the occurrence or imminent occurrence of a hazard which is of such a nature or magnitude that it requires a significant and coordinated response;</w:t>
      </w:r>
    </w:p>
    <w:p>
      <w:pPr>
        <w:pStyle w:val="Defstart"/>
      </w:pPr>
      <w:r>
        <w:rPr>
          <w:b/>
        </w:rPr>
        <w:tab/>
      </w:r>
      <w:r>
        <w:rPr>
          <w:rStyle w:val="CharDefText"/>
        </w:rPr>
        <w:t>emergency area</w:t>
      </w:r>
      <w:r>
        <w:t xml:space="preserve"> means the area to which an emergency situation declaration or a state of emergency declaration applies;</w:t>
      </w:r>
    </w:p>
    <w:p>
      <w:pPr>
        <w:pStyle w:val="Defstart"/>
      </w:pPr>
      <w:r>
        <w:rPr>
          <w:b/>
        </w:rPr>
        <w:tab/>
      </w:r>
      <w:r>
        <w:rPr>
          <w:rStyle w:val="CharDefText"/>
        </w:rPr>
        <w:t>emergency management</w:t>
      </w:r>
      <w:r>
        <w:t xml:space="preserve"> means the management of the adverse effects of an emergency including — </w:t>
      </w:r>
    </w:p>
    <w:p>
      <w:pPr>
        <w:pStyle w:val="Defpara"/>
      </w:pPr>
      <w:r>
        <w:tab/>
        <w:t>(a)</w:t>
      </w:r>
      <w:r>
        <w:tab/>
        <w:t>prevention — the mitigation or prevention of the probability of the occurrence of, and the potential adverse effects of, an emergency; and</w:t>
      </w:r>
    </w:p>
    <w:p>
      <w:pPr>
        <w:pStyle w:val="Defpara"/>
      </w:pPr>
      <w:r>
        <w:tab/>
        <w:t>(b)</w:t>
      </w:r>
      <w:r>
        <w:tab/>
        <w:t>preparedness — preparation for response to an emergency; and</w:t>
      </w:r>
    </w:p>
    <w:p>
      <w:pPr>
        <w:pStyle w:val="Defpara"/>
      </w:pPr>
      <w:r>
        <w:lastRenderedPageBreak/>
        <w:tab/>
        <w:t>(c)</w:t>
      </w:r>
      <w:r>
        <w:tab/>
        <w:t>response — the combating of the effects of an emergency, provision of emergency assistance for casualties, reduction of further damage, and help to speed recovery; and</w:t>
      </w:r>
    </w:p>
    <w:p>
      <w:pPr>
        <w:pStyle w:val="Defpara"/>
      </w:pPr>
      <w:r>
        <w:tab/>
        <w:t>(d)</w:t>
      </w:r>
      <w:r>
        <w:tab/>
        <w:t>recovery — the support of emergency affected communities in the reconstruction and restoration of physical infrastructure, the environment and community, psychosocial and economic wellbeing;</w:t>
      </w:r>
    </w:p>
    <w:p>
      <w:pPr>
        <w:pStyle w:val="Defstart"/>
      </w:pPr>
      <w:r>
        <w:rPr>
          <w:b/>
        </w:rPr>
        <w:tab/>
      </w:r>
      <w:r>
        <w:rPr>
          <w:rStyle w:val="CharDefText"/>
        </w:rPr>
        <w:t>emergency management agency</w:t>
      </w:r>
      <w:r>
        <w:t xml:space="preserve"> means a hazard management agency, a combat agency or a support organisation;</w:t>
      </w:r>
    </w:p>
    <w:p>
      <w:pPr>
        <w:pStyle w:val="Defstart"/>
      </w:pPr>
      <w:r>
        <w:rPr>
          <w:b/>
        </w:rPr>
        <w:tab/>
      </w:r>
      <w:r>
        <w:rPr>
          <w:rStyle w:val="CharDefText"/>
        </w:rPr>
        <w:t>emergency management district</w:t>
      </w:r>
      <w:r>
        <w:t xml:space="preserve"> means an emergency management district established under section 28;</w:t>
      </w:r>
    </w:p>
    <w:p>
      <w:pPr>
        <w:pStyle w:val="Defstart"/>
      </w:pPr>
      <w:r>
        <w:rPr>
          <w:b/>
        </w:rPr>
        <w:tab/>
      </w:r>
      <w:r>
        <w:rPr>
          <w:rStyle w:val="CharDefText"/>
        </w:rPr>
        <w:t>emergency situation</w:t>
      </w:r>
      <w:r>
        <w:t xml:space="preserve"> means an emergency situation declared under section 50;</w:t>
      </w:r>
    </w:p>
    <w:p>
      <w:pPr>
        <w:pStyle w:val="Defstart"/>
      </w:pPr>
      <w:r>
        <w:rPr>
          <w:b/>
        </w:rPr>
        <w:tab/>
      </w:r>
      <w:r>
        <w:rPr>
          <w:rStyle w:val="CharDefText"/>
        </w:rPr>
        <w:t>emergency situation declaration</w:t>
      </w:r>
      <w:r>
        <w:t xml:space="preserve"> means a declaration made under section 50;</w:t>
      </w:r>
    </w:p>
    <w:p>
      <w:pPr>
        <w:pStyle w:val="Defstart"/>
      </w:pPr>
      <w:r>
        <w:rPr>
          <w:b/>
        </w:rPr>
        <w:tab/>
      </w:r>
      <w:r>
        <w:rPr>
          <w:rStyle w:val="CharDefText"/>
        </w:rPr>
        <w:t>hazard</w:t>
      </w:r>
      <w:r>
        <w:t xml:space="preserve"> means — </w:t>
      </w:r>
    </w:p>
    <w:p>
      <w:pPr>
        <w:pStyle w:val="Defpara"/>
      </w:pPr>
      <w:r>
        <w:tab/>
        <w:t>(a)</w:t>
      </w:r>
      <w:r>
        <w:tab/>
        <w:t>a cyclone, earthquake, flood, storm, tsunami or other natural event;</w:t>
      </w:r>
    </w:p>
    <w:p>
      <w:pPr>
        <w:pStyle w:val="Defpara"/>
      </w:pPr>
      <w:r>
        <w:tab/>
        <w:t>(b)</w:t>
      </w:r>
      <w:r>
        <w:tab/>
        <w:t>a fire;</w:t>
      </w:r>
    </w:p>
    <w:p>
      <w:pPr>
        <w:pStyle w:val="Defpara"/>
      </w:pPr>
      <w:r>
        <w:tab/>
        <w:t>(c)</w:t>
      </w:r>
      <w:r>
        <w:tab/>
        <w:t>a road, rail or air crash;</w:t>
      </w:r>
    </w:p>
    <w:p>
      <w:pPr>
        <w:pStyle w:val="Defpara"/>
      </w:pPr>
      <w:r>
        <w:tab/>
        <w:t>(d)</w:t>
      </w:r>
      <w:r>
        <w:tab/>
        <w:t>a plague or an epidemic;</w:t>
      </w:r>
    </w:p>
    <w:p>
      <w:pPr>
        <w:pStyle w:val="Defpara"/>
      </w:pPr>
      <w:r>
        <w:tab/>
        <w:t>(e)</w:t>
      </w:r>
      <w:r>
        <w:tab/>
        <w:t xml:space="preserve">a terrorist act as defined in </w:t>
      </w:r>
      <w:r>
        <w:rPr>
          <w:i/>
        </w:rPr>
        <w:t>The Criminal Code</w:t>
      </w:r>
      <w:r>
        <w:t xml:space="preserve"> section 100.1 set out in the Schedule to the </w:t>
      </w:r>
      <w:r>
        <w:rPr>
          <w:i/>
        </w:rPr>
        <w:t>Criminal Code Act 1995</w:t>
      </w:r>
      <w:r>
        <w:t xml:space="preserve"> of the Commonwealth;</w:t>
      </w:r>
    </w:p>
    <w:p>
      <w:pPr>
        <w:pStyle w:val="Defpara"/>
      </w:pPr>
      <w:r>
        <w:tab/>
        <w:t>(f)</w:t>
      </w:r>
      <w:r>
        <w:tab/>
        <w:t xml:space="preserve">any other event, situation or condition that is capable of causing or resulting in — </w:t>
      </w:r>
    </w:p>
    <w:p>
      <w:pPr>
        <w:pStyle w:val="Defsubpara"/>
      </w:pPr>
      <w:r>
        <w:tab/>
        <w:t>(i)</w:t>
      </w:r>
      <w:r>
        <w:tab/>
        <w:t>loss of life, prejudice to the safety, or harm to the health, of persons or animals; or</w:t>
      </w:r>
    </w:p>
    <w:p>
      <w:pPr>
        <w:pStyle w:val="Defsubpara"/>
        <w:keepNext/>
      </w:pPr>
      <w:r>
        <w:tab/>
        <w:t>(ii)</w:t>
      </w:r>
      <w:r>
        <w:tab/>
        <w:t>destruction of, or damage to, property or any part of the environment,</w:t>
      </w:r>
    </w:p>
    <w:p>
      <w:pPr>
        <w:pStyle w:val="Defpara"/>
      </w:pPr>
      <w:r>
        <w:tab/>
      </w:r>
      <w:r>
        <w:tab/>
        <w:t>and is prescribed by the regulations;</w:t>
      </w:r>
    </w:p>
    <w:p>
      <w:pPr>
        <w:pStyle w:val="Defstart"/>
      </w:pPr>
      <w:r>
        <w:rPr>
          <w:b/>
        </w:rPr>
        <w:lastRenderedPageBreak/>
        <w:tab/>
      </w:r>
      <w:r>
        <w:rPr>
          <w:rStyle w:val="CharDefText"/>
        </w:rPr>
        <w:t>hazard management agency</w:t>
      </w:r>
      <w:r>
        <w:t xml:space="preserve"> has the meaning given by section 4;</w:t>
      </w:r>
    </w:p>
    <w:p>
      <w:pPr>
        <w:pStyle w:val="Defstart"/>
      </w:pPr>
      <w:r>
        <w:rPr>
          <w:b/>
        </w:rPr>
        <w:tab/>
      </w:r>
      <w:r>
        <w:rPr>
          <w:rStyle w:val="CharDefText"/>
        </w:rPr>
        <w:t>hazard management officer</w:t>
      </w:r>
      <w:r>
        <w:t xml:space="preserve"> means a person authorised under section 55;</w:t>
      </w:r>
    </w:p>
    <w:p>
      <w:pPr>
        <w:pStyle w:val="Defstart"/>
      </w:pPr>
      <w:r>
        <w:rPr>
          <w:b/>
        </w:rPr>
        <w:tab/>
      </w:r>
      <w:r>
        <w:rPr>
          <w:rStyle w:val="CharDefText"/>
        </w:rPr>
        <w:t>hazardous substance</w:t>
      </w:r>
      <w:r>
        <w:t xml:space="preserve"> means — </w:t>
      </w:r>
    </w:p>
    <w:p>
      <w:pPr>
        <w:pStyle w:val="Defpara"/>
      </w:pPr>
      <w:r>
        <w:tab/>
        <w:t>(a)</w:t>
      </w:r>
      <w:r>
        <w:tab/>
        <w:t>a chemical, biological or radiological substance; or</w:t>
      </w:r>
    </w:p>
    <w:p>
      <w:pPr>
        <w:pStyle w:val="Defpara"/>
      </w:pPr>
      <w:r>
        <w:tab/>
        <w:t>(b)</w:t>
      </w:r>
      <w:r>
        <w:tab/>
        <w:t>any other substance,</w:t>
      </w:r>
    </w:p>
    <w:p>
      <w:pPr>
        <w:pStyle w:val="Defstart"/>
      </w:pPr>
      <w:r>
        <w:tab/>
        <w:t>that is capable of causing loss of life, injury to a person, or damage to the health of a person or to the environment;</w:t>
      </w:r>
    </w:p>
    <w:p>
      <w:pPr>
        <w:pStyle w:val="Defstart"/>
      </w:pPr>
      <w:r>
        <w:rPr>
          <w:b/>
        </w:rPr>
        <w:tab/>
      </w:r>
      <w:r>
        <w:rPr>
          <w:rStyle w:val="CharDefText"/>
        </w:rPr>
        <w:t>local emergency coordinator</w:t>
      </w:r>
      <w:r>
        <w:t xml:space="preserve"> means a local emergency coordinator appointed under section 37;</w:t>
      </w:r>
    </w:p>
    <w:p>
      <w:pPr>
        <w:pStyle w:val="Defstart"/>
      </w:pPr>
      <w:r>
        <w:tab/>
      </w:r>
      <w:r>
        <w:rPr>
          <w:rStyle w:val="CharDefText"/>
        </w:rPr>
        <w:t>local emergency management committee</w:t>
      </w:r>
      <w:r>
        <w:t xml:space="preserve"> means a committee established under section 38;</w:t>
      </w:r>
    </w:p>
    <w:p>
      <w:pPr>
        <w:pStyle w:val="Defstart"/>
      </w:pPr>
      <w:r>
        <w:rPr>
          <w:b/>
        </w:rPr>
        <w:tab/>
      </w:r>
      <w:r>
        <w:rPr>
          <w:rStyle w:val="CharDefText"/>
        </w:rPr>
        <w:t>local government district</w:t>
      </w:r>
      <w:r>
        <w:t xml:space="preserve"> — </w:t>
      </w:r>
    </w:p>
    <w:p>
      <w:pPr>
        <w:pStyle w:val="Defpara"/>
      </w:pPr>
      <w:r>
        <w:tab/>
        <w:t>(a)</w:t>
      </w:r>
      <w:r>
        <w:tab/>
        <w:t xml:space="preserve">has the meaning given to “district” by the </w:t>
      </w:r>
      <w:r>
        <w:rPr>
          <w:i/>
        </w:rPr>
        <w:t>Local Government Act 1995</w:t>
      </w:r>
      <w:r>
        <w:t>; and</w:t>
      </w:r>
    </w:p>
    <w:p>
      <w:pPr>
        <w:pStyle w:val="Defpara"/>
      </w:pPr>
      <w:r>
        <w:tab/>
        <w:t>(b)</w:t>
      </w:r>
      <w:r>
        <w:tab/>
        <w:t xml:space="preserve">in relation to a local government, means the district established for the local government under the </w:t>
      </w:r>
      <w:r>
        <w:rPr>
          <w:i/>
        </w:rPr>
        <w:t>Local Government Act 1995</w:t>
      </w:r>
      <w:r>
        <w:t>;</w:t>
      </w:r>
    </w:p>
    <w:p>
      <w:pPr>
        <w:pStyle w:val="Defstart"/>
      </w:pPr>
      <w:r>
        <w:rPr>
          <w:b/>
        </w:rPr>
        <w:tab/>
      </w:r>
      <w:r>
        <w:rPr>
          <w:rStyle w:val="CharDefText"/>
        </w:rPr>
        <w:t>occupier</w:t>
      </w:r>
      <w:r>
        <w:t xml:space="preserve"> has the meaning given to that term in the </w:t>
      </w:r>
      <w:r>
        <w:rPr>
          <w:i/>
        </w:rPr>
        <w:t>Local Government Act 1995</w:t>
      </w:r>
      <w:r>
        <w:t>;</w:t>
      </w:r>
    </w:p>
    <w:p>
      <w:pPr>
        <w:pStyle w:val="Defstart"/>
      </w:pPr>
      <w:r>
        <w:rPr>
          <w:b/>
        </w:rPr>
        <w:tab/>
      </w:r>
      <w:r>
        <w:rPr>
          <w:rStyle w:val="CharDefText"/>
        </w:rPr>
        <w:t>owner</w:t>
      </w:r>
      <w:r>
        <w:t xml:space="preserve"> has the meaning given to that term in the </w:t>
      </w:r>
      <w:r>
        <w:rPr>
          <w:i/>
        </w:rPr>
        <w:t>Local Government Act 1995</w:t>
      </w:r>
      <w:r>
        <w:t>;</w:t>
      </w:r>
    </w:p>
    <w:p>
      <w:pPr>
        <w:pStyle w:val="Defstart"/>
      </w:pPr>
      <w:r>
        <w:rPr>
          <w:b/>
        </w:rP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of where the person is living; and</w:t>
      </w:r>
    </w:p>
    <w:p>
      <w:pPr>
        <w:pStyle w:val="Defpara"/>
      </w:pPr>
      <w:r>
        <w:tab/>
        <w:t>(d)</w:t>
      </w:r>
      <w:r>
        <w:tab/>
        <w:t>the address of where the person usually lives;</w:t>
      </w:r>
    </w:p>
    <w:p>
      <w:pPr>
        <w:pStyle w:val="Defstart"/>
      </w:pPr>
      <w:r>
        <w:rPr>
          <w:b/>
        </w:rPr>
        <w:tab/>
      </w:r>
      <w:r>
        <w:rPr>
          <w:rStyle w:val="CharDefText"/>
        </w:rPr>
        <w:t>place</w:t>
      </w:r>
      <w:r>
        <w:t xml:space="preserve"> includes land, area of water or premises;</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lastRenderedPageBreak/>
        <w:tab/>
      </w:r>
      <w:r>
        <w:rPr>
          <w:rStyle w:val="CharDefText"/>
        </w:rPr>
        <w:t>property</w:t>
      </w:r>
      <w:r>
        <w:t xml:space="preserve"> means real or personal property of any description;</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regional local government or regional subsidiary; or</w:t>
      </w:r>
    </w:p>
    <w:p>
      <w:pPr>
        <w:pStyle w:val="Defpara"/>
      </w:pPr>
      <w:r>
        <w:tab/>
        <w:t>(d)</w:t>
      </w:r>
      <w:r>
        <w:tab/>
        <w:t>the Police Force of Western Australia; or</w:t>
      </w:r>
    </w:p>
    <w:p>
      <w:pPr>
        <w:pStyle w:val="Defpara"/>
      </w:pPr>
      <w:r>
        <w:tab/>
        <w:t>(e)</w:t>
      </w:r>
      <w:r>
        <w:tab/>
        <w:t>a member or officer of a body referred to in paragraph (a), (b), (c) or (d); or</w:t>
      </w:r>
    </w:p>
    <w:p>
      <w:pPr>
        <w:pStyle w:val="Defpara"/>
      </w:pPr>
      <w:r>
        <w:tab/>
        <w:t>(f)</w:t>
      </w:r>
      <w:r>
        <w:tab/>
        <w:t>a person or body prescribed (or of a class prescribed) by the regulations as a public authority for the purposes of this definition;</w:t>
      </w:r>
    </w:p>
    <w:p>
      <w:pPr>
        <w:pStyle w:val="Defstart"/>
      </w:pPr>
      <w:r>
        <w:rPr>
          <w:b/>
        </w:rPr>
        <w:tab/>
      </w:r>
      <w:r>
        <w:rPr>
          <w:rStyle w:val="CharDefText"/>
        </w:rPr>
        <w:t>recovery</w:t>
      </w:r>
      <w:r>
        <w:t xml:space="preserve"> has the meaning given in paragraph (d) of the definition of </w:t>
      </w:r>
      <w:r>
        <w:rPr>
          <w:b/>
          <w:i/>
        </w:rPr>
        <w:t>emergency management</w:t>
      </w:r>
      <w:r>
        <w:t>;</w:t>
      </w:r>
    </w:p>
    <w:p>
      <w:pPr>
        <w:pStyle w:val="Defstart"/>
      </w:pPr>
      <w:r>
        <w:tab/>
      </w:r>
      <w:r>
        <w:rPr>
          <w:rStyle w:val="CharDefText"/>
        </w:rPr>
        <w:t>SEMC</w:t>
      </w:r>
      <w:r>
        <w:t xml:space="preserve"> means the State Emergency Management Committee established under section 13;</w:t>
      </w:r>
    </w:p>
    <w:p>
      <w:pPr>
        <w:pStyle w:val="Defstart"/>
      </w:pPr>
      <w:r>
        <w:rPr>
          <w:b/>
        </w:rPr>
        <w:tab/>
      </w:r>
      <w:r>
        <w:rPr>
          <w:rStyle w:val="CharDefText"/>
        </w:rPr>
        <w:t>State Disaster Council</w:t>
      </w:r>
      <w:r>
        <w:t xml:space="preserve"> means the State Disaster Council established under section 63;</w:t>
      </w:r>
    </w:p>
    <w:p>
      <w:pPr>
        <w:pStyle w:val="Defstart"/>
      </w:pPr>
      <w:r>
        <w:tab/>
      </w:r>
      <w:r>
        <w:rPr>
          <w:rStyle w:val="CharDefText"/>
        </w:rPr>
        <w:t>State Emergency Coordination Group</w:t>
      </w:r>
      <w:r>
        <w:t xml:space="preserve"> means the State Emergency Coordination Group established under section 26;</w:t>
      </w:r>
    </w:p>
    <w:p>
      <w:pPr>
        <w:pStyle w:val="Defstart"/>
      </w:pPr>
      <w:r>
        <w:rPr>
          <w:b/>
        </w:rPr>
        <w:tab/>
      </w:r>
      <w:r>
        <w:rPr>
          <w:rStyle w:val="CharDefText"/>
        </w:rPr>
        <w:t>State Emergency Coordinator</w:t>
      </w:r>
      <w:r>
        <w:t xml:space="preserve"> means the person holding the office referred to in section 10;</w:t>
      </w:r>
    </w:p>
    <w:p>
      <w:pPr>
        <w:pStyle w:val="Defstart"/>
      </w:pPr>
      <w:r>
        <w:rPr>
          <w:b/>
        </w:rPr>
        <w:tab/>
      </w:r>
      <w:r>
        <w:rPr>
          <w:rStyle w:val="CharDefText"/>
        </w:rPr>
        <w:t>State emergency management plan</w:t>
      </w:r>
      <w:r>
        <w:t xml:space="preserve"> means a plan prepared under section 18;</w:t>
      </w:r>
    </w:p>
    <w:p>
      <w:pPr>
        <w:pStyle w:val="Defstart"/>
      </w:pPr>
      <w:r>
        <w:rPr>
          <w:b/>
        </w:rPr>
        <w:tab/>
      </w:r>
      <w:r>
        <w:rPr>
          <w:rStyle w:val="CharDefText"/>
        </w:rPr>
        <w:t>State emergency management policy</w:t>
      </w:r>
      <w:r>
        <w:t xml:space="preserve"> means a policy prepared under section 17;</w:t>
      </w:r>
    </w:p>
    <w:p>
      <w:pPr>
        <w:pStyle w:val="Defstart"/>
      </w:pPr>
      <w:r>
        <w:rPr>
          <w:b/>
        </w:rPr>
        <w:tab/>
      </w:r>
      <w:r>
        <w:rPr>
          <w:rStyle w:val="CharDefText"/>
        </w:rPr>
        <w:t>state of emergency</w:t>
      </w:r>
      <w:r>
        <w:t xml:space="preserve"> means a state of emergency declared under section 56;</w:t>
      </w:r>
    </w:p>
    <w:p>
      <w:pPr>
        <w:pStyle w:val="Defstart"/>
      </w:pPr>
      <w:r>
        <w:rPr>
          <w:b/>
        </w:rPr>
        <w:tab/>
      </w:r>
      <w:r>
        <w:rPr>
          <w:rStyle w:val="CharDefText"/>
        </w:rPr>
        <w:t>state of emergency declaration</w:t>
      </w:r>
      <w:r>
        <w:t xml:space="preserve"> means a declaration made under section 56;</w:t>
      </w:r>
    </w:p>
    <w:p>
      <w:pPr>
        <w:pStyle w:val="Defstart"/>
      </w:pPr>
      <w:r>
        <w:rPr>
          <w:b/>
        </w:rPr>
        <w:lastRenderedPageBreak/>
        <w:tab/>
      </w:r>
      <w:r>
        <w:rPr>
          <w:rStyle w:val="CharDefText"/>
        </w:rPr>
        <w:t>support organisation</w:t>
      </w:r>
      <w:r>
        <w:t xml:space="preserve"> has the meaning given by section 6(3);</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Footnotesection"/>
      </w:pPr>
      <w:r>
        <w:tab/>
        <w:t>[Section 3 amended: No. 26 of 2016 s. 52.]</w:t>
      </w:r>
    </w:p>
    <w:p>
      <w:pPr>
        <w:pStyle w:val="Heading5"/>
      </w:pPr>
      <w:bookmarkStart w:id="11" w:name="_Toc118299969"/>
      <w:r>
        <w:rPr>
          <w:rStyle w:val="CharSectno"/>
        </w:rPr>
        <w:t>4</w:t>
      </w:r>
      <w:r>
        <w:t>.</w:t>
      </w:r>
      <w:r>
        <w:tab/>
        <w:t>Hazard management agencies may be prescribed</w:t>
      </w:r>
      <w:bookmarkEnd w:id="11"/>
    </w:p>
    <w:p>
      <w:pPr>
        <w:pStyle w:val="Subsection"/>
        <w:spacing w:before="120"/>
      </w:pPr>
      <w:r>
        <w:tab/>
        <w:t>(1)</w:t>
      </w:r>
      <w:r>
        <w:tab/>
        <w:t>A public authority, or other person, may be prescribed by the regulations to be a hazard management agency for emergency management, or an emergency management aspect prescribed by the regulations, of a hazard prescribed by the regulations.</w:t>
      </w:r>
    </w:p>
    <w:p>
      <w:pPr>
        <w:pStyle w:val="Subsection"/>
      </w:pPr>
      <w:r>
        <w:tab/>
        <w:t>(2)</w:t>
      </w:r>
      <w:r>
        <w:tab/>
        <w:t>The regulations may prescribe the whole of the State, or an area of the State, as the area for which the public authority or person is a hazard management agency.</w:t>
      </w:r>
    </w:p>
    <w:p>
      <w:pPr>
        <w:pStyle w:val="Subsection"/>
        <w:spacing w:before="120"/>
      </w:pPr>
      <w:r>
        <w:tab/>
        <w:t>(3)</w:t>
      </w:r>
      <w:r>
        <w:tab/>
        <w:t>A hazard management agency prescribed under subsection (1) is to be a public authority or other person who or which, because of that agency’s functions under any written law or specialised knowledge, expertise and resources, is responsible for emergency management, or the prescribed emergency management aspect, in the area prescribed of the hazard for which it is prescribed.</w:t>
      </w:r>
    </w:p>
    <w:p>
      <w:pPr>
        <w:pStyle w:val="Subsection"/>
        <w:spacing w:before="120"/>
      </w:pPr>
      <w:r>
        <w:tab/>
        <w:t>(4)</w:t>
      </w:r>
      <w:r>
        <w:tab/>
        <w:t xml:space="preserve">If the hazard management agency is not an individual or a body corporate, the regulations are to designate — </w:t>
      </w:r>
    </w:p>
    <w:p>
      <w:pPr>
        <w:pStyle w:val="Indenta"/>
      </w:pPr>
      <w:r>
        <w:tab/>
        <w:t>(a)</w:t>
      </w:r>
      <w:r>
        <w:tab/>
        <w:t>one or more persons who are authorised to act in the name of the hazard management agency for the purposes of sections 50 and 53; and</w:t>
      </w:r>
    </w:p>
    <w:p>
      <w:pPr>
        <w:pStyle w:val="Indenta"/>
      </w:pPr>
      <w:r>
        <w:tab/>
        <w:t>(b)</w:t>
      </w:r>
      <w:r>
        <w:tab/>
        <w:t>one or more persons who are authorised to act in the name of the hazard management agency for the purposes of authorising under section 55 persons to act as hazard management officers.</w:t>
      </w:r>
    </w:p>
    <w:p>
      <w:pPr>
        <w:pStyle w:val="Subsection"/>
      </w:pPr>
      <w:r>
        <w:tab/>
        <w:t>(5)</w:t>
      </w:r>
      <w:r>
        <w:tab/>
        <w:t>In sections 50, 53 and 55 a reference to a hazard management agency is to be taken to include a reference to a person who is designated to act in the name of a hazard management agency under subsection (4) for the purposes of that section.</w:t>
      </w:r>
    </w:p>
    <w:p>
      <w:pPr>
        <w:pStyle w:val="Heading5"/>
      </w:pPr>
      <w:bookmarkStart w:id="12" w:name="_Toc118299970"/>
      <w:r>
        <w:rPr>
          <w:rStyle w:val="CharSectno"/>
        </w:rPr>
        <w:lastRenderedPageBreak/>
        <w:t>5</w:t>
      </w:r>
      <w:r>
        <w:t>.</w:t>
      </w:r>
      <w:r>
        <w:tab/>
        <w:t>Delegation by hazard management agency</w:t>
      </w:r>
      <w:bookmarkEnd w:id="12"/>
    </w:p>
    <w:p>
      <w:pPr>
        <w:pStyle w:val="Subsection"/>
      </w:pPr>
      <w:r>
        <w:tab/>
        <w:t>(1)</w:t>
      </w:r>
      <w:r>
        <w:tab/>
        <w:t>A hazard management agency, with the approval of the State Emergency Coordinator, may delegate to an officer or employee of the agency any power or duty of the hazard management agency under sections 50, 53 and 55, or any of those sections.</w:t>
      </w:r>
    </w:p>
    <w:p>
      <w:pPr>
        <w:pStyle w:val="Subsection"/>
      </w:pPr>
      <w:r>
        <w:tab/>
        <w:t>(2)</w:t>
      </w:r>
      <w:r>
        <w:tab/>
        <w:t>The delegation is to be in writing.</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a hazard management agency to act through an officer or person representing the agency.</w:t>
      </w:r>
    </w:p>
    <w:p>
      <w:pPr>
        <w:pStyle w:val="Heading5"/>
      </w:pPr>
      <w:bookmarkStart w:id="13" w:name="_Toc118299971"/>
      <w:r>
        <w:rPr>
          <w:rStyle w:val="CharSectno"/>
        </w:rPr>
        <w:t>6</w:t>
      </w:r>
      <w:r>
        <w:t>.</w:t>
      </w:r>
      <w:r>
        <w:tab/>
        <w:t>Combat agencies and support organisations may be prescribed</w:t>
      </w:r>
      <w:bookmarkEnd w:id="13"/>
    </w:p>
    <w:p>
      <w:pPr>
        <w:pStyle w:val="Subsection"/>
      </w:pPr>
      <w:r>
        <w:tab/>
        <w:t>(1)</w:t>
      </w:r>
      <w:r>
        <w:tab/>
        <w:t>A public authority, or other person, may be prescribed by the regulations to be a combat agency for the purposes of this Act.</w:t>
      </w:r>
    </w:p>
    <w:p>
      <w:pPr>
        <w:pStyle w:val="Subsection"/>
      </w:pPr>
      <w:r>
        <w:tab/>
        <w:t>(2)</w:t>
      </w:r>
      <w:r>
        <w:tab/>
        <w:t>A combat agency prescribed under subsection (1) is to be a public authority or other person who or which, because of the agency’s functions under any written law or specialised knowledge, expertise and resources, is responsible for performing an emergency management activity prescribed by the regulations in relation to that agency.</w:t>
      </w:r>
    </w:p>
    <w:p>
      <w:pPr>
        <w:pStyle w:val="Subsection"/>
      </w:pPr>
      <w:r>
        <w:tab/>
        <w:t>(3)</w:t>
      </w:r>
      <w:r>
        <w:tab/>
        <w:t>A public authority, or other person, may be prescribed by the regulations to be a support organisation for the purposes of this Act.</w:t>
      </w:r>
    </w:p>
    <w:p>
      <w:pPr>
        <w:pStyle w:val="Subsection"/>
      </w:pPr>
      <w:r>
        <w:tab/>
        <w:t>(4)</w:t>
      </w:r>
      <w:r>
        <w:tab/>
        <w:t>A support organisation prescribed under subsection (3) is to be a public authority or other person who or which, because of the agency’s functions under any written law or specialised knowledge, expertise and resources, is responsible for providing support functions prescribed by the regulations in relation to that organisation.</w:t>
      </w:r>
    </w:p>
    <w:p>
      <w:pPr>
        <w:pStyle w:val="Heading5"/>
      </w:pPr>
      <w:bookmarkStart w:id="14" w:name="_Toc118299972"/>
      <w:r>
        <w:rPr>
          <w:rStyle w:val="CharSectno"/>
        </w:rPr>
        <w:lastRenderedPageBreak/>
        <w:t>7</w:t>
      </w:r>
      <w:r>
        <w:t>.</w:t>
      </w:r>
      <w:r>
        <w:tab/>
        <w:t>Act binds the Crown</w:t>
      </w:r>
      <w:bookmarkEnd w:id="14"/>
    </w:p>
    <w:p>
      <w:pPr>
        <w:pStyle w:val="Subsection"/>
      </w:pPr>
      <w:r>
        <w:tab/>
      </w:r>
      <w:r>
        <w:tab/>
        <w:t>This Act binds the Crown in right of the State and, so far as the legislative power of the State permits, the Crown in its other capacities.</w:t>
      </w:r>
    </w:p>
    <w:p>
      <w:pPr>
        <w:pStyle w:val="Heading5"/>
      </w:pPr>
      <w:bookmarkStart w:id="15" w:name="_Toc118299973"/>
      <w:r>
        <w:rPr>
          <w:rStyle w:val="CharSectno"/>
        </w:rPr>
        <w:t>8</w:t>
      </w:r>
      <w:r>
        <w:t>.</w:t>
      </w:r>
      <w:r>
        <w:tab/>
        <w:t>Relationship to other Acts</w:t>
      </w:r>
      <w:bookmarkEnd w:id="15"/>
    </w:p>
    <w:p>
      <w:pPr>
        <w:pStyle w:val="Subsection"/>
      </w:pPr>
      <w:r>
        <w:tab/>
        <w:t>(1)</w:t>
      </w:r>
      <w:r>
        <w:tab/>
        <w:t>Where the provisions of this Act are inconsistent with the provisions of any other Act, or of any subsidiary legislation made under any other Act, the provisions of this Act prevail.</w:t>
      </w:r>
    </w:p>
    <w:p>
      <w:pPr>
        <w:pStyle w:val="Subsection"/>
      </w:pPr>
      <w:r>
        <w:tab/>
        <w:t>(2)</w:t>
      </w:r>
      <w:r>
        <w:tab/>
        <w:t xml:space="preserve">This Act is in addition to, and does not derogate from, the </w:t>
      </w:r>
      <w:r>
        <w:rPr>
          <w:i/>
        </w:rPr>
        <w:t>Fuel, Energy and Power Resources Act 1972</w:t>
      </w:r>
      <w:r>
        <w:t>.</w:t>
      </w:r>
    </w:p>
    <w:p>
      <w:pPr>
        <w:pStyle w:val="Subsection"/>
      </w:pPr>
      <w:r>
        <w:tab/>
        <w:t>(3)</w:t>
      </w:r>
      <w:r>
        <w:tab/>
        <w:t>Subject to subsection (1), all powers given by or under this Act are in addition to, and not in derogation from, powers exercisable apart from this Act.</w:t>
      </w:r>
    </w:p>
    <w:p>
      <w:pPr>
        <w:pStyle w:val="Heading5"/>
      </w:pPr>
      <w:bookmarkStart w:id="16" w:name="_Toc118299974"/>
      <w:r>
        <w:rPr>
          <w:rStyle w:val="CharSectno"/>
        </w:rPr>
        <w:t>9</w:t>
      </w:r>
      <w:r>
        <w:t>.</w:t>
      </w:r>
      <w:r>
        <w:tab/>
        <w:t>Limitation on Act — industrial disputes and civil disturbances</w:t>
      </w:r>
      <w:bookmarkEnd w:id="16"/>
    </w:p>
    <w:p>
      <w:pPr>
        <w:pStyle w:val="Subsection"/>
      </w:pPr>
      <w:r>
        <w:tab/>
      </w:r>
      <w:r>
        <w:tab/>
        <w:t xml:space="preserve">This Act does not authorise the taking of measures directed at — </w:t>
      </w:r>
    </w:p>
    <w:p>
      <w:pPr>
        <w:pStyle w:val="Indenta"/>
      </w:pPr>
      <w:r>
        <w:tab/>
        <w:t>(a)</w:t>
      </w:r>
      <w:r>
        <w:tab/>
        <w:t>ending an industrial dispute; or</w:t>
      </w:r>
    </w:p>
    <w:p>
      <w:pPr>
        <w:pStyle w:val="Indenta"/>
      </w:pPr>
      <w:r>
        <w:tab/>
        <w:t>(b)</w:t>
      </w:r>
      <w:r>
        <w:tab/>
        <w:t>controlling a riot or other civil disturbance.</w:t>
      </w:r>
    </w:p>
    <w:p>
      <w:pPr>
        <w:pStyle w:val="Heading2"/>
      </w:pPr>
      <w:bookmarkStart w:id="17" w:name="_Toc117777619"/>
      <w:bookmarkStart w:id="18" w:name="_Toc117779303"/>
      <w:bookmarkStart w:id="19" w:name="_Toc117845225"/>
      <w:bookmarkStart w:id="20" w:name="_Toc118299611"/>
      <w:bookmarkStart w:id="21" w:name="_Toc118299975"/>
      <w:r>
        <w:rPr>
          <w:rStyle w:val="CharPartNo"/>
        </w:rPr>
        <w:lastRenderedPageBreak/>
        <w:t>Part 2</w:t>
      </w:r>
      <w:r>
        <w:t> — </w:t>
      </w:r>
      <w:r>
        <w:rPr>
          <w:rStyle w:val="CharPartText"/>
        </w:rPr>
        <w:t>State arrangements</w:t>
      </w:r>
      <w:bookmarkEnd w:id="17"/>
      <w:bookmarkEnd w:id="18"/>
      <w:bookmarkEnd w:id="19"/>
      <w:bookmarkEnd w:id="20"/>
      <w:bookmarkEnd w:id="21"/>
    </w:p>
    <w:p>
      <w:pPr>
        <w:pStyle w:val="Heading3"/>
      </w:pPr>
      <w:bookmarkStart w:id="22" w:name="_Toc117777620"/>
      <w:bookmarkStart w:id="23" w:name="_Toc117779304"/>
      <w:bookmarkStart w:id="24" w:name="_Toc117845226"/>
      <w:bookmarkStart w:id="25" w:name="_Toc118299612"/>
      <w:bookmarkStart w:id="26" w:name="_Toc118299976"/>
      <w:r>
        <w:rPr>
          <w:rStyle w:val="CharDivNo"/>
        </w:rPr>
        <w:t>Division 1</w:t>
      </w:r>
      <w:r>
        <w:t> — </w:t>
      </w:r>
      <w:r>
        <w:rPr>
          <w:rStyle w:val="CharDivText"/>
        </w:rPr>
        <w:t>The State Emergency Coordinator</w:t>
      </w:r>
      <w:bookmarkEnd w:id="22"/>
      <w:bookmarkEnd w:id="23"/>
      <w:bookmarkEnd w:id="24"/>
      <w:bookmarkEnd w:id="25"/>
      <w:bookmarkEnd w:id="26"/>
    </w:p>
    <w:p>
      <w:pPr>
        <w:pStyle w:val="Heading5"/>
      </w:pPr>
      <w:bookmarkStart w:id="27" w:name="_Toc118299977"/>
      <w:r>
        <w:rPr>
          <w:rStyle w:val="CharSectno"/>
        </w:rPr>
        <w:t>10</w:t>
      </w:r>
      <w:r>
        <w:t>.</w:t>
      </w:r>
      <w:r>
        <w:tab/>
        <w:t>State Emergency Coordinator</w:t>
      </w:r>
      <w:bookmarkEnd w:id="27"/>
    </w:p>
    <w:p>
      <w:pPr>
        <w:pStyle w:val="Subsection"/>
      </w:pPr>
      <w:r>
        <w:tab/>
      </w:r>
      <w:r>
        <w:tab/>
        <w:t>The Commissioner of Police is to hold the office of State Emergency Coordinator.</w:t>
      </w:r>
    </w:p>
    <w:p>
      <w:pPr>
        <w:pStyle w:val="Heading5"/>
      </w:pPr>
      <w:bookmarkStart w:id="28" w:name="_Toc118299978"/>
      <w:r>
        <w:rPr>
          <w:rStyle w:val="CharSectno"/>
        </w:rPr>
        <w:t>11</w:t>
      </w:r>
      <w:r>
        <w:t>.</w:t>
      </w:r>
      <w:r>
        <w:tab/>
        <w:t>Functions of the State Emergency Coordinator</w:t>
      </w:r>
      <w:bookmarkEnd w:id="28"/>
    </w:p>
    <w:p>
      <w:pPr>
        <w:pStyle w:val="Subsection"/>
      </w:pPr>
      <w:r>
        <w:tab/>
        <w:t>(1)</w:t>
      </w:r>
      <w:r>
        <w:tab/>
        <w:t>The State Emergency Coordinator is responsible for coordinating the response to an emergency during a state of emergency.</w:t>
      </w:r>
    </w:p>
    <w:p>
      <w:pPr>
        <w:pStyle w:val="Subsection"/>
      </w:pPr>
      <w:r>
        <w:tab/>
        <w:t>(2)</w:t>
      </w:r>
      <w:r>
        <w:tab/>
        <w:t xml:space="preserve">In addition to his or her other functions under this Act and any other written law, the State Emergency Coordinator is to — </w:t>
      </w:r>
    </w:p>
    <w:p>
      <w:pPr>
        <w:pStyle w:val="Indenta"/>
      </w:pPr>
      <w:r>
        <w:tab/>
        <w:t>(a)</w:t>
      </w:r>
      <w:r>
        <w:tab/>
        <w:t>provide advice to the Minister in relation to emergencies; and</w:t>
      </w:r>
    </w:p>
    <w:p>
      <w:pPr>
        <w:pStyle w:val="Indenta"/>
      </w:pPr>
      <w:r>
        <w:tab/>
        <w:t>(b)</w:t>
      </w:r>
      <w:r>
        <w:tab/>
        <w:t>provide advice to the State Disaster Council during a state of emergency; and</w:t>
      </w:r>
    </w:p>
    <w:p>
      <w:pPr>
        <w:pStyle w:val="Indenta"/>
      </w:pPr>
      <w:r>
        <w:tab/>
        <w:t>(c)</w:t>
      </w:r>
      <w:r>
        <w:tab/>
        <w:t>provide such advice and assistance to hazard management agencies as the State Emergency Coordinator considers appropriate; and</w:t>
      </w:r>
    </w:p>
    <w:p>
      <w:pPr>
        <w:pStyle w:val="Indenta"/>
      </w:pPr>
      <w:r>
        <w:tab/>
        <w:t>(d)</w:t>
      </w:r>
      <w:r>
        <w:tab/>
        <w:t>carry out other emergency management activities as directed by the Minister.</w:t>
      </w:r>
    </w:p>
    <w:p>
      <w:pPr>
        <w:pStyle w:val="Subsection"/>
      </w:pPr>
      <w:r>
        <w:tab/>
        <w:t>(3)</w:t>
      </w:r>
      <w:r>
        <w:tab/>
        <w:t xml:space="preserve">Where authorised to do so under a State emergency management plan or State emergency management policy, or authorised to do so by the SEMC or the State Disaster Council, the State Emergency Coordinator may — </w:t>
      </w:r>
    </w:p>
    <w:p>
      <w:pPr>
        <w:pStyle w:val="Indenta"/>
      </w:pPr>
      <w:r>
        <w:tab/>
        <w:t>(a)</w:t>
      </w:r>
      <w:r>
        <w:tab/>
        <w:t>liaise with the Australian Government and other persons, in or outside the State; and</w:t>
      </w:r>
    </w:p>
    <w:p>
      <w:pPr>
        <w:pStyle w:val="Indenta"/>
      </w:pPr>
      <w:r>
        <w:tab/>
        <w:t>(b)</w:t>
      </w:r>
      <w:r>
        <w:tab/>
        <w:t>enter into agreements and arrangements with those persons,</w:t>
      </w:r>
    </w:p>
    <w:p>
      <w:pPr>
        <w:pStyle w:val="Subsection"/>
        <w:keepNext/>
      </w:pPr>
      <w:r>
        <w:lastRenderedPageBreak/>
        <w:tab/>
      </w:r>
      <w:r>
        <w:tab/>
        <w:t>to assist the State to manage emergencies.</w:t>
      </w:r>
    </w:p>
    <w:p>
      <w:pPr>
        <w:pStyle w:val="Footnotesection"/>
      </w:pPr>
      <w:r>
        <w:tab/>
        <w:t>[Section 11: modified by section 77X(1).]</w:t>
      </w:r>
    </w:p>
    <w:p>
      <w:pPr>
        <w:pStyle w:val="Heading5"/>
      </w:pPr>
      <w:bookmarkStart w:id="29" w:name="_Toc118299979"/>
      <w:r>
        <w:rPr>
          <w:rStyle w:val="CharSectno"/>
        </w:rPr>
        <w:t>12</w:t>
      </w:r>
      <w:r>
        <w:t>.</w:t>
      </w:r>
      <w:r>
        <w:tab/>
        <w:t>Delegation by State Emergency Coordinator</w:t>
      </w:r>
      <w:bookmarkEnd w:id="29"/>
    </w:p>
    <w:p>
      <w:pPr>
        <w:pStyle w:val="Subsection"/>
      </w:pPr>
      <w:r>
        <w:tab/>
        <w:t>(1)</w:t>
      </w:r>
      <w:r>
        <w:tab/>
        <w:t>The State Emergency Coordinator may delegate to any person any power or duty of the State Emergency Coordinator under another provision of this Act.</w:t>
      </w:r>
    </w:p>
    <w:p>
      <w:pPr>
        <w:pStyle w:val="Subsection"/>
      </w:pPr>
      <w:r>
        <w:tab/>
        <w:t>(2)</w:t>
      </w:r>
      <w:r>
        <w:tab/>
        <w:t>The delegation is to be in writing signed by the State Emergency Coordinator.</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State Emergency Coordinator to act through an officer or a person representing the State Emergency Coordinator.</w:t>
      </w:r>
    </w:p>
    <w:p>
      <w:pPr>
        <w:pStyle w:val="Heading3"/>
      </w:pPr>
      <w:bookmarkStart w:id="30" w:name="_Toc117777624"/>
      <w:bookmarkStart w:id="31" w:name="_Toc117779308"/>
      <w:bookmarkStart w:id="32" w:name="_Toc117845230"/>
      <w:bookmarkStart w:id="33" w:name="_Toc118299616"/>
      <w:bookmarkStart w:id="34" w:name="_Toc118299980"/>
      <w:r>
        <w:rPr>
          <w:rStyle w:val="CharDivNo"/>
        </w:rPr>
        <w:t>Division 2</w:t>
      </w:r>
      <w:r>
        <w:t> — </w:t>
      </w:r>
      <w:r>
        <w:rPr>
          <w:rStyle w:val="CharDivText"/>
        </w:rPr>
        <w:t>The State Emergency Management Committee</w:t>
      </w:r>
      <w:bookmarkEnd w:id="30"/>
      <w:bookmarkEnd w:id="31"/>
      <w:bookmarkEnd w:id="32"/>
      <w:bookmarkEnd w:id="33"/>
      <w:bookmarkEnd w:id="34"/>
    </w:p>
    <w:p>
      <w:pPr>
        <w:pStyle w:val="Heading5"/>
      </w:pPr>
      <w:bookmarkStart w:id="35" w:name="_Toc118299981"/>
      <w:r>
        <w:rPr>
          <w:rStyle w:val="CharSectno"/>
        </w:rPr>
        <w:t>13</w:t>
      </w:r>
      <w:r>
        <w:t>.</w:t>
      </w:r>
      <w:r>
        <w:tab/>
        <w:t>State Emergency Management Committee</w:t>
      </w:r>
      <w:bookmarkEnd w:id="35"/>
    </w:p>
    <w:p>
      <w:pPr>
        <w:pStyle w:val="Subsection"/>
      </w:pPr>
      <w:r>
        <w:tab/>
        <w:t>(1)</w:t>
      </w:r>
      <w:r>
        <w:tab/>
        <w:t>The State Emergency Management Committee is established.</w:t>
      </w:r>
    </w:p>
    <w:p>
      <w:pPr>
        <w:pStyle w:val="Subsection"/>
      </w:pPr>
      <w:r>
        <w:tab/>
        <w:t>(2)</w:t>
      </w:r>
      <w:r>
        <w:tab/>
        <w:t xml:space="preserve">The SEMC is to consist of — </w:t>
      </w:r>
    </w:p>
    <w:p>
      <w:pPr>
        <w:pStyle w:val="Indenta"/>
      </w:pPr>
      <w:r>
        <w:tab/>
        <w:t>(a)</w:t>
      </w:r>
      <w:r>
        <w:tab/>
        <w:t>a chairman appointed by the Minister; and</w:t>
      </w:r>
    </w:p>
    <w:p>
      <w:pPr>
        <w:pStyle w:val="Indenta"/>
      </w:pPr>
      <w:r>
        <w:tab/>
        <w:t>(b)</w:t>
      </w:r>
      <w:r>
        <w:tab/>
        <w:t>a deputy chairman appointed by the Minister; and</w:t>
      </w:r>
    </w:p>
    <w:p>
      <w:pPr>
        <w:pStyle w:val="Indenta"/>
      </w:pPr>
      <w:r>
        <w:tab/>
        <w:t>(c)</w:t>
      </w:r>
      <w:r>
        <w:tab/>
        <w:t>an executive officer of the SEMC appointed by the Minister; and</w:t>
      </w:r>
    </w:p>
    <w:p>
      <w:pPr>
        <w:pStyle w:val="Indenta"/>
      </w:pPr>
      <w:r>
        <w:tab/>
        <w:t>(d)</w:t>
      </w:r>
      <w:r>
        <w:tab/>
        <w:t>a person who is representative of local government, appointed by the Minister; and</w:t>
      </w:r>
    </w:p>
    <w:p>
      <w:pPr>
        <w:pStyle w:val="Indenta"/>
      </w:pPr>
      <w:r>
        <w:tab/>
        <w:t>(e)</w:t>
      </w:r>
      <w:r>
        <w:tab/>
        <w:t>such other members as are provided for, and appointed in accordance with, the regulations.</w:t>
      </w:r>
    </w:p>
    <w:p>
      <w:pPr>
        <w:pStyle w:val="Subsection"/>
        <w:keepNext/>
      </w:pPr>
      <w:r>
        <w:lastRenderedPageBreak/>
        <w:tab/>
        <w:t>(3)</w:t>
      </w:r>
      <w:r>
        <w:tab/>
        <w:t xml:space="preserve">The Minister is to ensure that — </w:t>
      </w:r>
    </w:p>
    <w:p>
      <w:pPr>
        <w:pStyle w:val="Indenta"/>
      </w:pPr>
      <w:r>
        <w:tab/>
        <w:t>(a)</w:t>
      </w:r>
      <w:r>
        <w:tab/>
        <w:t>the chairman has expertise or experience that, in the Minister’s opinion, is relevant to the functions of the SEMC and the State Emergency Coordination Group; and</w:t>
      </w:r>
    </w:p>
    <w:p>
      <w:pPr>
        <w:pStyle w:val="Indenta"/>
      </w:pPr>
      <w:r>
        <w:tab/>
        <w:t>(b)</w:t>
      </w:r>
      <w:r>
        <w:tab/>
        <w:t>each other member has expertise or experience that, in the Minister’s opinion, is relevant to the functions of the SEMC.</w:t>
      </w:r>
    </w:p>
    <w:p>
      <w:pPr>
        <w:pStyle w:val="Subsection"/>
      </w:pPr>
      <w:r>
        <w:tab/>
        <w:t>(4)</w:t>
      </w:r>
      <w:r>
        <w:tab/>
        <w:t>The regulations may make provision as to the constitution and procedures of the SEMC.</w:t>
      </w:r>
    </w:p>
    <w:p>
      <w:pPr>
        <w:pStyle w:val="Subsection"/>
      </w:pPr>
      <w:r>
        <w:tab/>
        <w:t>(5)</w:t>
      </w:r>
      <w:r>
        <w:tab/>
        <w:t>Subject to the regulations the SEMC may determine its own procedures.</w:t>
      </w:r>
    </w:p>
    <w:p>
      <w:pPr>
        <w:pStyle w:val="Heading5"/>
      </w:pPr>
      <w:bookmarkStart w:id="36" w:name="_Toc118299982"/>
      <w:r>
        <w:rPr>
          <w:rStyle w:val="CharSectno"/>
        </w:rPr>
        <w:t>14</w:t>
      </w:r>
      <w:r>
        <w:t>.</w:t>
      </w:r>
      <w:r>
        <w:tab/>
        <w:t>Functions of the SEMC</w:t>
      </w:r>
      <w:bookmarkEnd w:id="36"/>
    </w:p>
    <w:p>
      <w:pPr>
        <w:pStyle w:val="Subsection"/>
      </w:pPr>
      <w:r>
        <w:tab/>
      </w:r>
      <w:r>
        <w:tab/>
        <w:t xml:space="preserve">The SEMC has the following functions — </w:t>
      </w:r>
    </w:p>
    <w:p>
      <w:pPr>
        <w:pStyle w:val="Indenta"/>
      </w:pPr>
      <w:r>
        <w:tab/>
        <w:t>(a)</w:t>
      </w:r>
      <w:r>
        <w:tab/>
        <w:t>to advise the Minister on emergency management and the preparedness of the State to combat emergencies;</w:t>
      </w:r>
    </w:p>
    <w:p>
      <w:pPr>
        <w:pStyle w:val="Indenta"/>
      </w:pPr>
      <w:r>
        <w:tab/>
        <w:t>(b)</w:t>
      </w:r>
      <w:r>
        <w:tab/>
        <w:t>to provide direction, advice and support to public authorities, industry, commerce and the community in order to plan and prepare for an efficient emergency management capability for the State;</w:t>
      </w:r>
    </w:p>
    <w:p>
      <w:pPr>
        <w:pStyle w:val="Indenta"/>
      </w:pPr>
      <w:r>
        <w:tab/>
        <w:t>(c)</w:t>
      </w:r>
      <w:r>
        <w:tab/>
        <w:t>to provide a forum for whole of community coordination to ensure the minimisation of the effects of emergencies;</w:t>
      </w:r>
    </w:p>
    <w:p>
      <w:pPr>
        <w:pStyle w:val="Indenta"/>
      </w:pPr>
      <w:r>
        <w:tab/>
        <w:t>(d)</w:t>
      </w:r>
      <w:r>
        <w:tab/>
        <w:t>to provide a forum for the development of community wide information systems to improve communications during emergencies;</w:t>
      </w:r>
    </w:p>
    <w:p>
      <w:pPr>
        <w:pStyle w:val="Indenta"/>
      </w:pPr>
      <w:r>
        <w:tab/>
        <w:t>(e)</w:t>
      </w:r>
      <w:r>
        <w:tab/>
        <w:t>to develop and coordinate risk management strategies to assess community vulnerability to emergencies;</w:t>
      </w:r>
    </w:p>
    <w:p>
      <w:pPr>
        <w:pStyle w:val="Indenta"/>
      </w:pPr>
      <w:r>
        <w:tab/>
        <w:t>(f)</w:t>
      </w:r>
      <w:r>
        <w:tab/>
        <w:t>to perform other functions given to the SEMC under this Act;</w:t>
      </w:r>
    </w:p>
    <w:p>
      <w:pPr>
        <w:pStyle w:val="Indenta"/>
      </w:pPr>
      <w:r>
        <w:tab/>
        <w:t>(g)</w:t>
      </w:r>
      <w:r>
        <w:tab/>
        <w:t>to perform any other function prescribed by the regulations for the purposes of this section.</w:t>
      </w:r>
    </w:p>
    <w:p>
      <w:pPr>
        <w:pStyle w:val="Heading5"/>
      </w:pPr>
      <w:bookmarkStart w:id="37" w:name="_Toc118299983"/>
      <w:r>
        <w:rPr>
          <w:rStyle w:val="CharSectno"/>
        </w:rPr>
        <w:lastRenderedPageBreak/>
        <w:t>15</w:t>
      </w:r>
      <w:r>
        <w:t>.</w:t>
      </w:r>
      <w:r>
        <w:tab/>
        <w:t>Powers of the SEMC</w:t>
      </w:r>
      <w:bookmarkEnd w:id="37"/>
    </w:p>
    <w:p>
      <w:pPr>
        <w:pStyle w:val="Subsection"/>
        <w:spacing w:before="120"/>
      </w:pPr>
      <w:r>
        <w:tab/>
        <w:t>(1)</w:t>
      </w:r>
      <w:r>
        <w:tab/>
        <w:t>The SEMC may do all things necessary or convenient to be done for or in connection with the performance of its functions.</w:t>
      </w:r>
    </w:p>
    <w:p>
      <w:pPr>
        <w:pStyle w:val="Subsection"/>
        <w:keepNext/>
        <w:spacing w:before="120"/>
      </w:pPr>
      <w:r>
        <w:tab/>
        <w:t>(2)</w:t>
      </w:r>
      <w:r>
        <w:tab/>
        <w:t xml:space="preserve">Without limiting subsection (1) and any other powers conferred on the SEMC by this Act, the SEMC may — </w:t>
      </w:r>
    </w:p>
    <w:p>
      <w:pPr>
        <w:pStyle w:val="Indenta"/>
      </w:pPr>
      <w:r>
        <w:tab/>
        <w:t>(a)</w:t>
      </w:r>
      <w:r>
        <w:tab/>
        <w:t>produce and publish information on matters related to its functions; and</w:t>
      </w:r>
    </w:p>
    <w:p>
      <w:pPr>
        <w:pStyle w:val="Indenta"/>
      </w:pPr>
      <w:r>
        <w:tab/>
        <w:t>(b)</w:t>
      </w:r>
      <w:r>
        <w:tab/>
        <w:t>act in conjunction with another public authority or any other person.</w:t>
      </w:r>
    </w:p>
    <w:p>
      <w:pPr>
        <w:pStyle w:val="Heading5"/>
      </w:pPr>
      <w:bookmarkStart w:id="38" w:name="_Toc118299984"/>
      <w:r>
        <w:rPr>
          <w:rStyle w:val="CharSectno"/>
        </w:rPr>
        <w:t>16</w:t>
      </w:r>
      <w:r>
        <w:t>.</w:t>
      </w:r>
      <w:r>
        <w:tab/>
        <w:t>Designation of cyclone areas</w:t>
      </w:r>
      <w:bookmarkEnd w:id="38"/>
    </w:p>
    <w:p>
      <w:pPr>
        <w:pStyle w:val="Subsection"/>
      </w:pPr>
      <w:r>
        <w:tab/>
        <w:t>(1)</w:t>
      </w:r>
      <w:r>
        <w:tab/>
        <w:t>The SEMC may, on the advice of the agency prescribed as the hazard management agency for cyclones in the relevant area, designate an area of the State as a cyclone area.</w:t>
      </w:r>
    </w:p>
    <w:p>
      <w:pPr>
        <w:pStyle w:val="Subsection"/>
      </w:pPr>
      <w:r>
        <w:tab/>
        <w:t>(2)</w:t>
      </w:r>
      <w:r>
        <w:tab/>
        <w:t>Before designating an area under subsection (1) the SEMC is to notify each local government in whose district any part of the area proposed to be designated is situated and allow a reasonable time for submissions on the proposal.</w:t>
      </w:r>
    </w:p>
    <w:p>
      <w:pPr>
        <w:pStyle w:val="Subsection"/>
      </w:pPr>
      <w:r>
        <w:tab/>
        <w:t>(3)</w:t>
      </w:r>
      <w:r>
        <w:tab/>
        <w:t>In designating an area under subsection (1) the SEMC is to have regard to any submissions of a local government.</w:t>
      </w:r>
    </w:p>
    <w:p>
      <w:pPr>
        <w:pStyle w:val="Subsection"/>
      </w:pPr>
      <w:r>
        <w:tab/>
        <w:t>(4)</w:t>
      </w:r>
      <w:r>
        <w:tab/>
        <w:t xml:space="preserve">Notice of the designation is to be published in the </w:t>
      </w:r>
      <w:r>
        <w:rPr>
          <w:i/>
        </w:rPr>
        <w:t>Gazette</w:t>
      </w:r>
      <w:r>
        <w:t>.</w:t>
      </w:r>
    </w:p>
    <w:p>
      <w:pPr>
        <w:pStyle w:val="Heading5"/>
      </w:pPr>
      <w:bookmarkStart w:id="39" w:name="_Toc118299985"/>
      <w:r>
        <w:rPr>
          <w:rStyle w:val="CharSectno"/>
        </w:rPr>
        <w:t>17</w:t>
      </w:r>
      <w:r>
        <w:t>.</w:t>
      </w:r>
      <w:r>
        <w:tab/>
        <w:t>State emergency management policies</w:t>
      </w:r>
      <w:bookmarkEnd w:id="39"/>
    </w:p>
    <w:p>
      <w:pPr>
        <w:pStyle w:val="Subsection"/>
        <w:spacing w:before="120"/>
      </w:pPr>
      <w:r>
        <w:tab/>
        <w:t>(1)</w:t>
      </w:r>
      <w:r>
        <w:tab/>
        <w:t>The SEMC is to arrange for the preparation of State emergency management policies.</w:t>
      </w:r>
    </w:p>
    <w:p>
      <w:pPr>
        <w:pStyle w:val="Subsection"/>
        <w:spacing w:before="120"/>
      </w:pPr>
      <w:r>
        <w:tab/>
        <w:t>(2)</w:t>
      </w:r>
      <w:r>
        <w:tab/>
        <w:t xml:space="preserve">State emergency management policies are to include provision for — </w:t>
      </w:r>
    </w:p>
    <w:p>
      <w:pPr>
        <w:pStyle w:val="Indenta"/>
      </w:pPr>
      <w:r>
        <w:tab/>
        <w:t>(a)</w:t>
      </w:r>
      <w:r>
        <w:tab/>
        <w:t>a strategic framework for emergency management in the State; and</w:t>
      </w:r>
    </w:p>
    <w:p>
      <w:pPr>
        <w:pStyle w:val="Indenta"/>
      </w:pPr>
      <w:r>
        <w:tab/>
        <w:t>(b)</w:t>
      </w:r>
      <w:r>
        <w:tab/>
        <w:t>the roles and responsibilities of emergency management agencies; and</w:t>
      </w:r>
    </w:p>
    <w:p>
      <w:pPr>
        <w:pStyle w:val="Indenta"/>
      </w:pPr>
      <w:r>
        <w:tab/>
        <w:t>(c)</w:t>
      </w:r>
      <w:r>
        <w:tab/>
        <w:t>other matters that are prescribed by the regulations.</w:t>
      </w:r>
    </w:p>
    <w:p>
      <w:pPr>
        <w:pStyle w:val="Subsection"/>
      </w:pPr>
      <w:r>
        <w:lastRenderedPageBreak/>
        <w:tab/>
        <w:t>(3)</w:t>
      </w:r>
      <w:r>
        <w:tab/>
        <w:t>A State emergency management policy, and any amendment to a State emergency management policy, has effect when it is approved by the SEMC.</w:t>
      </w:r>
    </w:p>
    <w:p>
      <w:pPr>
        <w:pStyle w:val="Heading5"/>
      </w:pPr>
      <w:bookmarkStart w:id="40" w:name="_Toc118299986"/>
      <w:r>
        <w:rPr>
          <w:rStyle w:val="CharSectno"/>
        </w:rPr>
        <w:t>18</w:t>
      </w:r>
      <w:r>
        <w:t>.</w:t>
      </w:r>
      <w:r>
        <w:tab/>
        <w:t>State emergency management plans</w:t>
      </w:r>
      <w:bookmarkEnd w:id="40"/>
    </w:p>
    <w:p>
      <w:pPr>
        <w:pStyle w:val="Subsection"/>
      </w:pPr>
      <w:r>
        <w:tab/>
        <w:t>(1)</w:t>
      </w:r>
      <w:r>
        <w:tab/>
        <w:t>The SEMC is to arrange for the preparation of State emergency management plans as the SEMC considers necessary.</w:t>
      </w:r>
    </w:p>
    <w:p>
      <w:pPr>
        <w:pStyle w:val="Subsection"/>
      </w:pPr>
      <w:r>
        <w:tab/>
        <w:t>(2)</w:t>
      </w:r>
      <w:r>
        <w:tab/>
        <w:t>A State emergency management plan is to be consistent with State emergency management policies.</w:t>
      </w:r>
    </w:p>
    <w:p>
      <w:pPr>
        <w:pStyle w:val="Subsection"/>
      </w:pPr>
      <w:r>
        <w:tab/>
        <w:t>(3)</w:t>
      </w:r>
      <w:r>
        <w:tab/>
        <w:t>A State emergency management plan, and any amendment to a State emergency management plan, has effect when it is approved by the SEMC.</w:t>
      </w:r>
    </w:p>
    <w:p>
      <w:pPr>
        <w:pStyle w:val="Heading5"/>
      </w:pPr>
      <w:bookmarkStart w:id="41" w:name="_Toc118299987"/>
      <w:r>
        <w:rPr>
          <w:rStyle w:val="CharSectno"/>
        </w:rPr>
        <w:t>19</w:t>
      </w:r>
      <w:r>
        <w:t>.</w:t>
      </w:r>
      <w:r>
        <w:tab/>
        <w:t>Reviewing State emergency management policies and State emergency management plans</w:t>
      </w:r>
      <w:bookmarkEnd w:id="41"/>
    </w:p>
    <w:p>
      <w:pPr>
        <w:pStyle w:val="Subsection"/>
      </w:pPr>
      <w:r>
        <w:tab/>
        <w:t>(1)</w:t>
      </w:r>
      <w:r>
        <w:tab/>
        <w:t>The SEMC may arrange for a State emergency management policy or a State emergency management plan to be reviewed, amended or replaced, whenever the SEMC considers it appropriate.</w:t>
      </w:r>
    </w:p>
    <w:p>
      <w:pPr>
        <w:pStyle w:val="Subsection"/>
      </w:pPr>
      <w:r>
        <w:tab/>
        <w:t>(2)</w:t>
      </w:r>
      <w:r>
        <w:tab/>
        <w:t>The SEMC may arrange for a State emergency management plan to be tested whenever the SEMC considers it appropriate.</w:t>
      </w:r>
    </w:p>
    <w:p>
      <w:pPr>
        <w:pStyle w:val="Heading5"/>
      </w:pPr>
      <w:bookmarkStart w:id="42" w:name="_Toc118299988"/>
      <w:r>
        <w:rPr>
          <w:rStyle w:val="CharSectno"/>
        </w:rPr>
        <w:t>20</w:t>
      </w:r>
      <w:r>
        <w:t>.</w:t>
      </w:r>
      <w:r>
        <w:tab/>
        <w:t>Directions to, and duties of, public authorities</w:t>
      </w:r>
      <w:bookmarkEnd w:id="42"/>
    </w:p>
    <w:p>
      <w:pPr>
        <w:pStyle w:val="Subsection"/>
      </w:pPr>
      <w:r>
        <w:tab/>
        <w:t>(1)</w:t>
      </w:r>
      <w:r>
        <w:tab/>
        <w:t xml:space="preserve">If a public authority is given a role and responsibilities under a State emergency management policy, the SEMC may, in writing, direct the public authority, in relation to that role and those responsibilities, to — </w:t>
      </w:r>
    </w:p>
    <w:p>
      <w:pPr>
        <w:pStyle w:val="Indenta"/>
      </w:pPr>
      <w:r>
        <w:tab/>
        <w:t>(a)</w:t>
      </w:r>
      <w:r>
        <w:tab/>
        <w:t>prepare, or assist in the preparation of, a State emergency management plan; or</w:t>
      </w:r>
    </w:p>
    <w:p>
      <w:pPr>
        <w:pStyle w:val="Indenta"/>
      </w:pPr>
      <w:r>
        <w:tab/>
        <w:t>(b)</w:t>
      </w:r>
      <w:r>
        <w:tab/>
        <w:t>review, or assist in the review of, a State emergency management plan; or</w:t>
      </w:r>
    </w:p>
    <w:p>
      <w:pPr>
        <w:pStyle w:val="Indenta"/>
      </w:pPr>
      <w:r>
        <w:tab/>
        <w:t>(c)</w:t>
      </w:r>
      <w:r>
        <w:tab/>
        <w:t>amend or replace, or assist in the amendment or replacement of, a State emergency management plan; or</w:t>
      </w:r>
    </w:p>
    <w:p>
      <w:pPr>
        <w:pStyle w:val="Indenta"/>
      </w:pPr>
      <w:r>
        <w:lastRenderedPageBreak/>
        <w:tab/>
        <w:t>(d)</w:t>
      </w:r>
      <w:r>
        <w:tab/>
        <w:t>test, or assist in the testing of, a State emergency management plan.</w:t>
      </w:r>
    </w:p>
    <w:p>
      <w:pPr>
        <w:pStyle w:val="Subsection"/>
      </w:pPr>
      <w:r>
        <w:tab/>
        <w:t>(2)</w:t>
      </w:r>
      <w:r>
        <w:tab/>
        <w:t>The SEMC may issue written guidelines to help public authorities respond to a direction under subsection (1).</w:t>
      </w:r>
    </w:p>
    <w:p>
      <w:pPr>
        <w:pStyle w:val="Subsection"/>
      </w:pPr>
      <w:r>
        <w:tab/>
        <w:t>(3)</w:t>
      </w:r>
      <w:r>
        <w:tab/>
        <w:t>A public authority is to comply with a direction under subsection (1) within the time and in the manner specified in the direction.</w:t>
      </w:r>
    </w:p>
    <w:p>
      <w:pPr>
        <w:pStyle w:val="Subsection"/>
      </w:pPr>
      <w:r>
        <w:tab/>
        <w:t>(4)</w:t>
      </w:r>
      <w:r>
        <w:tab/>
        <w:t>A public authority that is given a role and responsibilities under a State emergency management policy is to comply with the State emergency management policy.</w:t>
      </w:r>
    </w:p>
    <w:p>
      <w:pPr>
        <w:pStyle w:val="Heading5"/>
      </w:pPr>
      <w:bookmarkStart w:id="43" w:name="_Toc118299989"/>
      <w:r>
        <w:rPr>
          <w:rStyle w:val="CharSectno"/>
        </w:rPr>
        <w:t>21</w:t>
      </w:r>
      <w:r>
        <w:t>.</w:t>
      </w:r>
      <w:r>
        <w:tab/>
        <w:t>Sub</w:t>
      </w:r>
      <w:r>
        <w:noBreakHyphen/>
        <w:t>committees</w:t>
      </w:r>
      <w:bookmarkEnd w:id="43"/>
    </w:p>
    <w:p>
      <w:pPr>
        <w:pStyle w:val="Subsection"/>
      </w:pPr>
      <w:r>
        <w:tab/>
        <w:t>(1)</w:t>
      </w:r>
      <w:r>
        <w:tab/>
        <w:t>The SEMC may establish such sub</w:t>
      </w:r>
      <w:r>
        <w:noBreakHyphen/>
        <w:t>committees as it thinks fit to advise the SEMC on any aspect of its functions or to assist with any matters relevant to the performance of its functions.</w:t>
      </w:r>
    </w:p>
    <w:p>
      <w:pPr>
        <w:pStyle w:val="Subsection"/>
      </w:pPr>
      <w:r>
        <w:tab/>
        <w:t>(2)</w:t>
      </w:r>
      <w:r>
        <w:tab/>
        <w:t>A sub</w:t>
      </w:r>
      <w:r>
        <w:noBreakHyphen/>
        <w:t>committee may, but need not, consist of or include members of the SEMC.</w:t>
      </w:r>
    </w:p>
    <w:p>
      <w:pPr>
        <w:pStyle w:val="Subsection"/>
      </w:pPr>
      <w:r>
        <w:tab/>
        <w:t>(3)</w:t>
      </w:r>
      <w:r>
        <w:tab/>
        <w:t>The SEMC may remove a person from membership of a sub</w:t>
      </w:r>
      <w:r>
        <w:noBreakHyphen/>
        <w:t>committee and may reconstitute or discharge a sub</w:t>
      </w:r>
      <w:r>
        <w:noBreakHyphen/>
        <w:t>committee.</w:t>
      </w:r>
    </w:p>
    <w:p>
      <w:pPr>
        <w:pStyle w:val="Subsection"/>
      </w:pPr>
      <w:r>
        <w:tab/>
        <w:t>(4)</w:t>
      </w:r>
      <w:r>
        <w:tab/>
        <w:t>The SEMC may give directions to a sub</w:t>
      </w:r>
      <w:r>
        <w:noBreakHyphen/>
        <w:t>committee with respect to the performance of its functions and its procedures and the sub</w:t>
      </w:r>
      <w:r>
        <w:noBreakHyphen/>
        <w:t>committee is to comply with any such direction.</w:t>
      </w:r>
    </w:p>
    <w:p>
      <w:pPr>
        <w:pStyle w:val="Subsection"/>
      </w:pPr>
      <w:r>
        <w:tab/>
        <w:t>(5)</w:t>
      </w:r>
      <w:r>
        <w:tab/>
        <w:t>Subject to the directions of the SEMC, a sub</w:t>
      </w:r>
      <w:r>
        <w:noBreakHyphen/>
        <w:t>committee may determine its own procedures.</w:t>
      </w:r>
    </w:p>
    <w:p>
      <w:pPr>
        <w:pStyle w:val="Heading5"/>
      </w:pPr>
      <w:bookmarkStart w:id="44" w:name="_Toc118299990"/>
      <w:r>
        <w:rPr>
          <w:rStyle w:val="CharSectno"/>
        </w:rPr>
        <w:t>22</w:t>
      </w:r>
      <w:r>
        <w:t>.</w:t>
      </w:r>
      <w:r>
        <w:tab/>
        <w:t>SEMC may delegate</w:t>
      </w:r>
      <w:bookmarkEnd w:id="44"/>
    </w:p>
    <w:p>
      <w:pPr>
        <w:pStyle w:val="Subsection"/>
      </w:pPr>
      <w:r>
        <w:tab/>
        <w:t>(1)</w:t>
      </w:r>
      <w:r>
        <w:tab/>
        <w:t>The SEMC may delegate to a member of the SEMC, a sub</w:t>
      </w:r>
      <w:r>
        <w:noBreakHyphen/>
        <w:t>committee established under section 21 or a member of such a sub</w:t>
      </w:r>
      <w:r>
        <w:noBreakHyphen/>
        <w:t>committee any power or duty of the SEMC under another provision of this Act.</w:t>
      </w:r>
    </w:p>
    <w:p>
      <w:pPr>
        <w:pStyle w:val="Subsection"/>
      </w:pPr>
      <w:r>
        <w:lastRenderedPageBreak/>
        <w:tab/>
        <w:t>(2)</w:t>
      </w:r>
      <w:r>
        <w:tab/>
        <w:t>The delegation is to be in writing signed by the chairman of the SEMC.</w:t>
      </w:r>
    </w:p>
    <w:p>
      <w:pPr>
        <w:pStyle w:val="Subsection"/>
        <w:keepNext/>
        <w:keepLines/>
      </w:pPr>
      <w:r>
        <w:tab/>
        <w:t>(3)</w:t>
      </w:r>
      <w:r>
        <w:tab/>
        <w:t>A delegate exercising or performing a power or duty that has been delegated under this section is to be taken to do so in accordance with the terms of the delegation unless the contrary is shown.</w:t>
      </w:r>
    </w:p>
    <w:p>
      <w:pPr>
        <w:pStyle w:val="Subsection"/>
        <w:spacing w:before="100"/>
      </w:pPr>
      <w:r>
        <w:tab/>
        <w:t>(4)</w:t>
      </w:r>
      <w:r>
        <w:tab/>
        <w:t>Nothing in this section limits the ability of the SEMC to act through an agent.</w:t>
      </w:r>
    </w:p>
    <w:p>
      <w:pPr>
        <w:pStyle w:val="Heading5"/>
        <w:spacing w:before="120"/>
      </w:pPr>
      <w:bookmarkStart w:id="45" w:name="_Toc118299991"/>
      <w:r>
        <w:rPr>
          <w:rStyle w:val="CharSectno"/>
        </w:rPr>
        <w:t>23</w:t>
      </w:r>
      <w:r>
        <w:t>.</w:t>
      </w:r>
      <w:r>
        <w:tab/>
        <w:t>Minister may give directions</w:t>
      </w:r>
      <w:bookmarkEnd w:id="45"/>
    </w:p>
    <w:p>
      <w:pPr>
        <w:pStyle w:val="Subsection"/>
        <w:spacing w:before="100"/>
      </w:pPr>
      <w:r>
        <w:tab/>
        <w:t>(1)</w:t>
      </w:r>
      <w:r>
        <w:tab/>
        <w:t>The Minister may give directions in writing to the SEMC with respect to the performance of its functions, either generally or in relation to a particular matter, and the SEMC is to give effect to any such direction.</w:t>
      </w:r>
    </w:p>
    <w:p>
      <w:pPr>
        <w:pStyle w:val="Subsection"/>
        <w:spacing w:before="100"/>
      </w:pPr>
      <w:r>
        <w:tab/>
        <w:t>(2)</w:t>
      </w:r>
      <w:r>
        <w:tab/>
        <w:t>The text of a direction given under subsection (1) is to be included in the annual report submitted by the SEMC under section 25.</w:t>
      </w:r>
    </w:p>
    <w:p>
      <w:pPr>
        <w:pStyle w:val="Heading5"/>
        <w:spacing w:before="120"/>
      </w:pPr>
      <w:bookmarkStart w:id="46" w:name="_Toc118299992"/>
      <w:r>
        <w:rPr>
          <w:rStyle w:val="CharSectno"/>
        </w:rPr>
        <w:t>24</w:t>
      </w:r>
      <w:r>
        <w:t>.</w:t>
      </w:r>
      <w:r>
        <w:tab/>
        <w:t>Facilities and services for SEMC</w:t>
      </w:r>
      <w:bookmarkEnd w:id="46"/>
    </w:p>
    <w:p>
      <w:pPr>
        <w:pStyle w:val="Subsection"/>
        <w:spacing w:before="100"/>
      </w:pPr>
      <w:r>
        <w:tab/>
        <w:t>(1)</w:t>
      </w:r>
      <w:r>
        <w:tab/>
        <w:t>The Minister is to ensure that the SEMC is provided with the facilities and services that, in the opinion of the Minister, are reasonably necessary to enable it to perform its functions.</w:t>
      </w:r>
    </w:p>
    <w:p>
      <w:pPr>
        <w:pStyle w:val="Subsection"/>
        <w:spacing w:before="100"/>
      </w:pPr>
      <w:r>
        <w:tab/>
        <w:t>(2)</w:t>
      </w:r>
      <w:r>
        <w:tab/>
        <w:t xml:space="preserve">Without limiting subsection (1), the Minister may arrange with the relevant employing authority (as that term is defined in the </w:t>
      </w:r>
      <w:r>
        <w:rPr>
          <w:i/>
        </w:rPr>
        <w:t>Public Sector Management Act 1994</w:t>
      </w:r>
      <w:r>
        <w:t>) for the SEMC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public authority; or</w:t>
      </w:r>
    </w:p>
    <w:p>
      <w:pPr>
        <w:pStyle w:val="Indenta"/>
      </w:pPr>
      <w:r>
        <w:tab/>
        <w:t>(c)</w:t>
      </w:r>
      <w:r>
        <w:tab/>
        <w:t>otherwise in the service of the State.</w:t>
      </w:r>
    </w:p>
    <w:p>
      <w:pPr>
        <w:pStyle w:val="Subsection"/>
        <w:spacing w:before="100"/>
      </w:pPr>
      <w:r>
        <w:tab/>
        <w:t>(3)</w:t>
      </w:r>
      <w:r>
        <w:tab/>
        <w:t xml:space="preserve">Without limiting subsection (1), the Minister may arrange with — </w:t>
      </w:r>
    </w:p>
    <w:p>
      <w:pPr>
        <w:pStyle w:val="Indenta"/>
      </w:pPr>
      <w:r>
        <w:tab/>
        <w:t>(a)</w:t>
      </w:r>
      <w:r>
        <w:tab/>
        <w:t>a department of the Public Service; or</w:t>
      </w:r>
    </w:p>
    <w:p>
      <w:pPr>
        <w:pStyle w:val="Indenta"/>
      </w:pPr>
      <w:r>
        <w:tab/>
        <w:t>(b)</w:t>
      </w:r>
      <w:r>
        <w:tab/>
        <w:t>a public authority,</w:t>
      </w:r>
    </w:p>
    <w:p>
      <w:pPr>
        <w:pStyle w:val="Subsection"/>
        <w:spacing w:before="100"/>
      </w:pPr>
      <w:r>
        <w:lastRenderedPageBreak/>
        <w:tab/>
      </w:r>
      <w:r>
        <w:tab/>
        <w:t>for the SEMC to make use of any facilities or services of the department or public authority.</w:t>
      </w:r>
    </w:p>
    <w:p>
      <w:pPr>
        <w:pStyle w:val="Subsection"/>
      </w:pPr>
      <w:r>
        <w:tab/>
        <w:t>(4)</w:t>
      </w:r>
      <w:r>
        <w:tab/>
        <w:t>An arrangement under subsection (2) or (3) is to be made on terms agreed by the parties.</w:t>
      </w:r>
    </w:p>
    <w:p>
      <w:pPr>
        <w:pStyle w:val="Heading5"/>
      </w:pPr>
      <w:bookmarkStart w:id="47" w:name="_Toc118299993"/>
      <w:r>
        <w:rPr>
          <w:rStyle w:val="CharSectno"/>
        </w:rPr>
        <w:t>25</w:t>
      </w:r>
      <w:r>
        <w:t>.</w:t>
      </w:r>
      <w:r>
        <w:tab/>
        <w:t>Annual report of SEMC</w:t>
      </w:r>
      <w:bookmarkEnd w:id="47"/>
    </w:p>
    <w:p>
      <w:pPr>
        <w:pStyle w:val="Subsection"/>
      </w:pPr>
      <w:r>
        <w:tab/>
        <w:t>(1)</w:t>
      </w:r>
      <w:r>
        <w:tab/>
        <w:t>As soon as is practicable after the end of each financial year the SEMC is to prepare and submit to the Minister an annual report on activities undertaken by it during the financial year.</w:t>
      </w:r>
    </w:p>
    <w:p>
      <w:pPr>
        <w:pStyle w:val="Subsection"/>
      </w:pPr>
      <w:r>
        <w:tab/>
        <w:t>(2)</w:t>
      </w:r>
      <w:r>
        <w:tab/>
        <w:t>The Minister is to cause the report to be laid before each House of Parliament as soon as is practicable after it is prepared.</w:t>
      </w:r>
    </w:p>
    <w:p>
      <w:pPr>
        <w:pStyle w:val="Heading3"/>
      </w:pPr>
      <w:bookmarkStart w:id="48" w:name="_Toc117777638"/>
      <w:bookmarkStart w:id="49" w:name="_Toc117779322"/>
      <w:bookmarkStart w:id="50" w:name="_Toc117845244"/>
      <w:bookmarkStart w:id="51" w:name="_Toc118299630"/>
      <w:bookmarkStart w:id="52" w:name="_Toc118299994"/>
      <w:r>
        <w:rPr>
          <w:rStyle w:val="CharDivNo"/>
        </w:rPr>
        <w:t>Division 3</w:t>
      </w:r>
      <w:r>
        <w:t> — </w:t>
      </w:r>
      <w:r>
        <w:rPr>
          <w:rStyle w:val="CharDivText"/>
        </w:rPr>
        <w:t>The State Emergency Coordination Group</w:t>
      </w:r>
      <w:bookmarkEnd w:id="48"/>
      <w:bookmarkEnd w:id="49"/>
      <w:bookmarkEnd w:id="50"/>
      <w:bookmarkEnd w:id="51"/>
      <w:bookmarkEnd w:id="52"/>
    </w:p>
    <w:p>
      <w:pPr>
        <w:pStyle w:val="Heading5"/>
      </w:pPr>
      <w:bookmarkStart w:id="53" w:name="_Toc118299995"/>
      <w:r>
        <w:rPr>
          <w:rStyle w:val="CharSectno"/>
        </w:rPr>
        <w:t>26</w:t>
      </w:r>
      <w:r>
        <w:t>.</w:t>
      </w:r>
      <w:r>
        <w:tab/>
        <w:t>State Emergency Coordination Group</w:t>
      </w:r>
      <w:bookmarkEnd w:id="53"/>
    </w:p>
    <w:p>
      <w:pPr>
        <w:pStyle w:val="Subsection"/>
      </w:pPr>
      <w:r>
        <w:tab/>
        <w:t>(1)</w:t>
      </w:r>
      <w:r>
        <w:tab/>
        <w:t>If a state of emergency is declared, a State Emergency Coordination Group is established.</w:t>
      </w:r>
    </w:p>
    <w:p>
      <w:pPr>
        <w:pStyle w:val="Subsection"/>
      </w:pPr>
      <w:r>
        <w:tab/>
        <w:t>(2)</w:t>
      </w:r>
      <w:r>
        <w:tab/>
        <w:t>If an emergency occurs or is imminent, the State Emergency Coordinator may, on the request of the relevant hazard management agency, or on his or her own initiative and in consultation with the relevant hazard management agency, establish a State Emergency Coordination Group.</w:t>
      </w:r>
    </w:p>
    <w:p>
      <w:pPr>
        <w:pStyle w:val="Subsection"/>
      </w:pPr>
      <w:r>
        <w:tab/>
        <w:t>(3)</w:t>
      </w:r>
      <w:r>
        <w:tab/>
        <w:t xml:space="preserve">The State Emergency Coordination Group is to consist of — </w:t>
      </w:r>
    </w:p>
    <w:p>
      <w:pPr>
        <w:pStyle w:val="Indenta"/>
      </w:pPr>
      <w:r>
        <w:tab/>
        <w:t>(a)</w:t>
      </w:r>
      <w:r>
        <w:tab/>
        <w:t>the State Emergency Coordinator; and</w:t>
      </w:r>
    </w:p>
    <w:p>
      <w:pPr>
        <w:pStyle w:val="Indenta"/>
      </w:pPr>
      <w:r>
        <w:tab/>
        <w:t>(b)</w:t>
      </w:r>
      <w:r>
        <w:tab/>
        <w:t>the chairman of the SEMC; and</w:t>
      </w:r>
    </w:p>
    <w:p>
      <w:pPr>
        <w:pStyle w:val="Indenta"/>
      </w:pPr>
      <w:r>
        <w:tab/>
        <w:t>(c)</w:t>
      </w:r>
      <w:r>
        <w:tab/>
        <w:t>the executive officer of the SEMC appointed under section 13(2)(c); and</w:t>
      </w:r>
    </w:p>
    <w:p>
      <w:pPr>
        <w:pStyle w:val="Indenta"/>
      </w:pPr>
      <w:r>
        <w:tab/>
        <w:t>(d)</w:t>
      </w:r>
      <w:r>
        <w:tab/>
        <w:t>a representative of the relevant hazard management agency; and</w:t>
      </w:r>
    </w:p>
    <w:p>
      <w:pPr>
        <w:pStyle w:val="Indenta"/>
      </w:pPr>
      <w:r>
        <w:tab/>
        <w:t>(e)</w:t>
      </w:r>
      <w:r>
        <w:tab/>
        <w:t xml:space="preserve">a person who is representative of the local governments in the emergency area, or in the area where the emergency is occurring or is imminent, as the case </w:t>
      </w:r>
      <w:r>
        <w:lastRenderedPageBreak/>
        <w:t>requires, nominated by the State Emergency Coordinator; and</w:t>
      </w:r>
    </w:p>
    <w:p>
      <w:pPr>
        <w:pStyle w:val="Indenta"/>
      </w:pPr>
      <w:r>
        <w:tab/>
        <w:t>(f)</w:t>
      </w:r>
      <w:r>
        <w:tab/>
        <w:t>such other members as are, in the opinion of the State Emergency Coordinator, necessary.</w:t>
      </w:r>
    </w:p>
    <w:p>
      <w:pPr>
        <w:pStyle w:val="Subsection"/>
      </w:pPr>
      <w:r>
        <w:tab/>
        <w:t>(4)</w:t>
      </w:r>
      <w:r>
        <w:tab/>
        <w:t>The State Emergency Coordinator is the chairman of the State Emergency Coordination Group.</w:t>
      </w:r>
    </w:p>
    <w:p>
      <w:pPr>
        <w:pStyle w:val="Subsection"/>
      </w:pPr>
      <w:r>
        <w:tab/>
        <w:t>(5)</w:t>
      </w:r>
      <w:r>
        <w:tab/>
        <w:t>The State Emergency Coordination Group may determine its own procedures.</w:t>
      </w:r>
    </w:p>
    <w:p>
      <w:pPr>
        <w:pStyle w:val="Subsection"/>
      </w:pPr>
      <w:r>
        <w:tab/>
        <w:t>(6)</w:t>
      </w:r>
      <w:r>
        <w:tab/>
        <w:t>The State Emergency Coordination Group ceases to be established on a day determined by the State Emergency Coordinator.</w:t>
      </w:r>
    </w:p>
    <w:p>
      <w:pPr>
        <w:pStyle w:val="Heading5"/>
      </w:pPr>
      <w:bookmarkStart w:id="54" w:name="_Toc118299996"/>
      <w:r>
        <w:rPr>
          <w:rStyle w:val="CharSectno"/>
        </w:rPr>
        <w:t>27</w:t>
      </w:r>
      <w:r>
        <w:t>.</w:t>
      </w:r>
      <w:r>
        <w:tab/>
        <w:t>Functions of the State Emergency Coordination Group</w:t>
      </w:r>
      <w:bookmarkEnd w:id="54"/>
    </w:p>
    <w:p>
      <w:pPr>
        <w:pStyle w:val="Subsection"/>
      </w:pPr>
      <w:r>
        <w:tab/>
      </w:r>
      <w:r>
        <w:tab/>
        <w:t xml:space="preserve">The State Emergency Coordination Group has the following functions — </w:t>
      </w:r>
    </w:p>
    <w:p>
      <w:pPr>
        <w:pStyle w:val="Indenta"/>
      </w:pPr>
      <w:r>
        <w:tab/>
        <w:t>(a)</w:t>
      </w:r>
      <w:r>
        <w:tab/>
        <w:t>to ensure the provision of coordinated emergency management by public authorities and other persons;</w:t>
      </w:r>
    </w:p>
    <w:p>
      <w:pPr>
        <w:pStyle w:val="Indenta"/>
      </w:pPr>
      <w:r>
        <w:tab/>
        <w:t>(b)</w:t>
      </w:r>
      <w:r>
        <w:tab/>
        <w:t>to provide advice and direction to public authorities and other persons to facilitate effective emergency management;</w:t>
      </w:r>
    </w:p>
    <w:p>
      <w:pPr>
        <w:pStyle w:val="Indenta"/>
      </w:pPr>
      <w:r>
        <w:tab/>
        <w:t>(c)</w:t>
      </w:r>
      <w:r>
        <w:tab/>
        <w:t>to liaise between emergency management agencies and the Minister.</w:t>
      </w:r>
    </w:p>
    <w:p>
      <w:pPr>
        <w:pStyle w:val="Heading3"/>
      </w:pPr>
      <w:bookmarkStart w:id="55" w:name="_Toc117777641"/>
      <w:bookmarkStart w:id="56" w:name="_Toc117779325"/>
      <w:bookmarkStart w:id="57" w:name="_Toc117845247"/>
      <w:bookmarkStart w:id="58" w:name="_Toc118299633"/>
      <w:bookmarkStart w:id="59" w:name="_Toc118299997"/>
      <w:r>
        <w:rPr>
          <w:rStyle w:val="CharDivNo"/>
        </w:rPr>
        <w:t>Division 4</w:t>
      </w:r>
      <w:r>
        <w:t> — </w:t>
      </w:r>
      <w:r>
        <w:rPr>
          <w:rStyle w:val="CharDivText"/>
        </w:rPr>
        <w:t>Emergency management districts</w:t>
      </w:r>
      <w:bookmarkEnd w:id="55"/>
      <w:bookmarkEnd w:id="56"/>
      <w:bookmarkEnd w:id="57"/>
      <w:bookmarkEnd w:id="58"/>
      <w:bookmarkEnd w:id="59"/>
    </w:p>
    <w:p>
      <w:pPr>
        <w:pStyle w:val="Heading5"/>
      </w:pPr>
      <w:bookmarkStart w:id="60" w:name="_Toc118299998"/>
      <w:r>
        <w:rPr>
          <w:rStyle w:val="CharSectno"/>
        </w:rPr>
        <w:t>28</w:t>
      </w:r>
      <w:r>
        <w:t>.</w:t>
      </w:r>
      <w:r>
        <w:tab/>
        <w:t>Establishment of emergency management districts</w:t>
      </w:r>
      <w:bookmarkEnd w:id="60"/>
    </w:p>
    <w:p>
      <w:pPr>
        <w:pStyle w:val="Subsection"/>
      </w:pPr>
      <w:r>
        <w:tab/>
        <w:t>(1)</w:t>
      </w:r>
      <w:r>
        <w:tab/>
        <w:t xml:space="preserve">For the purposes of this Act the State is divided into such emergency management districts as the Minister, on the advice of the SEMC, may determine by order published in the </w:t>
      </w:r>
      <w:r>
        <w:rPr>
          <w:i/>
        </w:rPr>
        <w:t>Gazette</w:t>
      </w:r>
      <w:r>
        <w:t>.</w:t>
      </w:r>
    </w:p>
    <w:p>
      <w:pPr>
        <w:pStyle w:val="Subsection"/>
      </w:pPr>
      <w:r>
        <w:tab/>
        <w:t>(2)</w:t>
      </w:r>
      <w:r>
        <w:tab/>
        <w:t>So far as is practicable emergency management districts are to be established by reference to the boundaries of local government districts.</w:t>
      </w:r>
    </w:p>
    <w:p>
      <w:pPr>
        <w:pStyle w:val="Subsection"/>
      </w:pPr>
      <w:r>
        <w:lastRenderedPageBreak/>
        <w:tab/>
        <w:t>(3)</w:t>
      </w:r>
      <w:r>
        <w:tab/>
        <w:t>If an emergency management district is proposed to be established other than by reference to the boundaries of a local government district, the Minister is to notify each local government in whose district any part of the area proposed to be established is situated and allow a reasonable time for submissions on the proposal.</w:t>
      </w:r>
    </w:p>
    <w:p>
      <w:pPr>
        <w:pStyle w:val="Subsection"/>
      </w:pPr>
      <w:r>
        <w:tab/>
        <w:t>(4)</w:t>
      </w:r>
      <w:r>
        <w:tab/>
        <w:t>In making an order under subsection (1) the Minister is to have regard to any submissions of the local governments.</w:t>
      </w:r>
    </w:p>
    <w:p>
      <w:pPr>
        <w:pStyle w:val="Heading5"/>
      </w:pPr>
      <w:bookmarkStart w:id="61" w:name="_Toc118299999"/>
      <w:r>
        <w:rPr>
          <w:rStyle w:val="CharSectno"/>
        </w:rPr>
        <w:t>29</w:t>
      </w:r>
      <w:r>
        <w:t>.</w:t>
      </w:r>
      <w:r>
        <w:tab/>
        <w:t>District emergency coordinator</w:t>
      </w:r>
      <w:bookmarkEnd w:id="61"/>
    </w:p>
    <w:p>
      <w:pPr>
        <w:pStyle w:val="Subsection"/>
      </w:pPr>
      <w:r>
        <w:tab/>
      </w:r>
      <w:r>
        <w:tab/>
        <w:t>The State Emergency Coordinator is to appoint a district emergency coordinator for each emergency management district.</w:t>
      </w:r>
    </w:p>
    <w:p>
      <w:pPr>
        <w:pStyle w:val="Heading5"/>
      </w:pPr>
      <w:bookmarkStart w:id="62" w:name="_Toc118300000"/>
      <w:r>
        <w:rPr>
          <w:rStyle w:val="CharSectno"/>
        </w:rPr>
        <w:t>30</w:t>
      </w:r>
      <w:r>
        <w:t>.</w:t>
      </w:r>
      <w:r>
        <w:tab/>
        <w:t>Functions of district emergency coordinator</w:t>
      </w:r>
      <w:bookmarkEnd w:id="62"/>
    </w:p>
    <w:p>
      <w:pPr>
        <w:pStyle w:val="Subsection"/>
      </w:pPr>
      <w:r>
        <w:tab/>
      </w:r>
      <w:r>
        <w:tab/>
        <w:t xml:space="preserve">The district emergency coordinator for an emergency management district has the following functions — </w:t>
      </w:r>
    </w:p>
    <w:p>
      <w:pPr>
        <w:pStyle w:val="Indenta"/>
      </w:pPr>
      <w:r>
        <w:tab/>
        <w:t>(a)</w:t>
      </w:r>
      <w:r>
        <w:tab/>
        <w:t>to provide advice and support to the district emergency management committee for the district in the development and maintenance of emergency management arrangements for its district;</w:t>
      </w:r>
    </w:p>
    <w:p>
      <w:pPr>
        <w:pStyle w:val="Indenta"/>
      </w:pPr>
      <w:r>
        <w:tab/>
        <w:t>(b)</w:t>
      </w:r>
      <w:r>
        <w:tab/>
        <w:t>to carry out other emergency management functions in accordance with the directions of the State Emergency Coordinator.</w:t>
      </w:r>
    </w:p>
    <w:p>
      <w:pPr>
        <w:pStyle w:val="Heading5"/>
      </w:pPr>
      <w:bookmarkStart w:id="63" w:name="_Toc118300001"/>
      <w:r>
        <w:rPr>
          <w:rStyle w:val="CharSectno"/>
        </w:rPr>
        <w:t>31</w:t>
      </w:r>
      <w:r>
        <w:t>.</w:t>
      </w:r>
      <w:r>
        <w:tab/>
        <w:t>District emergency management committees</w:t>
      </w:r>
      <w:bookmarkEnd w:id="63"/>
    </w:p>
    <w:p>
      <w:pPr>
        <w:pStyle w:val="Subsection"/>
      </w:pPr>
      <w:r>
        <w:tab/>
        <w:t>(1)</w:t>
      </w:r>
      <w:r>
        <w:tab/>
        <w:t>A district emergency management committee is established for each emergency management district.</w:t>
      </w:r>
    </w:p>
    <w:p>
      <w:pPr>
        <w:pStyle w:val="Subsection"/>
      </w:pPr>
      <w:r>
        <w:tab/>
        <w:t>(2)</w:t>
      </w:r>
      <w:r>
        <w:tab/>
        <w:t>The SEMC may invite the chairmen of the local emergency management committees within the emergency management district to submit a panel of names to the SEMC for consideration for appointment as chairman of the district emergency management committee.</w:t>
      </w:r>
    </w:p>
    <w:p>
      <w:pPr>
        <w:pStyle w:val="Subsection"/>
      </w:pPr>
      <w:r>
        <w:lastRenderedPageBreak/>
        <w:tab/>
        <w:t>(3)</w:t>
      </w:r>
      <w:r>
        <w:tab/>
        <w:t>The SEMC may appoint such person as it thinks fit to be chairman of the district emergency management committee irrespective of whether the name of that person is submitted under subsection (2).</w:t>
      </w:r>
    </w:p>
    <w:p>
      <w:pPr>
        <w:pStyle w:val="Subsection"/>
      </w:pPr>
      <w:r>
        <w:tab/>
        <w:t>(4)</w:t>
      </w:r>
      <w:r>
        <w:tab/>
        <w:t>The district emergency coordinator for the emergency management district is to be a member of the district emergency management committee, and may be appointed as chairman of the committee.</w:t>
      </w:r>
    </w:p>
    <w:p>
      <w:pPr>
        <w:pStyle w:val="Subsection"/>
      </w:pPr>
      <w:r>
        <w:tab/>
        <w:t>(5)</w:t>
      </w:r>
      <w:r>
        <w:tab/>
        <w:t>Subject to this section, the constitution and procedures of a district emergency management committee, and the terms and conditions of appointment of members, are to be determined by the SEMC.</w:t>
      </w:r>
    </w:p>
    <w:p>
      <w:pPr>
        <w:pStyle w:val="Heading5"/>
      </w:pPr>
      <w:bookmarkStart w:id="64" w:name="_Toc118300002"/>
      <w:r>
        <w:rPr>
          <w:rStyle w:val="CharSectno"/>
        </w:rPr>
        <w:t>32</w:t>
      </w:r>
      <w:r>
        <w:t>.</w:t>
      </w:r>
      <w:r>
        <w:tab/>
        <w:t>Functions of district emergency management committees</w:t>
      </w:r>
      <w:bookmarkEnd w:id="64"/>
    </w:p>
    <w:p>
      <w:pPr>
        <w:pStyle w:val="Subsection"/>
      </w:pPr>
      <w:r>
        <w:tab/>
        <w:t>(1)</w:t>
      </w:r>
      <w:r>
        <w:tab/>
        <w:t>It is a function of a district emergency management committee to assist in the establishment and maintenance of effective emergency management arrangements for the district for which it is constituted.</w:t>
      </w:r>
    </w:p>
    <w:p>
      <w:pPr>
        <w:pStyle w:val="Subsection"/>
      </w:pPr>
      <w:r>
        <w:tab/>
        <w:t>(2)</w:t>
      </w:r>
      <w:r>
        <w:tab/>
        <w:t>District emergency management committees have such other functions as are prescribed by the regulations.</w:t>
      </w:r>
    </w:p>
    <w:p>
      <w:pPr>
        <w:pStyle w:val="Heading5"/>
      </w:pPr>
      <w:bookmarkStart w:id="65" w:name="_Toc118300003"/>
      <w:r>
        <w:rPr>
          <w:rStyle w:val="CharSectno"/>
        </w:rPr>
        <w:t>33</w:t>
      </w:r>
      <w:r>
        <w:t>.</w:t>
      </w:r>
      <w:r>
        <w:tab/>
        <w:t>Annual report of district emergency management committees</w:t>
      </w:r>
      <w:bookmarkEnd w:id="65"/>
    </w:p>
    <w:p>
      <w:pPr>
        <w:pStyle w:val="Subsection"/>
      </w:pPr>
      <w:r>
        <w:tab/>
        <w:t>(1)</w:t>
      </w:r>
      <w:r>
        <w:tab/>
        <w:t>Each district emergency management committee is to prepare and submit to the SEMC an annual report on activities undertaken by it during the financial year.</w:t>
      </w:r>
    </w:p>
    <w:p>
      <w:pPr>
        <w:pStyle w:val="Subsection"/>
      </w:pPr>
      <w:r>
        <w:tab/>
        <w:t>(2)</w:t>
      </w:r>
      <w:r>
        <w:tab/>
        <w:t xml:space="preserve">The annual report — </w:t>
      </w:r>
    </w:p>
    <w:p>
      <w:pPr>
        <w:pStyle w:val="Indenta"/>
      </w:pPr>
      <w:r>
        <w:tab/>
        <w:t>(a)</w:t>
      </w:r>
      <w:r>
        <w:tab/>
        <w:t>is to be prepared within the time, and in the manner, directed in writing by the SEMC; and</w:t>
      </w:r>
    </w:p>
    <w:p>
      <w:pPr>
        <w:pStyle w:val="Indenta"/>
      </w:pPr>
      <w:r>
        <w:tab/>
        <w:t>(b)</w:t>
      </w:r>
      <w:r>
        <w:tab/>
        <w:t>is to include the annual report prepared under section 40 of each local emergency management committee within the district.</w:t>
      </w:r>
    </w:p>
    <w:p>
      <w:pPr>
        <w:pStyle w:val="Heading2"/>
      </w:pPr>
      <w:bookmarkStart w:id="66" w:name="_Toc117777648"/>
      <w:bookmarkStart w:id="67" w:name="_Toc117779332"/>
      <w:bookmarkStart w:id="68" w:name="_Toc117845254"/>
      <w:bookmarkStart w:id="69" w:name="_Toc118299640"/>
      <w:bookmarkStart w:id="70" w:name="_Toc118300004"/>
      <w:r>
        <w:rPr>
          <w:rStyle w:val="CharPartNo"/>
        </w:rPr>
        <w:lastRenderedPageBreak/>
        <w:t>Part 3</w:t>
      </w:r>
      <w:r>
        <w:t> — </w:t>
      </w:r>
      <w:r>
        <w:rPr>
          <w:rStyle w:val="CharPartText"/>
        </w:rPr>
        <w:t>Local arrangements</w:t>
      </w:r>
      <w:bookmarkEnd w:id="66"/>
      <w:bookmarkEnd w:id="67"/>
      <w:bookmarkEnd w:id="68"/>
      <w:bookmarkEnd w:id="69"/>
      <w:bookmarkEnd w:id="70"/>
    </w:p>
    <w:p>
      <w:pPr>
        <w:pStyle w:val="Heading3"/>
      </w:pPr>
      <w:bookmarkStart w:id="71" w:name="_Toc117777649"/>
      <w:bookmarkStart w:id="72" w:name="_Toc117779333"/>
      <w:bookmarkStart w:id="73" w:name="_Toc117845255"/>
      <w:bookmarkStart w:id="74" w:name="_Toc118299641"/>
      <w:bookmarkStart w:id="75" w:name="_Toc118300005"/>
      <w:r>
        <w:rPr>
          <w:rStyle w:val="CharDivNo"/>
        </w:rPr>
        <w:t>Division 1</w:t>
      </w:r>
      <w:r>
        <w:t> — </w:t>
      </w:r>
      <w:r>
        <w:rPr>
          <w:rStyle w:val="CharDivText"/>
        </w:rPr>
        <w:t>Local emergency authorities</w:t>
      </w:r>
      <w:bookmarkEnd w:id="71"/>
      <w:bookmarkEnd w:id="72"/>
      <w:bookmarkEnd w:id="73"/>
      <w:bookmarkEnd w:id="74"/>
      <w:bookmarkEnd w:id="75"/>
    </w:p>
    <w:p>
      <w:pPr>
        <w:pStyle w:val="Heading5"/>
      </w:pPr>
      <w:bookmarkStart w:id="76" w:name="_Toc118300006"/>
      <w:r>
        <w:rPr>
          <w:rStyle w:val="CharSectno"/>
        </w:rPr>
        <w:t>34</w:t>
      </w:r>
      <w:r>
        <w:t>.</w:t>
      </w:r>
      <w:r>
        <w:tab/>
        <w:t>Local governments may combine</w:t>
      </w:r>
      <w:bookmarkEnd w:id="76"/>
    </w:p>
    <w:p>
      <w:pPr>
        <w:pStyle w:val="Subsection"/>
      </w:pPr>
      <w:r>
        <w:tab/>
        <w:t>(1)</w:t>
      </w:r>
      <w:r>
        <w:tab/>
        <w:t>Two or more local governments may, with the approval of the SEMC, agree to unite for the purposes of emergency management under this Part.</w:t>
      </w:r>
    </w:p>
    <w:p>
      <w:pPr>
        <w:pStyle w:val="Subsection"/>
      </w:pPr>
      <w:r>
        <w:tab/>
        <w:t>(2)</w:t>
      </w:r>
      <w:r>
        <w:tab/>
        <w:t xml:space="preserve">If 2 or more local governments (the </w:t>
      </w:r>
      <w:r>
        <w:rPr>
          <w:rStyle w:val="CharDefText"/>
        </w:rPr>
        <w:t>combined local government</w:t>
      </w:r>
      <w:r>
        <w:t xml:space="preserve">) unite as mentioned in subsection (1), the provisions of this Part apply as if — </w:t>
      </w:r>
    </w:p>
    <w:p>
      <w:pPr>
        <w:pStyle w:val="Indenta"/>
      </w:pPr>
      <w:r>
        <w:tab/>
        <w:t>(a)</w:t>
      </w:r>
      <w:r>
        <w:tab/>
        <w:t>a reference to a local government were a reference to the combined local government; and</w:t>
      </w:r>
    </w:p>
    <w:p>
      <w:pPr>
        <w:pStyle w:val="Indenta"/>
      </w:pPr>
      <w:r>
        <w:tab/>
        <w:t>(b)</w:t>
      </w:r>
      <w:r>
        <w:tab/>
        <w:t>a reference to the local government’s district were a reference to the districts of the combined local government; and</w:t>
      </w:r>
    </w:p>
    <w:p>
      <w:pPr>
        <w:pStyle w:val="Indenta"/>
      </w:pPr>
      <w:r>
        <w:tab/>
        <w:t>(c)</w:t>
      </w:r>
      <w:r>
        <w:tab/>
        <w:t>a reference to the local government’s offices were a reference to the office of each local government that is part of the combined local government.</w:t>
      </w:r>
    </w:p>
    <w:p>
      <w:pPr>
        <w:pStyle w:val="Heading5"/>
      </w:pPr>
      <w:bookmarkStart w:id="77" w:name="_Toc118300007"/>
      <w:r>
        <w:rPr>
          <w:rStyle w:val="CharSectno"/>
        </w:rPr>
        <w:t>35</w:t>
      </w:r>
      <w:r>
        <w:t>.</w:t>
      </w:r>
      <w:r>
        <w:tab/>
        <w:t>Specified public authority may exercise functions of local government</w:t>
      </w:r>
      <w:bookmarkEnd w:id="77"/>
    </w:p>
    <w:p>
      <w:pPr>
        <w:pStyle w:val="Subsection"/>
      </w:pPr>
      <w:r>
        <w:tab/>
        <w:t>(1)</w:t>
      </w:r>
      <w:r>
        <w:tab/>
        <w:t xml:space="preserve">The SEMC, by notice published in the </w:t>
      </w:r>
      <w:r>
        <w:rPr>
          <w:i/>
        </w:rPr>
        <w:t>Gazette</w:t>
      </w:r>
      <w:r>
        <w:t xml:space="preserve">, may designate — </w:t>
      </w:r>
    </w:p>
    <w:p>
      <w:pPr>
        <w:pStyle w:val="Indenta"/>
      </w:pPr>
      <w:r>
        <w:tab/>
        <w:t>(a)</w:t>
      </w:r>
      <w:r>
        <w:tab/>
        <w:t>a specified area of one or more local government districts; or</w:t>
      </w:r>
    </w:p>
    <w:p>
      <w:pPr>
        <w:pStyle w:val="Indenta"/>
      </w:pPr>
      <w:r>
        <w:tab/>
        <w:t>(b)</w:t>
      </w:r>
      <w:r>
        <w:tab/>
        <w:t>a specified area that is not part of a local government district,</w:t>
      </w:r>
    </w:p>
    <w:p>
      <w:pPr>
        <w:pStyle w:val="Subsection"/>
      </w:pPr>
      <w:r>
        <w:tab/>
      </w:r>
      <w:r>
        <w:tab/>
        <w:t>as an area in which a specified public authority is to perform and exercise all of the functions of a local government under this Part.</w:t>
      </w:r>
    </w:p>
    <w:p>
      <w:pPr>
        <w:pStyle w:val="Subsection"/>
      </w:pPr>
      <w:r>
        <w:tab/>
        <w:t>(2)</w:t>
      </w:r>
      <w:r>
        <w:tab/>
        <w:t xml:space="preserve">Before designating an area under subsection (1) the SEMC is to notify each local government in whose district any part of the </w:t>
      </w:r>
      <w:r>
        <w:lastRenderedPageBreak/>
        <w:t>area proposed to be designated is situated of what is proposed to be done and allow a reasonable time for submissions on the proposal.</w:t>
      </w:r>
    </w:p>
    <w:p>
      <w:pPr>
        <w:pStyle w:val="Subsection"/>
      </w:pPr>
      <w:r>
        <w:tab/>
        <w:t>(3)</w:t>
      </w:r>
      <w:r>
        <w:tab/>
        <w:t>In designating an area under subsection (1) the SEMC is to have regard to any submissions of the local government.</w:t>
      </w:r>
    </w:p>
    <w:p>
      <w:pPr>
        <w:pStyle w:val="Subsection"/>
      </w:pPr>
      <w:r>
        <w:tab/>
        <w:t>(4)</w:t>
      </w:r>
      <w:r>
        <w:tab/>
        <w:t>A local government is not to perform or exercise functions under this Part in relation to an area within its district that is designated under subsection (1)(a) unless the local government is requested to do so by the public authority specified under subsection (1) in relation to that area.</w:t>
      </w:r>
    </w:p>
    <w:p>
      <w:pPr>
        <w:pStyle w:val="Subsection"/>
      </w:pPr>
      <w:r>
        <w:tab/>
        <w:t>(5)</w:t>
      </w:r>
      <w:r>
        <w:tab/>
        <w:t xml:space="preserve">If a notice is published under subsection (1), section 16(2) and this Part apply as if — </w:t>
      </w:r>
    </w:p>
    <w:p>
      <w:pPr>
        <w:pStyle w:val="Indenta"/>
      </w:pPr>
      <w:r>
        <w:tab/>
        <w:t>(a)</w:t>
      </w:r>
      <w:r>
        <w:tab/>
        <w:t>a reference to a local government were a reference to the public authority specified in the notice; and</w:t>
      </w:r>
    </w:p>
    <w:p>
      <w:pPr>
        <w:pStyle w:val="Indenta"/>
      </w:pPr>
      <w:r>
        <w:tab/>
        <w:t>(b)</w:t>
      </w:r>
      <w:r>
        <w:tab/>
        <w:t>a reference to a local government district, in relation to the public authority specified in the notice, were a reference to the area designated in the notice.</w:t>
      </w:r>
    </w:p>
    <w:p>
      <w:pPr>
        <w:pStyle w:val="Subsection"/>
      </w:pPr>
      <w:r>
        <w:tab/>
        <w:t>(6)</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Heading5"/>
      </w:pPr>
      <w:bookmarkStart w:id="78" w:name="_Toc118300008"/>
      <w:r>
        <w:rPr>
          <w:rStyle w:val="CharSectno"/>
        </w:rPr>
        <w:t>36</w:t>
      </w:r>
      <w:r>
        <w:t>.</w:t>
      </w:r>
      <w:r>
        <w:tab/>
        <w:t>Functions of local government</w:t>
      </w:r>
      <w:bookmarkEnd w:id="78"/>
    </w:p>
    <w:p>
      <w:pPr>
        <w:pStyle w:val="Subsection"/>
      </w:pPr>
      <w:r>
        <w:tab/>
      </w:r>
      <w:r>
        <w:tab/>
        <w:t xml:space="preserve">It is a function of a local government — </w:t>
      </w:r>
    </w:p>
    <w:p>
      <w:pPr>
        <w:pStyle w:val="Indenta"/>
      </w:pPr>
      <w:r>
        <w:tab/>
        <w:t>(a)</w:t>
      </w:r>
      <w:r>
        <w:tab/>
        <w:t>subject to this Act, to ensure that effective local emergency management arrangements are prepared and maintained for its district; and</w:t>
      </w:r>
    </w:p>
    <w:p>
      <w:pPr>
        <w:pStyle w:val="Indenta"/>
      </w:pPr>
      <w:r>
        <w:tab/>
        <w:t>(b)</w:t>
      </w:r>
      <w:r>
        <w:tab/>
        <w:t>to manage recovery following an emergency affecting the community in its district; and</w:t>
      </w:r>
    </w:p>
    <w:p>
      <w:pPr>
        <w:pStyle w:val="Indenta"/>
      </w:pPr>
      <w:r>
        <w:tab/>
        <w:t>(c)</w:t>
      </w:r>
      <w:r>
        <w:tab/>
        <w:t>to perform other functions given to the local government under this Act.</w:t>
      </w:r>
    </w:p>
    <w:p>
      <w:pPr>
        <w:pStyle w:val="Heading5"/>
      </w:pPr>
      <w:bookmarkStart w:id="79" w:name="_Toc118300009"/>
      <w:r>
        <w:rPr>
          <w:rStyle w:val="CharSectno"/>
        </w:rPr>
        <w:lastRenderedPageBreak/>
        <w:t>37</w:t>
      </w:r>
      <w:r>
        <w:t>.</w:t>
      </w:r>
      <w:r>
        <w:tab/>
        <w:t>Local emergency coordinators</w:t>
      </w:r>
      <w:bookmarkEnd w:id="79"/>
    </w:p>
    <w:p>
      <w:pPr>
        <w:pStyle w:val="Subsection"/>
      </w:pPr>
      <w:r>
        <w:tab/>
        <w:t>(1)</w:t>
      </w:r>
      <w:r>
        <w:tab/>
        <w:t>The State Emergency Coordinator is to appoint a local emergency coordinator for each local government district.</w:t>
      </w:r>
    </w:p>
    <w:p>
      <w:pPr>
        <w:pStyle w:val="Subsection"/>
      </w:pPr>
      <w:r>
        <w:tab/>
        <w:t>(2)</w:t>
      </w:r>
      <w:r>
        <w:tab/>
        <w:t>Before appointing a local emergency coordinator for a local government district the State Emergency Coordinator is to consult the relevant local government.</w:t>
      </w:r>
    </w:p>
    <w:p>
      <w:pPr>
        <w:pStyle w:val="Subsection"/>
      </w:pPr>
      <w:r>
        <w:tab/>
        <w:t>(3)</w:t>
      </w:r>
      <w:r>
        <w:tab/>
        <w:t>In making an appointment the State Emergency Coordinator is to have regard to any submissions of the local government.</w:t>
      </w:r>
    </w:p>
    <w:p>
      <w:pPr>
        <w:pStyle w:val="Subsection"/>
      </w:pPr>
      <w:r>
        <w:tab/>
        <w:t>(4)</w:t>
      </w:r>
      <w:r>
        <w:tab/>
        <w:t xml:space="preserve">The local emergency coordinator for a local government district has the following functions — </w:t>
      </w:r>
    </w:p>
    <w:p>
      <w:pPr>
        <w:pStyle w:val="Indenta"/>
      </w:pPr>
      <w:r>
        <w:tab/>
        <w:t>(a)</w:t>
      </w:r>
      <w:r>
        <w:tab/>
        <w:t>to provide advice and support to the local emergency management committee for the district in the development and maintenance of emergency management arrangements for the district;</w:t>
      </w:r>
    </w:p>
    <w:p>
      <w:pPr>
        <w:pStyle w:val="Indenta"/>
      </w:pPr>
      <w:r>
        <w:tab/>
        <w:t>(b)</w:t>
      </w:r>
      <w:r>
        <w:tab/>
        <w:t>to assist hazard management agencies in the provision of a coordinated response during an emergency in the district;</w:t>
      </w:r>
    </w:p>
    <w:p>
      <w:pPr>
        <w:pStyle w:val="Indenta"/>
      </w:pPr>
      <w:r>
        <w:tab/>
        <w:t>(c)</w:t>
      </w:r>
      <w:r>
        <w:tab/>
        <w:t>to carry out other emergency management activities in accordance with the directions of the State Emergency Coordinator.</w:t>
      </w:r>
    </w:p>
    <w:p>
      <w:pPr>
        <w:pStyle w:val="Heading5"/>
      </w:pPr>
      <w:bookmarkStart w:id="80" w:name="_Toc118300010"/>
      <w:r>
        <w:rPr>
          <w:rStyle w:val="CharSectno"/>
        </w:rPr>
        <w:t>38</w:t>
      </w:r>
      <w:r>
        <w:t>.</w:t>
      </w:r>
      <w:r>
        <w:tab/>
        <w:t>Local emergency management committees</w:t>
      </w:r>
      <w:bookmarkEnd w:id="80"/>
    </w:p>
    <w:p>
      <w:pPr>
        <w:pStyle w:val="Subsection"/>
      </w:pPr>
      <w:r>
        <w:tab/>
        <w:t>(1)</w:t>
      </w:r>
      <w:r>
        <w:tab/>
        <w:t>A local government is to establish one or more local emergency management committees for the local government’s district.</w:t>
      </w:r>
    </w:p>
    <w:p>
      <w:pPr>
        <w:pStyle w:val="Subsection"/>
      </w:pPr>
      <w:r>
        <w:tab/>
        <w:t>(2)</w:t>
      </w:r>
      <w:r>
        <w:tab/>
        <w:t>If more than one local emergency management committee is established, the local government is to specify the area in respect of which the committee is to exercise its functions.</w:t>
      </w:r>
    </w:p>
    <w:p>
      <w:pPr>
        <w:pStyle w:val="Subsection"/>
      </w:pPr>
      <w:r>
        <w:tab/>
        <w:t>(3)</w:t>
      </w:r>
      <w:r>
        <w:tab/>
        <w:t xml:space="preserve">A local emergency management committee consists of — </w:t>
      </w:r>
    </w:p>
    <w:p>
      <w:pPr>
        <w:pStyle w:val="Indenta"/>
      </w:pPr>
      <w:r>
        <w:tab/>
        <w:t>(a)</w:t>
      </w:r>
      <w:r>
        <w:tab/>
        <w:t>a chairman and other members appointed by the relevant local government in accordance with subsection (4); and</w:t>
      </w:r>
    </w:p>
    <w:p>
      <w:pPr>
        <w:pStyle w:val="Indenta"/>
      </w:pPr>
      <w:r>
        <w:lastRenderedPageBreak/>
        <w:tab/>
        <w:t>(b)</w:t>
      </w:r>
      <w:r>
        <w:tab/>
        <w:t>if the local emergency coordinator is not appointed as chairman of the committee, the local emergency coordinator for the local government district.</w:t>
      </w:r>
    </w:p>
    <w:p>
      <w:pPr>
        <w:pStyle w:val="Subsection"/>
      </w:pPr>
      <w:r>
        <w:tab/>
        <w:t>(4)</w:t>
      </w:r>
      <w:r>
        <w:tab/>
        <w:t>Subject to this section, the constitution and procedures of a local emergency management committee, and the terms and conditions of appointment of members, are to be determined by the SEMC.</w:t>
      </w:r>
    </w:p>
    <w:p>
      <w:pPr>
        <w:pStyle w:val="Heading5"/>
      </w:pPr>
      <w:bookmarkStart w:id="81" w:name="_Toc118300011"/>
      <w:r>
        <w:rPr>
          <w:rStyle w:val="CharSectno"/>
        </w:rPr>
        <w:t>39</w:t>
      </w:r>
      <w:r>
        <w:t>.</w:t>
      </w:r>
      <w:r>
        <w:tab/>
        <w:t>Functions of local emergency management committees</w:t>
      </w:r>
      <w:bookmarkEnd w:id="81"/>
    </w:p>
    <w:p>
      <w:pPr>
        <w:pStyle w:val="Subsection"/>
      </w:pPr>
      <w:r>
        <w:tab/>
      </w:r>
      <w:r>
        <w:tab/>
        <w:t xml:space="preserve">The functions of a local emergency management committee are, in relation to its district or the area for which it is established — </w:t>
      </w:r>
    </w:p>
    <w:p>
      <w:pPr>
        <w:pStyle w:val="Indenta"/>
      </w:pPr>
      <w:r>
        <w:tab/>
        <w:t>(a)</w:t>
      </w:r>
      <w:r>
        <w:tab/>
        <w:t>to advise and assist the local government in ensuring that local emergency management arrangements are established for its district; and</w:t>
      </w:r>
    </w:p>
    <w:p>
      <w:pPr>
        <w:pStyle w:val="Indenta"/>
      </w:pPr>
      <w:r>
        <w:tab/>
        <w:t>(b)</w:t>
      </w:r>
      <w:r>
        <w:tab/>
        <w:t>to liaise with public authorities and other persons in the development, review and testing of local emergency management arrangements; and</w:t>
      </w:r>
    </w:p>
    <w:p>
      <w:pPr>
        <w:pStyle w:val="Indenta"/>
      </w:pPr>
      <w:r>
        <w:tab/>
        <w:t>(c)</w:t>
      </w:r>
      <w:r>
        <w:tab/>
        <w:t>to carry out other emergency management activities as directed by the SEMC or prescribed by the regulations.</w:t>
      </w:r>
    </w:p>
    <w:p>
      <w:pPr>
        <w:pStyle w:val="Heading5"/>
      </w:pPr>
      <w:bookmarkStart w:id="82" w:name="_Toc118300012"/>
      <w:r>
        <w:rPr>
          <w:rStyle w:val="CharSectno"/>
        </w:rPr>
        <w:t>40</w:t>
      </w:r>
      <w:r>
        <w:t>.</w:t>
      </w:r>
      <w:r>
        <w:tab/>
        <w:t>Annual report of local emergency management committee</w:t>
      </w:r>
      <w:bookmarkEnd w:id="82"/>
    </w:p>
    <w:p>
      <w:pPr>
        <w:pStyle w:val="Subsection"/>
      </w:pPr>
      <w:r>
        <w:tab/>
        <w:t>(1)</w:t>
      </w:r>
      <w:r>
        <w:tab/>
        <w:t>After the end of each financial year each local emergency management committee is to prepare and submit to the district emergency management committee for the district an annual report on activities undertaken by it during the financial year.</w:t>
      </w:r>
    </w:p>
    <w:p>
      <w:pPr>
        <w:pStyle w:val="Subsection"/>
      </w:pPr>
      <w:r>
        <w:tab/>
        <w:t>(2)</w:t>
      </w:r>
      <w:r>
        <w:tab/>
        <w:t>The annual report is to be prepared within such reasonable time, and in the manner, as is directed in writing by the SEMC.</w:t>
      </w:r>
    </w:p>
    <w:p>
      <w:pPr>
        <w:pStyle w:val="Heading3"/>
      </w:pPr>
      <w:bookmarkStart w:id="83" w:name="_Toc117777657"/>
      <w:bookmarkStart w:id="84" w:name="_Toc117779341"/>
      <w:bookmarkStart w:id="85" w:name="_Toc117845263"/>
      <w:bookmarkStart w:id="86" w:name="_Toc118299649"/>
      <w:bookmarkStart w:id="87" w:name="_Toc118300013"/>
      <w:r>
        <w:rPr>
          <w:rStyle w:val="CharDivNo"/>
        </w:rPr>
        <w:lastRenderedPageBreak/>
        <w:t>Division 2</w:t>
      </w:r>
      <w:r>
        <w:t> — </w:t>
      </w:r>
      <w:r>
        <w:rPr>
          <w:rStyle w:val="CharDivText"/>
        </w:rPr>
        <w:t>Emergency management arrangements for local governments</w:t>
      </w:r>
      <w:bookmarkEnd w:id="83"/>
      <w:bookmarkEnd w:id="84"/>
      <w:bookmarkEnd w:id="85"/>
      <w:bookmarkEnd w:id="86"/>
      <w:bookmarkEnd w:id="87"/>
    </w:p>
    <w:p>
      <w:pPr>
        <w:pStyle w:val="Heading5"/>
      </w:pPr>
      <w:bookmarkStart w:id="88" w:name="_Toc118300014"/>
      <w:r>
        <w:rPr>
          <w:rStyle w:val="CharSectno"/>
        </w:rPr>
        <w:t>41</w:t>
      </w:r>
      <w:r>
        <w:t>.</w:t>
      </w:r>
      <w:r>
        <w:tab/>
        <w:t>Emergency management arrangements in local government district</w:t>
      </w:r>
      <w:bookmarkEnd w:id="88"/>
    </w:p>
    <w:p>
      <w:pPr>
        <w:pStyle w:val="Subsection"/>
      </w:pPr>
      <w:r>
        <w:tab/>
        <w:t>(1)</w:t>
      </w:r>
      <w:r>
        <w:tab/>
        <w:t>A local government is to ensure that arrangements (</w:t>
      </w:r>
      <w:r>
        <w:rPr>
          <w:rStyle w:val="CharDefText"/>
        </w:rPr>
        <w:t>local emergency management arrangements</w:t>
      </w:r>
      <w:r>
        <w:t>) for emergency management in the local government’s district are prepared.</w:t>
      </w:r>
    </w:p>
    <w:p>
      <w:pPr>
        <w:pStyle w:val="Subsection"/>
      </w:pPr>
      <w:r>
        <w:tab/>
        <w:t>(2)</w:t>
      </w:r>
      <w:r>
        <w:tab/>
        <w:t xml:space="preserve">The local emergency management arrangements are to set out — </w:t>
      </w:r>
    </w:p>
    <w:p>
      <w:pPr>
        <w:pStyle w:val="Indenta"/>
      </w:pPr>
      <w:r>
        <w:tab/>
        <w:t>(a)</w:t>
      </w:r>
      <w:r>
        <w:tab/>
        <w:t>the local government’s policies for emergency management; and</w:t>
      </w:r>
    </w:p>
    <w:p>
      <w:pPr>
        <w:pStyle w:val="Indenta"/>
      </w:pPr>
      <w:r>
        <w:tab/>
        <w:t>(b)</w:t>
      </w:r>
      <w:r>
        <w:tab/>
        <w:t>the roles and responsibilities of public authorities and other persons involved in emergency management in the local government district; and</w:t>
      </w:r>
    </w:p>
    <w:p>
      <w:pPr>
        <w:pStyle w:val="Indenta"/>
      </w:pPr>
      <w:r>
        <w:tab/>
        <w:t>(c)</w:t>
      </w:r>
      <w:r>
        <w:tab/>
        <w:t>provisions about the coordination of emergency operations and activities relating to emergency management performed by the persons mentioned in paragraph (b); and</w:t>
      </w:r>
    </w:p>
    <w:p>
      <w:pPr>
        <w:pStyle w:val="Indenta"/>
      </w:pPr>
      <w:r>
        <w:tab/>
        <w:t>(d)</w:t>
      </w:r>
      <w:r>
        <w:tab/>
        <w:t>a description of emergencies that are likely to occur in the local government district; and</w:t>
      </w:r>
    </w:p>
    <w:p>
      <w:pPr>
        <w:pStyle w:val="Indenta"/>
      </w:pPr>
      <w:r>
        <w:tab/>
        <w:t>(e)</w:t>
      </w:r>
      <w:r>
        <w:tab/>
        <w:t>strategies and priorities for emergency management in the local government district; and</w:t>
      </w:r>
    </w:p>
    <w:p>
      <w:pPr>
        <w:pStyle w:val="Indenta"/>
      </w:pPr>
      <w:r>
        <w:tab/>
        <w:t>(f)</w:t>
      </w:r>
      <w:r>
        <w:tab/>
        <w:t>other matters about emergency management in the local government district prescribed by the regulations; and</w:t>
      </w:r>
    </w:p>
    <w:p>
      <w:pPr>
        <w:pStyle w:val="Indenta"/>
      </w:pPr>
      <w:r>
        <w:tab/>
        <w:t>(g)</w:t>
      </w:r>
      <w:r>
        <w:tab/>
        <w:t>other matters about emergency management in the local government district the local government considers appropriate.</w:t>
      </w:r>
    </w:p>
    <w:p>
      <w:pPr>
        <w:pStyle w:val="Subsection"/>
      </w:pPr>
      <w:r>
        <w:tab/>
        <w:t>(3)</w:t>
      </w:r>
      <w:r>
        <w:tab/>
        <w:t>Local emergency management arrangements are to be consistent with the State emergency management policies and State emergency management plans.</w:t>
      </w:r>
    </w:p>
    <w:p>
      <w:pPr>
        <w:pStyle w:val="Subsection"/>
      </w:pPr>
      <w:r>
        <w:lastRenderedPageBreak/>
        <w:tab/>
        <w:t>(4)</w:t>
      </w:r>
      <w:r>
        <w:tab/>
        <w:t>Local emergency management arrangements are to include a recovery plan and the nomination of a local recovery coordinator.</w:t>
      </w:r>
    </w:p>
    <w:p>
      <w:pPr>
        <w:pStyle w:val="Subsection"/>
      </w:pPr>
      <w:r>
        <w:tab/>
        <w:t>(5)</w:t>
      </w:r>
      <w:r>
        <w:tab/>
        <w:t>A local government is to deliver a copy of its local emergency management arrangements, and any amendment to the arrangements, to the SEMC as soon as is practicable after they are prepared.</w:t>
      </w:r>
    </w:p>
    <w:p>
      <w:pPr>
        <w:pStyle w:val="Heading5"/>
      </w:pPr>
      <w:bookmarkStart w:id="89" w:name="_Toc118300015"/>
      <w:r>
        <w:rPr>
          <w:rStyle w:val="CharSectno"/>
        </w:rPr>
        <w:t>42</w:t>
      </w:r>
      <w:r>
        <w:t>.</w:t>
      </w:r>
      <w:r>
        <w:tab/>
        <w:t>Reviewing and renewing local emergency management arrangements</w:t>
      </w:r>
      <w:bookmarkEnd w:id="89"/>
    </w:p>
    <w:p>
      <w:pPr>
        <w:pStyle w:val="Subsection"/>
      </w:pPr>
      <w:r>
        <w:tab/>
        <w:t>(1)</w:t>
      </w:r>
      <w:r>
        <w:tab/>
        <w:t>A local government is to ensure that its local emergency management arrangements are reviewed in accordance with the procedures established by the SEMC.</w:t>
      </w:r>
    </w:p>
    <w:p>
      <w:pPr>
        <w:pStyle w:val="Subsection"/>
      </w:pPr>
      <w:r>
        <w:tab/>
        <w:t>(2)</w:t>
      </w:r>
      <w:r>
        <w:tab/>
        <w:t>Local emergency management arrangements may be amended or replaced whenever the local government considers it appropriate.</w:t>
      </w:r>
    </w:p>
    <w:p>
      <w:pPr>
        <w:pStyle w:val="Heading5"/>
      </w:pPr>
      <w:bookmarkStart w:id="90" w:name="_Toc118300016"/>
      <w:r>
        <w:rPr>
          <w:rStyle w:val="CharSectno"/>
        </w:rPr>
        <w:t>43</w:t>
      </w:r>
      <w:r>
        <w:t>.</w:t>
      </w:r>
      <w:r>
        <w:tab/>
        <w:t>Local emergency management arrangements to be available for inspection</w:t>
      </w:r>
      <w:bookmarkEnd w:id="90"/>
    </w:p>
    <w:p>
      <w:pPr>
        <w:pStyle w:val="Subsection"/>
      </w:pPr>
      <w:r>
        <w:tab/>
        <w:t>(1)</w:t>
      </w:r>
      <w:r>
        <w:tab/>
        <w:t>A local government is to keep a copy of its local emergency management arrangements at the offices of the local government.</w:t>
      </w:r>
    </w:p>
    <w:p>
      <w:pPr>
        <w:pStyle w:val="Subsection"/>
        <w:keepNext/>
        <w:keepLines/>
      </w:pPr>
      <w:r>
        <w:tab/>
        <w:t>(2)</w:t>
      </w:r>
      <w:r>
        <w:tab/>
        <w:t>The arrangements are to be available for inspection, free of charge, by members of the public during office hours.</w:t>
      </w:r>
    </w:p>
    <w:p>
      <w:pPr>
        <w:pStyle w:val="Subsection"/>
      </w:pPr>
      <w:r>
        <w:tab/>
        <w:t>(3)</w:t>
      </w:r>
      <w:r>
        <w:tab/>
        <w:t>The arrangements may be made available in written or electronic form.</w:t>
      </w:r>
    </w:p>
    <w:p>
      <w:pPr>
        <w:pStyle w:val="Heading3"/>
      </w:pPr>
      <w:bookmarkStart w:id="91" w:name="_Toc117777661"/>
      <w:bookmarkStart w:id="92" w:name="_Toc117779345"/>
      <w:bookmarkStart w:id="93" w:name="_Toc117845267"/>
      <w:bookmarkStart w:id="94" w:name="_Toc118299653"/>
      <w:bookmarkStart w:id="95" w:name="_Toc118300017"/>
      <w:r>
        <w:rPr>
          <w:rStyle w:val="CharDivNo"/>
        </w:rPr>
        <w:t>Division 3</w:t>
      </w:r>
      <w:r>
        <w:t> — </w:t>
      </w:r>
      <w:r>
        <w:rPr>
          <w:rStyle w:val="CharDivText"/>
        </w:rPr>
        <w:t>Powers of local government during cyclone</w:t>
      </w:r>
      <w:bookmarkEnd w:id="91"/>
      <w:bookmarkEnd w:id="92"/>
      <w:bookmarkEnd w:id="93"/>
      <w:bookmarkEnd w:id="94"/>
      <w:bookmarkEnd w:id="95"/>
    </w:p>
    <w:p>
      <w:pPr>
        <w:pStyle w:val="Heading5"/>
      </w:pPr>
      <w:bookmarkStart w:id="96" w:name="_Toc118300018"/>
      <w:r>
        <w:rPr>
          <w:rStyle w:val="CharSectno"/>
        </w:rPr>
        <w:t>44</w:t>
      </w:r>
      <w:r>
        <w:t>.</w:t>
      </w:r>
      <w:r>
        <w:tab/>
        <w:t>Term used: cyclone area</w:t>
      </w:r>
      <w:bookmarkEnd w:id="96"/>
    </w:p>
    <w:p>
      <w:pPr>
        <w:pStyle w:val="Subsection"/>
      </w:pPr>
      <w:r>
        <w:tab/>
      </w:r>
      <w:r>
        <w:tab/>
        <w:t xml:space="preserve">In this Division — </w:t>
      </w:r>
    </w:p>
    <w:p>
      <w:pPr>
        <w:pStyle w:val="Defstart"/>
      </w:pPr>
      <w:r>
        <w:rPr>
          <w:b/>
        </w:rPr>
        <w:tab/>
      </w:r>
      <w:r>
        <w:rPr>
          <w:rStyle w:val="CharDefText"/>
        </w:rPr>
        <w:t>cyclone area</w:t>
      </w:r>
      <w:r>
        <w:t xml:space="preserve"> means a cyclone area designated under section 16.</w:t>
      </w:r>
    </w:p>
    <w:p>
      <w:pPr>
        <w:pStyle w:val="Heading5"/>
      </w:pPr>
      <w:bookmarkStart w:id="97" w:name="_Toc118300019"/>
      <w:r>
        <w:rPr>
          <w:rStyle w:val="CharSectno"/>
        </w:rPr>
        <w:lastRenderedPageBreak/>
        <w:t>45</w:t>
      </w:r>
      <w:r>
        <w:t>.</w:t>
      </w:r>
      <w:r>
        <w:tab/>
        <w:t>Exercise of powers under this Division</w:t>
      </w:r>
      <w:bookmarkEnd w:id="97"/>
    </w:p>
    <w:p>
      <w:pPr>
        <w:pStyle w:val="Subsection"/>
      </w:pPr>
      <w:r>
        <w:tab/>
      </w:r>
      <w:r>
        <w:tab/>
        <w:t>The powers given to a local government by this Division can only be exercised on behalf of the local government by a person expressly authorised by it to exercise those powers.</w:t>
      </w:r>
    </w:p>
    <w:p>
      <w:pPr>
        <w:pStyle w:val="Heading5"/>
      </w:pPr>
      <w:bookmarkStart w:id="98" w:name="_Toc118300020"/>
      <w:r>
        <w:rPr>
          <w:rStyle w:val="CharSectno"/>
        </w:rPr>
        <w:t>46</w:t>
      </w:r>
      <w:r>
        <w:t>.</w:t>
      </w:r>
      <w:r>
        <w:tab/>
        <w:t>Power of local government to destroy dangerous vegetation or premises in cyclone area</w:t>
      </w:r>
      <w:bookmarkEnd w:id="98"/>
    </w:p>
    <w:p>
      <w:pPr>
        <w:pStyle w:val="Subsection"/>
      </w:pPr>
      <w:r>
        <w:tab/>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pPr>
      <w:r>
        <w:tab/>
      </w:r>
      <w:r>
        <w:tab/>
        <w:t>the local government may remove or destroy the vegetation or remove, dismantle or destroy the premises.</w:t>
      </w:r>
    </w:p>
    <w:p>
      <w:pPr>
        <w:pStyle w:val="Heading5"/>
        <w:spacing w:before="120"/>
      </w:pPr>
      <w:bookmarkStart w:id="99" w:name="_Toc118300021"/>
      <w:r>
        <w:rPr>
          <w:rStyle w:val="CharSectno"/>
        </w:rPr>
        <w:t>47</w:t>
      </w:r>
      <w:r>
        <w:t>.</w:t>
      </w:r>
      <w:r>
        <w:tab/>
        <w:t>Local government may require owner or occupier of land to take action</w:t>
      </w:r>
      <w:bookmarkEnd w:id="99"/>
    </w:p>
    <w:p>
      <w:pPr>
        <w:pStyle w:val="Subsection"/>
        <w:spacing w:before="100"/>
      </w:pPr>
      <w:r>
        <w:tab/>
        <w:t>(1)</w:t>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spacing w:before="100"/>
      </w:pPr>
      <w:r>
        <w:tab/>
      </w:r>
      <w:r>
        <w:tab/>
        <w:t>the local government may give a person who is the owner or the occupier of the land a direction in writing requiring the person to take measures specified in the direction to prevent or minimise the loss, prejudice, harm, destruction or damage.</w:t>
      </w:r>
    </w:p>
    <w:p>
      <w:pPr>
        <w:pStyle w:val="Subsection"/>
      </w:pPr>
      <w:r>
        <w:tab/>
        <w:t>(2)</w:t>
      </w:r>
      <w:r>
        <w:tab/>
        <w:t>A person who is given a direction under subsection (1) is not prevented from complying with it because of the terms on which the land is held.</w:t>
      </w:r>
    </w:p>
    <w:p>
      <w:pPr>
        <w:pStyle w:val="Heading5"/>
      </w:pPr>
      <w:bookmarkStart w:id="100" w:name="_Toc118300022"/>
      <w:r>
        <w:rPr>
          <w:rStyle w:val="CharSectno"/>
        </w:rPr>
        <w:lastRenderedPageBreak/>
        <w:t>48</w:t>
      </w:r>
      <w:r>
        <w:t>.</w:t>
      </w:r>
      <w:r>
        <w:tab/>
        <w:t>Additional powers when direction given</w:t>
      </w:r>
      <w:bookmarkEnd w:id="100"/>
    </w:p>
    <w:p>
      <w:pPr>
        <w:pStyle w:val="Subsection"/>
      </w:pPr>
      <w:r>
        <w:tab/>
        <w:t>(1)</w:t>
      </w:r>
      <w:r>
        <w:tab/>
        <w:t>This section applies when a direction is given under section 47.</w:t>
      </w:r>
    </w:p>
    <w:p>
      <w:pPr>
        <w:pStyle w:val="Subsection"/>
      </w:pPr>
      <w:r>
        <w:tab/>
        <w:t>(2)</w:t>
      </w:r>
      <w:r>
        <w:tab/>
        <w:t xml:space="preserve">If the person who is given the direction (the </w:t>
      </w:r>
      <w:r>
        <w:rPr>
          <w:rStyle w:val="CharDefText"/>
        </w:rPr>
        <w:t>direction recipient</w:t>
      </w:r>
      <w:r>
        <w:t>) fails to comply with it, the local government may do anything that it considers necessary to achieve, so far as is practicable, the purpose for which the direction was given.</w:t>
      </w:r>
    </w:p>
    <w:p>
      <w:pPr>
        <w:pStyle w:val="Subsection"/>
      </w:pPr>
      <w:r>
        <w:tab/>
        <w:t>(3)</w:t>
      </w:r>
      <w:r>
        <w:tab/>
        <w:t>The local government may recover the cost of anything it does under subsection (2) as a debt due from the person who failed to comply with the notice.</w:t>
      </w:r>
    </w:p>
    <w:p>
      <w:pPr>
        <w:pStyle w:val="Subsection"/>
      </w:pPr>
      <w:r>
        <w:tab/>
        <w:t>(4)</w:t>
      </w:r>
      <w:r>
        <w:tab/>
        <w:t xml:space="preserve">If a direction recipient — </w:t>
      </w:r>
    </w:p>
    <w:p>
      <w:pPr>
        <w:pStyle w:val="Indenta"/>
      </w:pPr>
      <w:r>
        <w:tab/>
        <w:t>(a)</w:t>
      </w:r>
      <w:r>
        <w:tab/>
        <w:t>incurs expense in complying with the direction; or</w:t>
      </w:r>
    </w:p>
    <w:p>
      <w:pPr>
        <w:pStyle w:val="Indenta"/>
      </w:pPr>
      <w:r>
        <w:tab/>
        <w:t>(b)</w:t>
      </w:r>
      <w:r>
        <w:tab/>
        <w:t>fails to comply with such a direction and, as a consequence, is convicted and fined or has to pay to a local government the cost it incurs in doing anything under subsection (2),</w:t>
      </w:r>
    </w:p>
    <w:p>
      <w:pPr>
        <w:pStyle w:val="Subsection"/>
      </w:pPr>
      <w:r>
        <w:tab/>
      </w:r>
      <w:r>
        <w:tab/>
        <w:t>the direction recipient may apply to a court for an order under subsection (6).</w:t>
      </w:r>
    </w:p>
    <w:p>
      <w:pPr>
        <w:pStyle w:val="Subsection"/>
      </w:pPr>
      <w:r>
        <w:tab/>
        <w:t>(5)</w:t>
      </w:r>
      <w:r>
        <w:tab/>
        <w:t xml:space="preserve">In subsection (4) — </w:t>
      </w:r>
    </w:p>
    <w:p>
      <w:pPr>
        <w:pStyle w:val="Defstart"/>
      </w:pPr>
      <w:r>
        <w:rPr>
          <w:b/>
        </w:rPr>
        <w:tab/>
      </w:r>
      <w:r>
        <w:rPr>
          <w:rStyle w:val="CharDefText"/>
        </w:rPr>
        <w:t>court</w:t>
      </w:r>
      <w:r>
        <w:t xml:space="preserve"> means a court that would have jurisdiction to hear an action to recover a debt of the amount of the expense, fine or cost sought to be recovered by the direction recipient.</w:t>
      </w:r>
    </w:p>
    <w:p>
      <w:pPr>
        <w:pStyle w:val="Subsection"/>
      </w:pPr>
      <w:r>
        <w:tab/>
        <w:t>(6)</w:t>
      </w:r>
      <w:r>
        <w:tab/>
        <w:t xml:space="preserve">On an application under subsection (4) the court may order — </w:t>
      </w:r>
    </w:p>
    <w:p>
      <w:pPr>
        <w:pStyle w:val="Indenta"/>
      </w:pPr>
      <w:r>
        <w:tab/>
        <w:t>(a)</w:t>
      </w:r>
      <w:r>
        <w:tab/>
        <w:t>if the direction recipient is the owner, the occupier; or</w:t>
      </w:r>
    </w:p>
    <w:p>
      <w:pPr>
        <w:pStyle w:val="Indenta"/>
        <w:keepNext/>
      </w:pPr>
      <w:r>
        <w:tab/>
        <w:t>(b)</w:t>
      </w:r>
      <w:r>
        <w:tab/>
        <w:t>if the direction recipient is the occupier, the owner,</w:t>
      </w:r>
    </w:p>
    <w:p>
      <w:pPr>
        <w:pStyle w:val="Subsection"/>
      </w:pPr>
      <w:r>
        <w:tab/>
      </w:r>
      <w:r>
        <w:tab/>
        <w:t>to pay to the direction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 and</w:t>
      </w:r>
    </w:p>
    <w:p>
      <w:pPr>
        <w:pStyle w:val="Indenta"/>
      </w:pPr>
      <w:r>
        <w:lastRenderedPageBreak/>
        <w:tab/>
        <w:t>(b)</w:t>
      </w:r>
      <w:r>
        <w:tab/>
        <w:t>the terms on which the occupier is occupying the land; and</w:t>
      </w:r>
    </w:p>
    <w:p>
      <w:pPr>
        <w:pStyle w:val="Indenta"/>
      </w:pPr>
      <w:r>
        <w:tab/>
        <w:t>(c)</w:t>
      </w:r>
      <w:r>
        <w:tab/>
        <w:t>any other matter the court considers to be relevant.</w:t>
      </w:r>
    </w:p>
    <w:p>
      <w:pPr>
        <w:pStyle w:val="Heading5"/>
      </w:pPr>
      <w:bookmarkStart w:id="101" w:name="_Toc118300023"/>
      <w:r>
        <w:rPr>
          <w:rStyle w:val="CharSectno"/>
        </w:rPr>
        <w:t>49</w:t>
      </w:r>
      <w:r>
        <w:t>.</w:t>
      </w:r>
      <w:r>
        <w:tab/>
        <w:t>Provisions are in addition to other powers</w:t>
      </w:r>
      <w:bookmarkEnd w:id="101"/>
    </w:p>
    <w:p>
      <w:pPr>
        <w:pStyle w:val="Subsection"/>
      </w:pPr>
      <w:r>
        <w:tab/>
      </w:r>
      <w:r>
        <w:tab/>
        <w:t xml:space="preserve">This Division is in addition to, and does not derogate from, the powers of a local government under the </w:t>
      </w:r>
      <w:r>
        <w:rPr>
          <w:i/>
        </w:rPr>
        <w:t>Local Government Act 1995</w:t>
      </w:r>
      <w:r>
        <w:t xml:space="preserve"> Part 3 Division 3.</w:t>
      </w:r>
    </w:p>
    <w:p>
      <w:pPr>
        <w:pStyle w:val="Heading2"/>
      </w:pPr>
      <w:bookmarkStart w:id="102" w:name="_Toc117777668"/>
      <w:bookmarkStart w:id="103" w:name="_Toc117779352"/>
      <w:bookmarkStart w:id="104" w:name="_Toc117845274"/>
      <w:bookmarkStart w:id="105" w:name="_Toc118299660"/>
      <w:bookmarkStart w:id="106" w:name="_Toc118300024"/>
      <w:r>
        <w:rPr>
          <w:rStyle w:val="CharPartNo"/>
        </w:rPr>
        <w:lastRenderedPageBreak/>
        <w:t>Part 4</w:t>
      </w:r>
      <w:r>
        <w:t> — </w:t>
      </w:r>
      <w:r>
        <w:rPr>
          <w:rStyle w:val="CharPartText"/>
        </w:rPr>
        <w:t>Hazard management</w:t>
      </w:r>
      <w:bookmarkEnd w:id="102"/>
      <w:bookmarkEnd w:id="103"/>
      <w:bookmarkEnd w:id="104"/>
      <w:bookmarkEnd w:id="105"/>
      <w:bookmarkEnd w:id="106"/>
    </w:p>
    <w:p>
      <w:pPr>
        <w:pStyle w:val="Heading3"/>
      </w:pPr>
      <w:bookmarkStart w:id="107" w:name="_Toc117777669"/>
      <w:bookmarkStart w:id="108" w:name="_Toc117779353"/>
      <w:bookmarkStart w:id="109" w:name="_Toc117845275"/>
      <w:bookmarkStart w:id="110" w:name="_Toc118299661"/>
      <w:bookmarkStart w:id="111" w:name="_Toc118300025"/>
      <w:r>
        <w:rPr>
          <w:rStyle w:val="CharDivNo"/>
        </w:rPr>
        <w:t>Division 1</w:t>
      </w:r>
      <w:r>
        <w:t> — </w:t>
      </w:r>
      <w:r>
        <w:rPr>
          <w:rStyle w:val="CharDivText"/>
        </w:rPr>
        <w:t>Emergency situation declaration</w:t>
      </w:r>
      <w:bookmarkEnd w:id="107"/>
      <w:bookmarkEnd w:id="108"/>
      <w:bookmarkEnd w:id="109"/>
      <w:bookmarkEnd w:id="110"/>
      <w:bookmarkEnd w:id="111"/>
    </w:p>
    <w:p>
      <w:pPr>
        <w:pStyle w:val="Heading5"/>
      </w:pPr>
      <w:bookmarkStart w:id="112" w:name="_Toc118300026"/>
      <w:r>
        <w:rPr>
          <w:rStyle w:val="CharSectno"/>
        </w:rPr>
        <w:t>50</w:t>
      </w:r>
      <w:r>
        <w:t>.</w:t>
      </w:r>
      <w:r>
        <w:tab/>
        <w:t>State Emergency Coordinator or hazard management agency may make emergency situation declaration</w:t>
      </w:r>
      <w:bookmarkEnd w:id="112"/>
    </w:p>
    <w:p>
      <w:pPr>
        <w:pStyle w:val="Subsection"/>
      </w:pPr>
      <w:r>
        <w:tab/>
        <w:t>(1A)</w:t>
      </w:r>
      <w:r>
        <w:tab/>
        <w:t>The State Emergency Coordinator may, in writing, declare that an emergency situation exists in an area of the State in respect of any hazard.</w:t>
      </w:r>
    </w:p>
    <w:p>
      <w:pPr>
        <w:pStyle w:val="Subsection"/>
      </w:pPr>
      <w:r>
        <w:tab/>
        <w:t>(1)</w:t>
      </w:r>
      <w:r>
        <w:tab/>
        <w:t>A hazard management agency may, in writing, declare that an emergency situation exists in an area of the State in respect of a hazard of which it is the hazard management agency for emergency management.</w:t>
      </w:r>
    </w:p>
    <w:p>
      <w:pPr>
        <w:pStyle w:val="Subsection"/>
      </w:pPr>
      <w:r>
        <w:tab/>
        <w:t>(2)</w:t>
      </w:r>
      <w:r>
        <w:tab/>
        <w:t xml:space="preserve">The State Emergency Coordinator or the hazard management agency must not make the declaration unless satisfied that — </w:t>
      </w:r>
    </w:p>
    <w:p>
      <w:pPr>
        <w:pStyle w:val="Indenta"/>
      </w:pPr>
      <w:r>
        <w:tab/>
        <w:t>(a)</w:t>
      </w:r>
      <w:r>
        <w:tab/>
        <w:t>an emergency has occurred, is occurring or is imminent in that area of the State; and</w:t>
      </w:r>
    </w:p>
    <w:p>
      <w:pPr>
        <w:pStyle w:val="Indenta"/>
      </w:pPr>
      <w:r>
        <w:tab/>
        <w:t>(b)</w:t>
      </w:r>
      <w:r>
        <w:tab/>
        <w:t xml:space="preserve">there is a need to exercise powers under Part 6 to prevent or minimise — </w:t>
      </w:r>
    </w:p>
    <w:p>
      <w:pPr>
        <w:pStyle w:val="Indenti"/>
      </w:pPr>
      <w:r>
        <w:tab/>
        <w:t>(i)</w:t>
      </w:r>
      <w:r>
        <w:tab/>
        <w:t>loss of life, prejudice to the safety, or harm to the health, of persons or animals; or</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An emergency situation declaration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Before making a declaration under this section the State Emergency Coordinator or the hazard management agency is to take reasonable steps to undertake consultation in accordance with State emergency management policies.</w:t>
      </w:r>
    </w:p>
    <w:p>
      <w:pPr>
        <w:pStyle w:val="Subsection"/>
      </w:pPr>
      <w:r>
        <w:lastRenderedPageBreak/>
        <w:tab/>
        <w:t>(5A)</w:t>
      </w:r>
      <w:r>
        <w:tab/>
        <w:t>If a declaration under this section is made by the State Emergency Coordinator in respect of a hazard, the State Emergency Coordinator must notify the hazard management agency for emergency management of the hazard as soon as practicable after the declaration is made.</w:t>
      </w:r>
    </w:p>
    <w:p>
      <w:pPr>
        <w:pStyle w:val="Subsection"/>
      </w:pPr>
      <w:r>
        <w:tab/>
        <w:t>(5)</w:t>
      </w:r>
      <w:r>
        <w:tab/>
        <w:t>If a hazard management agency makes a declaration under this section, the hazard management agency must notify the State Emergency Coordinator, and each district emergency coordinator and local emergency coordinator for a local government district to which the emergency situation declaration applies, as soon as practicable after the declaration is made.</w:t>
      </w:r>
    </w:p>
    <w:p>
      <w:pPr>
        <w:pStyle w:val="Subsection"/>
      </w:pPr>
      <w:r>
        <w:tab/>
        <w:t>(6A)</w:t>
      </w:r>
      <w:r>
        <w:tab/>
        <w:t xml:space="preserve">If a hazard management agency is notified under subsection (5A) of a declaration under this section made by the State Emergency Coordinator, the hazard management agency — </w:t>
      </w:r>
    </w:p>
    <w:p>
      <w:pPr>
        <w:pStyle w:val="Indenta"/>
      </w:pPr>
      <w:r>
        <w:tab/>
        <w:t>(a)</w:t>
      </w:r>
      <w:r>
        <w:tab/>
        <w:t>must notify each district emergency coordinator and local emergency coordinator for a local government district to which the emergency situation declaration applies as soon as practicable after the notification is given; and</w:t>
      </w:r>
    </w:p>
    <w:p>
      <w:pPr>
        <w:pStyle w:val="Indenta"/>
      </w:pPr>
      <w:r>
        <w:tab/>
        <w:t>(b)</w:t>
      </w:r>
      <w:r>
        <w:tab/>
        <w:t>is taken to have made the declaration for the purposes of any provision of this Act other than this section.</w:t>
      </w:r>
    </w:p>
    <w:p>
      <w:pPr>
        <w:pStyle w:val="Subsection"/>
      </w:pPr>
      <w:r>
        <w:tab/>
        <w:t>(6)</w:t>
      </w:r>
      <w:r>
        <w:tab/>
        <w:t>A failure to consult under subsection (4) or notify under subsection (5A) or (5) does not affect the validity of the declaration.</w:t>
      </w:r>
    </w:p>
    <w:p>
      <w:pPr>
        <w:pStyle w:val="Subsection"/>
      </w:pPr>
      <w:r>
        <w:tab/>
        <w:t>(7)</w:t>
      </w:r>
      <w:r>
        <w:tab/>
        <w:t>The making of an emergency situation declaration does not prevent the making of further emergency situation declarations in relation to the same or a different emergency.</w:t>
      </w:r>
    </w:p>
    <w:p>
      <w:pPr>
        <w:pStyle w:val="Footnotesection"/>
      </w:pPr>
      <w:r>
        <w:tab/>
        <w:t>[Section 50 amended: No. 22 of 2012 s. 108.]</w:t>
      </w:r>
    </w:p>
    <w:p>
      <w:pPr>
        <w:pStyle w:val="Heading5"/>
        <w:keepNext w:val="0"/>
        <w:keepLines w:val="0"/>
        <w:pageBreakBefore/>
        <w:spacing w:before="0"/>
      </w:pPr>
      <w:bookmarkStart w:id="113" w:name="_Toc118300027"/>
      <w:r>
        <w:rPr>
          <w:rStyle w:val="CharSectno"/>
        </w:rPr>
        <w:lastRenderedPageBreak/>
        <w:t>51</w:t>
      </w:r>
      <w:r>
        <w:t>.</w:t>
      </w:r>
      <w:r>
        <w:tab/>
        <w:t>Duration of emergency situation declaration</w:t>
      </w:r>
      <w:bookmarkEnd w:id="113"/>
    </w:p>
    <w:p>
      <w:pPr>
        <w:pStyle w:val="Subsection"/>
        <w:keepNext/>
      </w:pPr>
      <w:r>
        <w:tab/>
      </w:r>
      <w:r>
        <w:tab/>
        <w:t xml:space="preserve">An emergency situation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State Emergency Coordinator under section 52, or sooner revoked under section 53, remains in force for 3 days after the time it first has effect.</w:t>
      </w:r>
    </w:p>
    <w:p>
      <w:pPr>
        <w:pStyle w:val="Heading5"/>
      </w:pPr>
      <w:bookmarkStart w:id="114" w:name="_Toc118300028"/>
      <w:r>
        <w:rPr>
          <w:rStyle w:val="CharSectno"/>
        </w:rPr>
        <w:t>52</w:t>
      </w:r>
      <w:r>
        <w:t>.</w:t>
      </w:r>
      <w:r>
        <w:tab/>
        <w:t>Extension of emergency situation declaration</w:t>
      </w:r>
      <w:bookmarkEnd w:id="114"/>
    </w:p>
    <w:p>
      <w:pPr>
        <w:pStyle w:val="Subsection"/>
      </w:pPr>
      <w:r>
        <w:tab/>
        <w:t>(1)</w:t>
      </w:r>
      <w:r>
        <w:tab/>
        <w:t>The State Emergency Coordinator may, in writing, by declaration extend, or from time to time further extend, the duration of an emergency situation declaration.</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an emergency situation declaration — </w:t>
      </w:r>
    </w:p>
    <w:p>
      <w:pPr>
        <w:pStyle w:val="Indenta"/>
      </w:pPr>
      <w:r>
        <w:tab/>
        <w:t>(a)</w:t>
      </w:r>
      <w:r>
        <w:tab/>
        <w:t>is to include the time when, and date on which, the declaration is made; and</w:t>
      </w:r>
    </w:p>
    <w:p>
      <w:pPr>
        <w:pStyle w:val="Indenta"/>
      </w:pPr>
      <w:r>
        <w:tab/>
        <w:t>(b)</w:t>
      </w:r>
      <w:r>
        <w:tab/>
        <w:t>is to state the period by which the duration of the emergency situation declaration is extended; and</w:t>
      </w:r>
    </w:p>
    <w:p>
      <w:pPr>
        <w:pStyle w:val="Indenta"/>
      </w:pPr>
      <w:r>
        <w:tab/>
        <w:t>(c)</w:t>
      </w:r>
      <w:r>
        <w:tab/>
        <w:t>remains in force until the end of the period stated under paragraph (b) unless the emergency situation declaration is sooner revoked under section 53.</w:t>
      </w:r>
    </w:p>
    <w:p>
      <w:pPr>
        <w:pStyle w:val="Subsection"/>
      </w:pPr>
      <w:r>
        <w:tab/>
        <w:t>(4)</w:t>
      </w:r>
      <w:r>
        <w:tab/>
        <w:t xml:space="preserve">The period by which the duration of an emergency situation declaration is extended — </w:t>
      </w:r>
    </w:p>
    <w:p>
      <w:pPr>
        <w:pStyle w:val="Indenta"/>
      </w:pPr>
      <w:r>
        <w:tab/>
        <w:t>(a)</w:t>
      </w:r>
      <w:r>
        <w:tab/>
        <w:t>unless paragraph (b) applies, must not exceed 7 days; or</w:t>
      </w:r>
    </w:p>
    <w:p>
      <w:pPr>
        <w:pStyle w:val="Indenta"/>
      </w:pPr>
      <w:r>
        <w:tab/>
        <w:t>(b)</w:t>
      </w:r>
      <w:r>
        <w:tab/>
        <w:t>if the only powers that may be exercised during the period are any or all of the powers under section 69 in relation to a place or the powers under section 72, may be for such period as the State Emergency Coordinator considers necessary.</w:t>
      </w:r>
    </w:p>
    <w:p>
      <w:pPr>
        <w:pStyle w:val="Subsection"/>
      </w:pPr>
      <w:r>
        <w:lastRenderedPageBreak/>
        <w:tab/>
        <w:t>(5)</w:t>
      </w:r>
      <w:r>
        <w:tab/>
        <w:t>A declaration extending the duration of an emergency situation declaration has effect on and from the time it is made.</w:t>
      </w:r>
    </w:p>
    <w:p>
      <w:pPr>
        <w:pStyle w:val="Heading5"/>
        <w:spacing w:before="120"/>
      </w:pPr>
      <w:bookmarkStart w:id="115" w:name="_Toc118300029"/>
      <w:r>
        <w:rPr>
          <w:rStyle w:val="CharSectno"/>
        </w:rPr>
        <w:t>53</w:t>
      </w:r>
      <w:r>
        <w:t>.</w:t>
      </w:r>
      <w:r>
        <w:tab/>
        <w:t>Revocation of emergency situation declaration</w:t>
      </w:r>
      <w:bookmarkEnd w:id="115"/>
    </w:p>
    <w:p>
      <w:pPr>
        <w:pStyle w:val="Subsection"/>
      </w:pPr>
      <w:r>
        <w:tab/>
        <w:t>(1)</w:t>
      </w:r>
      <w:r>
        <w:tab/>
        <w:t>As soon as a hazard management agency is satisfied that it is no longer necessary for the powers under Part 6 to be exercised in relation to an emergency situation it has declared to exist, the hazard management agency is to revoke the emergency situation declaration.</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spacing w:before="100"/>
      </w:pPr>
      <w:r>
        <w:tab/>
        <w:t>(4)</w:t>
      </w:r>
      <w:r>
        <w:tab/>
        <w:t xml:space="preserve">Despite any other written law, the revocation of an emergency situation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spacing w:before="120"/>
      </w:pPr>
      <w:bookmarkStart w:id="116" w:name="_Toc118300030"/>
      <w:r>
        <w:rPr>
          <w:rStyle w:val="CharSectno"/>
        </w:rPr>
        <w:t>54</w:t>
      </w:r>
      <w:r>
        <w:t>.</w:t>
      </w:r>
      <w:r>
        <w:tab/>
        <w:t>Notice of declaration</w:t>
      </w:r>
      <w:bookmarkEnd w:id="116"/>
    </w:p>
    <w:p>
      <w:pPr>
        <w:pStyle w:val="Subsection"/>
        <w:spacing w:before="100"/>
      </w:pPr>
      <w:r>
        <w:tab/>
        <w:t>(1)</w:t>
      </w:r>
      <w:r>
        <w:tab/>
        <w:t xml:space="preserve">Notice of a declaration made under section 50, 52 or 53 is to be — </w:t>
      </w:r>
    </w:p>
    <w:p>
      <w:pPr>
        <w:pStyle w:val="Indenta"/>
      </w:pPr>
      <w:r>
        <w:tab/>
        <w:t>(a)</w:t>
      </w:r>
      <w:r>
        <w:tab/>
        <w:t>published for general information as soon as is practicable after the declaration is made in any manner that the hazard management agency or State Emergency Coordinator, as the case requires,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117" w:name="_Toc117777675"/>
      <w:bookmarkStart w:id="118" w:name="_Toc117779359"/>
      <w:bookmarkStart w:id="119" w:name="_Toc117845281"/>
      <w:bookmarkStart w:id="120" w:name="_Toc118299667"/>
      <w:bookmarkStart w:id="121" w:name="_Toc118300031"/>
      <w:r>
        <w:rPr>
          <w:rStyle w:val="CharDivNo"/>
        </w:rPr>
        <w:lastRenderedPageBreak/>
        <w:t>Division 2</w:t>
      </w:r>
      <w:r>
        <w:t> — </w:t>
      </w:r>
      <w:r>
        <w:rPr>
          <w:rStyle w:val="CharDivText"/>
        </w:rPr>
        <w:t>Hazard management officers</w:t>
      </w:r>
      <w:bookmarkEnd w:id="117"/>
      <w:bookmarkEnd w:id="118"/>
      <w:bookmarkEnd w:id="119"/>
      <w:bookmarkEnd w:id="120"/>
      <w:bookmarkEnd w:id="121"/>
    </w:p>
    <w:p>
      <w:pPr>
        <w:pStyle w:val="Heading5"/>
      </w:pPr>
      <w:bookmarkStart w:id="122" w:name="_Toc118300032"/>
      <w:r>
        <w:rPr>
          <w:rStyle w:val="CharSectno"/>
        </w:rPr>
        <w:t>55</w:t>
      </w:r>
      <w:r>
        <w:t>.</w:t>
      </w:r>
      <w:r>
        <w:tab/>
        <w:t>Authorisation of hazard management officers</w:t>
      </w:r>
      <w:bookmarkEnd w:id="122"/>
    </w:p>
    <w:p>
      <w:pPr>
        <w:pStyle w:val="Subsection"/>
      </w:pPr>
      <w:r>
        <w:tab/>
        <w:t>(1)</w:t>
      </w:r>
      <w:r>
        <w:tab/>
        <w:t>A hazard management agency may authorise officers or employees of the hazard management agency, or other persons, to act as hazard management officers during an emergency situation declared by that hazard management agency.</w:t>
      </w:r>
    </w:p>
    <w:p>
      <w:pPr>
        <w:pStyle w:val="Subsection"/>
      </w:pPr>
      <w:r>
        <w:tab/>
        <w:t>(2)</w:t>
      </w:r>
      <w:r>
        <w:tab/>
        <w:t xml:space="preserve">An authorisation under subsection (1) is to specify — </w:t>
      </w:r>
    </w:p>
    <w:p>
      <w:pPr>
        <w:pStyle w:val="Indenta"/>
      </w:pPr>
      <w:r>
        <w:tab/>
        <w:t>(a)</w:t>
      </w:r>
      <w:r>
        <w:tab/>
        <w:t>whether it applies to any emergency situation declared by the hazard management agency or whether it is limited to a particular emergency situation declared by the hazard management agency; and</w:t>
      </w:r>
    </w:p>
    <w:p>
      <w:pPr>
        <w:pStyle w:val="Indenta"/>
      </w:pPr>
      <w:r>
        <w:tab/>
        <w:t>(b)</w:t>
      </w:r>
      <w:r>
        <w:tab/>
        <w:t>the particular, or the particular class of, employee, officer or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pPr>
      <w:r>
        <w:tab/>
        <w:t>(4)</w:t>
      </w:r>
      <w:r>
        <w:tab/>
        <w:t>A failure to put an authorisation in writing under subsection (3) does not invalidate the authorisation or anything done under the authorisation.</w:t>
      </w:r>
    </w:p>
    <w:p>
      <w:pPr>
        <w:pStyle w:val="Subsection"/>
      </w:pPr>
      <w:r>
        <w:tab/>
        <w:t>(5)</w:t>
      </w:r>
      <w:r>
        <w:tab/>
        <w:t>A hazard management officer may exercise a power under Part 6 only subject to the terms and conditions on which the person is authorised under this section.</w:t>
      </w:r>
    </w:p>
    <w:p>
      <w:pPr>
        <w:pStyle w:val="Subsection"/>
      </w:pPr>
      <w:r>
        <w:tab/>
        <w:t>(6)</w:t>
      </w:r>
      <w:r>
        <w:tab/>
        <w:t>A hazard management officer is to comply with the directions of the relevant hazard management agency when exercising a power under Part 6.</w:t>
      </w:r>
    </w:p>
    <w:p>
      <w:pPr>
        <w:pStyle w:val="Heading2"/>
      </w:pPr>
      <w:bookmarkStart w:id="123" w:name="_Toc117777677"/>
      <w:bookmarkStart w:id="124" w:name="_Toc117779361"/>
      <w:bookmarkStart w:id="125" w:name="_Toc117845283"/>
      <w:bookmarkStart w:id="126" w:name="_Toc118299669"/>
      <w:bookmarkStart w:id="127" w:name="_Toc118300033"/>
      <w:r>
        <w:rPr>
          <w:rStyle w:val="CharPartNo"/>
        </w:rPr>
        <w:lastRenderedPageBreak/>
        <w:t>Part 5</w:t>
      </w:r>
      <w:r>
        <w:t> — </w:t>
      </w:r>
      <w:r>
        <w:rPr>
          <w:rStyle w:val="CharPartText"/>
        </w:rPr>
        <w:t>State of emergency</w:t>
      </w:r>
      <w:bookmarkEnd w:id="123"/>
      <w:bookmarkEnd w:id="124"/>
      <w:bookmarkEnd w:id="125"/>
      <w:bookmarkEnd w:id="126"/>
      <w:bookmarkEnd w:id="127"/>
    </w:p>
    <w:p>
      <w:pPr>
        <w:pStyle w:val="Heading3"/>
      </w:pPr>
      <w:bookmarkStart w:id="128" w:name="_Toc117777678"/>
      <w:bookmarkStart w:id="129" w:name="_Toc117779362"/>
      <w:bookmarkStart w:id="130" w:name="_Toc117845284"/>
      <w:bookmarkStart w:id="131" w:name="_Toc118299670"/>
      <w:bookmarkStart w:id="132" w:name="_Toc118300034"/>
      <w:r>
        <w:rPr>
          <w:rStyle w:val="CharDivNo"/>
        </w:rPr>
        <w:t>Division 1</w:t>
      </w:r>
      <w:r>
        <w:t> — </w:t>
      </w:r>
      <w:r>
        <w:rPr>
          <w:rStyle w:val="CharDivText"/>
        </w:rPr>
        <w:t>State of emergency declaration</w:t>
      </w:r>
      <w:bookmarkEnd w:id="128"/>
      <w:bookmarkEnd w:id="129"/>
      <w:bookmarkEnd w:id="130"/>
      <w:bookmarkEnd w:id="131"/>
      <w:bookmarkEnd w:id="132"/>
    </w:p>
    <w:p>
      <w:pPr>
        <w:pStyle w:val="Heading5"/>
      </w:pPr>
      <w:bookmarkStart w:id="133" w:name="_Toc118300035"/>
      <w:r>
        <w:rPr>
          <w:rStyle w:val="CharSectno"/>
        </w:rPr>
        <w:t>56</w:t>
      </w:r>
      <w:r>
        <w:t>.</w:t>
      </w:r>
      <w:r>
        <w:tab/>
        <w:t>Minister may make state of emergency declaration</w:t>
      </w:r>
      <w:bookmarkEnd w:id="133"/>
    </w:p>
    <w:p>
      <w:pPr>
        <w:pStyle w:val="Subsection"/>
      </w:pPr>
      <w:r>
        <w:tab/>
        <w:t>(1)</w:t>
      </w:r>
      <w:r>
        <w:tab/>
        <w:t>The Minister may, in writing, declare that a state of emergency exists in the whole or in any area or areas of the State.</w:t>
      </w:r>
    </w:p>
    <w:p>
      <w:pPr>
        <w:pStyle w:val="Subsection"/>
      </w:pPr>
      <w:r>
        <w:tab/>
        <w:t>(2)</w:t>
      </w:r>
      <w:r>
        <w:tab/>
        <w:t xml:space="preserve">The Minister must not make a declaration under this section unless the Minister — </w:t>
      </w:r>
    </w:p>
    <w:p>
      <w:pPr>
        <w:pStyle w:val="Indenta"/>
      </w:pPr>
      <w:r>
        <w:tab/>
        <w:t>(a)</w:t>
      </w:r>
      <w:r>
        <w:tab/>
        <w:t>has considered the advice of the State Emergency Coordinator; and</w:t>
      </w:r>
    </w:p>
    <w:p>
      <w:pPr>
        <w:pStyle w:val="Indenta"/>
      </w:pPr>
      <w:r>
        <w:tab/>
        <w:t>(b)</w:t>
      </w:r>
      <w:r>
        <w:tab/>
        <w:t>is satisfied that an emergency has occurred, is occurring or is imminent; and</w:t>
      </w:r>
    </w:p>
    <w:p>
      <w:pPr>
        <w:pStyle w:val="Indenta"/>
      </w:pPr>
      <w:r>
        <w:tab/>
        <w:t>(c)</w:t>
      </w:r>
      <w:r>
        <w:tab/>
        <w:t xml:space="preserve">is satisfied that extraordinary measures are required to prevent or minimise — </w:t>
      </w:r>
    </w:p>
    <w:p>
      <w:pPr>
        <w:pStyle w:val="Indenti"/>
      </w:pPr>
      <w:r>
        <w:tab/>
        <w:t>(i)</w:t>
      </w:r>
      <w:r>
        <w:tab/>
        <w:t>loss of life, prejudice to the safety, or harm to the health, of persons or animals; or</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 declaration under this section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The making of a state of emergency declaration does not prevent the making of further state of emergency declarations in relation to the same or a different emergency.</w:t>
      </w:r>
    </w:p>
    <w:p>
      <w:pPr>
        <w:pStyle w:val="Heading5"/>
      </w:pPr>
      <w:bookmarkStart w:id="134" w:name="_Toc118300036"/>
      <w:r>
        <w:rPr>
          <w:rStyle w:val="CharSectno"/>
        </w:rPr>
        <w:t>57</w:t>
      </w:r>
      <w:r>
        <w:t>.</w:t>
      </w:r>
      <w:r>
        <w:tab/>
        <w:t>Duration of state of emergency declaration</w:t>
      </w:r>
      <w:bookmarkEnd w:id="134"/>
    </w:p>
    <w:p>
      <w:pPr>
        <w:pStyle w:val="Subsection"/>
      </w:pPr>
      <w:r>
        <w:tab/>
      </w:r>
      <w:r>
        <w:tab/>
        <w:t xml:space="preserve">A state of emergency declaration — </w:t>
      </w:r>
    </w:p>
    <w:p>
      <w:pPr>
        <w:pStyle w:val="Indenta"/>
      </w:pPr>
      <w:r>
        <w:tab/>
        <w:t>(a)</w:t>
      </w:r>
      <w:r>
        <w:tab/>
        <w:t>has effect on and from the time it is made, or such later time as is specified in the declaration; and</w:t>
      </w:r>
    </w:p>
    <w:p>
      <w:pPr>
        <w:pStyle w:val="Indenta"/>
      </w:pPr>
      <w:r>
        <w:lastRenderedPageBreak/>
        <w:tab/>
        <w:t>(b)</w:t>
      </w:r>
      <w:r>
        <w:tab/>
        <w:t>if it is not extended by the Minister under section 58, or sooner revoked under section 59, remains in force for 3 days after the time it first has effect.</w:t>
      </w:r>
    </w:p>
    <w:p>
      <w:pPr>
        <w:pStyle w:val="Heading5"/>
      </w:pPr>
      <w:bookmarkStart w:id="135" w:name="_Toc118300037"/>
      <w:r>
        <w:rPr>
          <w:rStyle w:val="CharSectno"/>
        </w:rPr>
        <w:t>58</w:t>
      </w:r>
      <w:r>
        <w:t>.</w:t>
      </w:r>
      <w:r>
        <w:tab/>
        <w:t>Extension of state of emergency declaration</w:t>
      </w:r>
      <w:bookmarkEnd w:id="135"/>
    </w:p>
    <w:p>
      <w:pPr>
        <w:pStyle w:val="Subsection"/>
      </w:pPr>
      <w:r>
        <w:tab/>
        <w:t>(1)</w:t>
      </w:r>
      <w:r>
        <w:tab/>
        <w:t>The Minister may by declaration in writing extend, or from time to time further extend, the duration of a declaration made under section 56.</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 state of emergency declaration — </w:t>
      </w:r>
    </w:p>
    <w:p>
      <w:pPr>
        <w:pStyle w:val="Indenta"/>
      </w:pPr>
      <w:r>
        <w:tab/>
        <w:t>(a)</w:t>
      </w:r>
      <w:r>
        <w:tab/>
        <w:t>is to state the period by which the duration of the state of emergency declaration is extended; and</w:t>
      </w:r>
    </w:p>
    <w:p>
      <w:pPr>
        <w:pStyle w:val="Indenta"/>
      </w:pPr>
      <w:r>
        <w:tab/>
        <w:t>(b)</w:t>
      </w:r>
      <w:r>
        <w:tab/>
        <w:t>remains in force until the end of the period stated under paragraph (a) unless the state of emergency declaration is sooner revoked under section 59.</w:t>
      </w:r>
    </w:p>
    <w:p>
      <w:pPr>
        <w:pStyle w:val="Subsection"/>
      </w:pPr>
      <w:r>
        <w:tab/>
        <w:t>(4)</w:t>
      </w:r>
      <w:r>
        <w:tab/>
        <w:t xml:space="preserve">The period by which the duration of a state of emergency declaration is extended — </w:t>
      </w:r>
    </w:p>
    <w:p>
      <w:pPr>
        <w:pStyle w:val="Indenta"/>
      </w:pPr>
      <w:r>
        <w:tab/>
        <w:t>(a)</w:t>
      </w:r>
      <w:r>
        <w:tab/>
        <w:t>unless paragraph (b) applies, must not exceed 14 days; or</w:t>
      </w:r>
    </w:p>
    <w:p>
      <w:pPr>
        <w:pStyle w:val="Indenta"/>
      </w:pPr>
      <w:r>
        <w:tab/>
        <w:t>(b)</w:t>
      </w:r>
      <w:r>
        <w:tab/>
        <w:t>if the only powers that may be exercised during the period are any or all of the powers under section 69 in relation to a place or the powers under section 72, may be for such period as the Minister considers necessary.</w:t>
      </w:r>
    </w:p>
    <w:p>
      <w:pPr>
        <w:pStyle w:val="Subsection"/>
      </w:pPr>
      <w:r>
        <w:tab/>
        <w:t>(5)</w:t>
      </w:r>
      <w:r>
        <w:tab/>
        <w:t>A declaration extending the duration of a state of emergency declaration has effect on and from the time it is made.</w:t>
      </w:r>
    </w:p>
    <w:p>
      <w:pPr>
        <w:pStyle w:val="Heading5"/>
      </w:pPr>
      <w:bookmarkStart w:id="136" w:name="_Toc118300038"/>
      <w:r>
        <w:rPr>
          <w:rStyle w:val="CharSectno"/>
        </w:rPr>
        <w:t>59</w:t>
      </w:r>
      <w:r>
        <w:t>.</w:t>
      </w:r>
      <w:r>
        <w:tab/>
        <w:t>Revocation of state of emergency declaration</w:t>
      </w:r>
      <w:bookmarkEnd w:id="136"/>
    </w:p>
    <w:p>
      <w:pPr>
        <w:pStyle w:val="Subsection"/>
        <w:spacing w:before="100"/>
      </w:pPr>
      <w:r>
        <w:tab/>
        <w:t>(1)</w:t>
      </w:r>
      <w:r>
        <w:tab/>
        <w:t>The Minister may revoke a state of emergency declaration at any time.</w:t>
      </w:r>
    </w:p>
    <w:p>
      <w:pPr>
        <w:pStyle w:val="Subsection"/>
        <w:keepNext/>
      </w:pPr>
      <w:r>
        <w:lastRenderedPageBreak/>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pPr>
      <w:r>
        <w:tab/>
        <w:t>(4)</w:t>
      </w:r>
      <w:r>
        <w:tab/>
        <w:t xml:space="preserve">Despite any other written law, the revocation of a state of emergency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pPr>
      <w:bookmarkStart w:id="137" w:name="_Toc118300039"/>
      <w:r>
        <w:rPr>
          <w:rStyle w:val="CharSectno"/>
        </w:rPr>
        <w:t>60</w:t>
      </w:r>
      <w:r>
        <w:t>.</w:t>
      </w:r>
      <w:r>
        <w:tab/>
        <w:t>Notice of declaration</w:t>
      </w:r>
      <w:bookmarkEnd w:id="137"/>
    </w:p>
    <w:p>
      <w:pPr>
        <w:pStyle w:val="Subsection"/>
      </w:pPr>
      <w:r>
        <w:tab/>
        <w:t>(1)</w:t>
      </w:r>
      <w:r>
        <w:tab/>
        <w:t xml:space="preserve">A declaration made under section 56, 58 or 59 is to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138" w:name="_Toc117777684"/>
      <w:bookmarkStart w:id="139" w:name="_Toc117779368"/>
      <w:bookmarkStart w:id="140" w:name="_Toc117845290"/>
      <w:bookmarkStart w:id="141" w:name="_Toc118299676"/>
      <w:bookmarkStart w:id="142" w:name="_Toc118300040"/>
      <w:r>
        <w:rPr>
          <w:rStyle w:val="CharDivNo"/>
        </w:rPr>
        <w:t>Division 2</w:t>
      </w:r>
      <w:r>
        <w:t> — </w:t>
      </w:r>
      <w:r>
        <w:rPr>
          <w:rStyle w:val="CharDivText"/>
        </w:rPr>
        <w:t>Authorised officers</w:t>
      </w:r>
      <w:bookmarkEnd w:id="138"/>
      <w:bookmarkEnd w:id="139"/>
      <w:bookmarkEnd w:id="140"/>
      <w:bookmarkEnd w:id="141"/>
      <w:bookmarkEnd w:id="142"/>
    </w:p>
    <w:p>
      <w:pPr>
        <w:pStyle w:val="Heading5"/>
      </w:pPr>
      <w:bookmarkStart w:id="143" w:name="_Toc118300041"/>
      <w:r>
        <w:rPr>
          <w:rStyle w:val="CharSectno"/>
        </w:rPr>
        <w:t>61</w:t>
      </w:r>
      <w:r>
        <w:t>.</w:t>
      </w:r>
      <w:r>
        <w:tab/>
        <w:t>Authorised officers</w:t>
      </w:r>
      <w:bookmarkEnd w:id="143"/>
    </w:p>
    <w:p>
      <w:pPr>
        <w:pStyle w:val="Subsection"/>
      </w:pPr>
      <w:r>
        <w:tab/>
        <w:t>(1)</w:t>
      </w:r>
      <w:r>
        <w:tab/>
        <w:t>The State Emergency Coordinator may authorise persons to act as authorised officers during a state of emergency.</w:t>
      </w:r>
    </w:p>
    <w:p>
      <w:pPr>
        <w:pStyle w:val="Subsection"/>
      </w:pPr>
      <w:r>
        <w:tab/>
        <w:t>(2)</w:t>
      </w:r>
      <w:r>
        <w:tab/>
        <w:t xml:space="preserve">An authorisation under subsection (1) is to specify — </w:t>
      </w:r>
    </w:p>
    <w:p>
      <w:pPr>
        <w:pStyle w:val="Indenta"/>
      </w:pPr>
      <w:r>
        <w:tab/>
        <w:t>(a)</w:t>
      </w:r>
      <w:r>
        <w:tab/>
        <w:t>whether it applies to any state of emergency or is limited to a particular state of emergency; and</w:t>
      </w:r>
    </w:p>
    <w:p>
      <w:pPr>
        <w:pStyle w:val="Indenta"/>
      </w:pPr>
      <w:r>
        <w:lastRenderedPageBreak/>
        <w:tab/>
        <w:t>(b)</w:t>
      </w:r>
      <w:r>
        <w:tab/>
        <w:t>the particular, or a particular class of,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spacing w:before="100"/>
      </w:pPr>
      <w:r>
        <w:tab/>
        <w:t>(4)</w:t>
      </w:r>
      <w:r>
        <w:tab/>
        <w:t>A failure to put an authorisation in writing under subsection (3) does not invalidate the authorisation or anything done under the authorisation.</w:t>
      </w:r>
    </w:p>
    <w:p>
      <w:pPr>
        <w:pStyle w:val="Subsection"/>
        <w:spacing w:before="100"/>
      </w:pPr>
      <w:r>
        <w:tab/>
        <w:t>(5)</w:t>
      </w:r>
      <w:r>
        <w:tab/>
        <w:t>An authorised officer may exercise a power under Part 6 only subject to the terms and conditions on which the person is authorised under this section.</w:t>
      </w:r>
    </w:p>
    <w:p>
      <w:pPr>
        <w:pStyle w:val="Subsection"/>
        <w:spacing w:before="100"/>
      </w:pPr>
      <w:r>
        <w:tab/>
        <w:t>(6)</w:t>
      </w:r>
      <w:r>
        <w:tab/>
        <w:t>An authorised officer is to comply with directions of the State Emergency Coordinator when exercising a power under Part 6.</w:t>
      </w:r>
    </w:p>
    <w:p>
      <w:pPr>
        <w:pStyle w:val="Heading5"/>
      </w:pPr>
      <w:bookmarkStart w:id="144" w:name="_Toc118300042"/>
      <w:r>
        <w:rPr>
          <w:rStyle w:val="CharSectno"/>
        </w:rPr>
        <w:t>62</w:t>
      </w:r>
      <w:r>
        <w:t>.</w:t>
      </w:r>
      <w:r>
        <w:tab/>
        <w:t>Identification of authorised officers</w:t>
      </w:r>
      <w:bookmarkEnd w:id="144"/>
    </w:p>
    <w:p>
      <w:pPr>
        <w:pStyle w:val="Subsection"/>
      </w:pPr>
      <w:r>
        <w:tab/>
        <w:t>(1)</w:t>
      </w:r>
      <w:r>
        <w:tab/>
        <w:t xml:space="preserve">The State Emergency Coordinator may issue an identification card to an authorised officer — </w:t>
      </w:r>
    </w:p>
    <w:p>
      <w:pPr>
        <w:pStyle w:val="Indenta"/>
      </w:pPr>
      <w:r>
        <w:tab/>
        <w:t>(a)</w:t>
      </w:r>
      <w:r>
        <w:tab/>
        <w:t>containing the individual’s name and a photograph or digital image of the person; and</w:t>
      </w:r>
    </w:p>
    <w:p>
      <w:pPr>
        <w:pStyle w:val="Indenta"/>
      </w:pPr>
      <w:r>
        <w:tab/>
        <w:t>(b)</w:t>
      </w:r>
      <w:r>
        <w:tab/>
        <w:t>stating that the person is an authorised officer for the purposes of this Act.</w:t>
      </w:r>
    </w:p>
    <w:p>
      <w:pPr>
        <w:pStyle w:val="Subsection"/>
      </w:pPr>
      <w:r>
        <w:tab/>
        <w:t>(2)</w:t>
      </w:r>
      <w:r>
        <w:tab/>
        <w:t xml:space="preserve">An authorised officer should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authorised officer under this Act.</w:t>
      </w:r>
    </w:p>
    <w:p>
      <w:pPr>
        <w:pStyle w:val="Subsection"/>
      </w:pPr>
      <w:r>
        <w:tab/>
        <w:t>(3)</w:t>
      </w:r>
      <w:r>
        <w:tab/>
        <w:t>An authorised officer who has been issued with an identification card and who ceases to be an authorised officer is to return the identification card to the State Emergency Coordinator or a person nominated by the State Emergency Coordinator as soon as is practicable.</w:t>
      </w:r>
    </w:p>
    <w:p>
      <w:pPr>
        <w:pStyle w:val="Subsection"/>
      </w:pPr>
      <w:r>
        <w:lastRenderedPageBreak/>
        <w:tab/>
        <w:t>(4)</w:t>
      </w:r>
      <w:r>
        <w:tab/>
        <w:t>A person who contravenes subsection (3) without reasonable excuse, the onus of proving which is on the person, commits an offence.</w:t>
      </w:r>
    </w:p>
    <w:p>
      <w:pPr>
        <w:pStyle w:val="Penstart"/>
      </w:pPr>
      <w:r>
        <w:tab/>
        <w:t>Penalty: a fine of $1 000.</w:t>
      </w:r>
    </w:p>
    <w:p>
      <w:pPr>
        <w:pStyle w:val="Footnotesection"/>
      </w:pPr>
      <w:bookmarkStart w:id="145" w:name="_Toc117777687"/>
      <w:bookmarkStart w:id="146" w:name="_Toc117779371"/>
      <w:bookmarkStart w:id="147" w:name="_Toc117845293"/>
      <w:r>
        <w:tab/>
        <w:t>[Section 62: modified by section 77X(1).]</w:t>
      </w:r>
    </w:p>
    <w:p>
      <w:pPr>
        <w:pStyle w:val="Heading3"/>
      </w:pPr>
      <w:bookmarkStart w:id="148" w:name="_Toc118299679"/>
      <w:bookmarkStart w:id="149" w:name="_Toc118300043"/>
      <w:r>
        <w:rPr>
          <w:rStyle w:val="CharDivNo"/>
        </w:rPr>
        <w:t>Division 3</w:t>
      </w:r>
      <w:r>
        <w:t> — </w:t>
      </w:r>
      <w:r>
        <w:rPr>
          <w:rStyle w:val="CharDivText"/>
        </w:rPr>
        <w:t>The State Disaster Council</w:t>
      </w:r>
      <w:bookmarkEnd w:id="145"/>
      <w:bookmarkEnd w:id="146"/>
      <w:bookmarkEnd w:id="147"/>
      <w:bookmarkEnd w:id="148"/>
      <w:bookmarkEnd w:id="149"/>
    </w:p>
    <w:p>
      <w:pPr>
        <w:pStyle w:val="Heading5"/>
      </w:pPr>
      <w:bookmarkStart w:id="150" w:name="_Toc118300044"/>
      <w:r>
        <w:rPr>
          <w:rStyle w:val="CharSectno"/>
        </w:rPr>
        <w:t>63</w:t>
      </w:r>
      <w:r>
        <w:t>.</w:t>
      </w:r>
      <w:r>
        <w:tab/>
        <w:t>State Disaster Council</w:t>
      </w:r>
      <w:bookmarkEnd w:id="150"/>
    </w:p>
    <w:p>
      <w:pPr>
        <w:pStyle w:val="Subsection"/>
      </w:pPr>
      <w:r>
        <w:tab/>
        <w:t>(1)</w:t>
      </w:r>
      <w:r>
        <w:tab/>
        <w:t>If a state of emergency is declared, a State Disaster Council is established.</w:t>
      </w:r>
    </w:p>
    <w:p>
      <w:pPr>
        <w:pStyle w:val="Subsection"/>
      </w:pPr>
      <w:r>
        <w:tab/>
        <w:t>(2)</w:t>
      </w:r>
      <w:r>
        <w:tab/>
        <w:t>The Premier is to be the chairman of the State Disaster Council.</w:t>
      </w:r>
    </w:p>
    <w:p>
      <w:pPr>
        <w:pStyle w:val="Subsection"/>
      </w:pPr>
      <w:r>
        <w:tab/>
        <w:t>(3)</w:t>
      </w:r>
      <w:r>
        <w:tab/>
        <w:t>The Minister is to be the deputy chairman of the State Disaster Council.</w:t>
      </w:r>
    </w:p>
    <w:p>
      <w:pPr>
        <w:pStyle w:val="Subsection"/>
      </w:pPr>
      <w:r>
        <w:tab/>
        <w:t>(4)</w:t>
      </w:r>
      <w:r>
        <w:tab/>
        <w:t>If the chairman is not present at any meeting of the State Disaster Council the deputy chairman is to act as chairman and while so acting has the functions of chairman.</w:t>
      </w:r>
    </w:p>
    <w:p>
      <w:pPr>
        <w:pStyle w:val="Subsection"/>
      </w:pPr>
      <w:r>
        <w:tab/>
        <w:t>(5)</w:t>
      </w:r>
      <w:r>
        <w:tab/>
        <w:t xml:space="preserve">The State Disaster Council is to include — </w:t>
      </w:r>
    </w:p>
    <w:p>
      <w:pPr>
        <w:pStyle w:val="Indenta"/>
      </w:pPr>
      <w:r>
        <w:tab/>
        <w:t>(a)</w:t>
      </w:r>
      <w:r>
        <w:tab/>
        <w:t>the State Emergency Coordinator; and</w:t>
      </w:r>
    </w:p>
    <w:p>
      <w:pPr>
        <w:pStyle w:val="Indenta"/>
      </w:pPr>
      <w:r>
        <w:tab/>
        <w:t>(b)</w:t>
      </w:r>
      <w:r>
        <w:tab/>
        <w:t>such other members as are appointed by the chairman.</w:t>
      </w:r>
    </w:p>
    <w:p>
      <w:pPr>
        <w:pStyle w:val="Subsection"/>
      </w:pPr>
      <w:r>
        <w:tab/>
        <w:t>(6)</w:t>
      </w:r>
      <w:r>
        <w:tab/>
        <w:t>The chairman may give directions as to the procedure of the State Disaster Council.</w:t>
      </w:r>
    </w:p>
    <w:p>
      <w:pPr>
        <w:pStyle w:val="Subsection"/>
      </w:pPr>
      <w:r>
        <w:tab/>
        <w:t>(7)</w:t>
      </w:r>
      <w:r>
        <w:tab/>
        <w:t>Subject to this section and the directions of the chairman the State Disaster Council may determine its own procedures.</w:t>
      </w:r>
    </w:p>
    <w:p>
      <w:pPr>
        <w:pStyle w:val="Subsection"/>
      </w:pPr>
      <w:r>
        <w:tab/>
        <w:t>(8)</w:t>
      </w:r>
      <w:r>
        <w:tab/>
        <w:t>The State Disaster Council ceases to be established on a day determined by its chairman.</w:t>
      </w:r>
    </w:p>
    <w:p>
      <w:pPr>
        <w:pStyle w:val="Heading5"/>
      </w:pPr>
      <w:bookmarkStart w:id="151" w:name="_Toc118300045"/>
      <w:r>
        <w:rPr>
          <w:rStyle w:val="CharSectno"/>
        </w:rPr>
        <w:lastRenderedPageBreak/>
        <w:t>64</w:t>
      </w:r>
      <w:r>
        <w:t>.</w:t>
      </w:r>
      <w:r>
        <w:tab/>
        <w:t>Functions of the State Disaster Council</w:t>
      </w:r>
      <w:bookmarkEnd w:id="151"/>
    </w:p>
    <w:p>
      <w:pPr>
        <w:pStyle w:val="Subsection"/>
        <w:keepNext/>
      </w:pPr>
      <w:r>
        <w:tab/>
      </w:r>
      <w:r>
        <w:tab/>
        <w:t xml:space="preserve">The functions of the State Disaster Council are — </w:t>
      </w:r>
    </w:p>
    <w:p>
      <w:pPr>
        <w:pStyle w:val="Indenta"/>
      </w:pPr>
      <w:r>
        <w:tab/>
        <w:t>(a)</w:t>
      </w:r>
      <w:r>
        <w:tab/>
        <w:t>to liaise with the State Government and the State Emergency Coordination Group in relation to the state of emergency; and</w:t>
      </w:r>
    </w:p>
    <w:p>
      <w:pPr>
        <w:pStyle w:val="Indenta"/>
      </w:pPr>
      <w:r>
        <w:tab/>
        <w:t>(b)</w:t>
      </w:r>
      <w:r>
        <w:tab/>
        <w:t>to provide prompt and accurate advice to the Government and the State Emergency Coordination Group in relation to the state of emergency; and</w:t>
      </w:r>
    </w:p>
    <w:p>
      <w:pPr>
        <w:pStyle w:val="Indenta"/>
      </w:pPr>
      <w:r>
        <w:tab/>
        <w:t>(c)</w:t>
      </w:r>
      <w:r>
        <w:tab/>
        <w:t>to provide support for the Government and the State Emergency Coordination Group in relation to the state of emergency; and</w:t>
      </w:r>
    </w:p>
    <w:p>
      <w:pPr>
        <w:pStyle w:val="Indenta"/>
      </w:pPr>
      <w:r>
        <w:tab/>
        <w:t>(d)</w:t>
      </w:r>
      <w:r>
        <w:tab/>
        <w:t>to liaise with the Australian Government as required; and</w:t>
      </w:r>
    </w:p>
    <w:p>
      <w:pPr>
        <w:pStyle w:val="Indenta"/>
      </w:pPr>
      <w:r>
        <w:tab/>
        <w:t>(e)</w:t>
      </w:r>
      <w:r>
        <w:tab/>
        <w:t>to perform any other functions as directed by the Premier.</w:t>
      </w:r>
    </w:p>
    <w:p>
      <w:pPr>
        <w:pStyle w:val="Heading2"/>
      </w:pPr>
      <w:bookmarkStart w:id="152" w:name="_Toc117777690"/>
      <w:bookmarkStart w:id="153" w:name="_Toc117779374"/>
      <w:bookmarkStart w:id="154" w:name="_Toc117845296"/>
      <w:bookmarkStart w:id="155" w:name="_Toc118299682"/>
      <w:bookmarkStart w:id="156" w:name="_Toc118300046"/>
      <w:r>
        <w:rPr>
          <w:rStyle w:val="CharPartNo"/>
        </w:rPr>
        <w:lastRenderedPageBreak/>
        <w:t>Part 6</w:t>
      </w:r>
      <w:r>
        <w:t> — </w:t>
      </w:r>
      <w:r>
        <w:rPr>
          <w:rStyle w:val="CharPartText"/>
        </w:rPr>
        <w:t>Emergency powers</w:t>
      </w:r>
      <w:bookmarkEnd w:id="152"/>
      <w:bookmarkEnd w:id="153"/>
      <w:bookmarkEnd w:id="154"/>
      <w:bookmarkEnd w:id="155"/>
      <w:bookmarkEnd w:id="156"/>
    </w:p>
    <w:p>
      <w:pPr>
        <w:pStyle w:val="Heading3"/>
        <w:ind w:right="424" w:firstLine="426"/>
      </w:pPr>
      <w:bookmarkStart w:id="157" w:name="_Toc117777691"/>
      <w:bookmarkStart w:id="158" w:name="_Toc117779375"/>
      <w:bookmarkStart w:id="159" w:name="_Toc117845297"/>
      <w:bookmarkStart w:id="160" w:name="_Toc118299683"/>
      <w:bookmarkStart w:id="161" w:name="_Toc118300047"/>
      <w:r>
        <w:rPr>
          <w:rStyle w:val="CharDivNo"/>
        </w:rPr>
        <w:t>Division 1</w:t>
      </w:r>
      <w:r>
        <w:t> — </w:t>
      </w:r>
      <w:r>
        <w:rPr>
          <w:rStyle w:val="CharDivText"/>
        </w:rPr>
        <w:t>Powers during emergency situation or state of emergency</w:t>
      </w:r>
      <w:bookmarkEnd w:id="157"/>
      <w:bookmarkEnd w:id="158"/>
      <w:bookmarkEnd w:id="159"/>
      <w:bookmarkEnd w:id="160"/>
      <w:bookmarkEnd w:id="161"/>
    </w:p>
    <w:p>
      <w:pPr>
        <w:pStyle w:val="Heading5"/>
        <w:spacing w:before="120"/>
      </w:pPr>
      <w:bookmarkStart w:id="162" w:name="_Toc118300048"/>
      <w:r>
        <w:rPr>
          <w:rStyle w:val="CharSectno"/>
        </w:rPr>
        <w:t>65</w:t>
      </w:r>
      <w:r>
        <w:t>.</w:t>
      </w:r>
      <w:r>
        <w:tab/>
        <w:t>Application of this Division</w:t>
      </w:r>
      <w:bookmarkEnd w:id="162"/>
    </w:p>
    <w:p>
      <w:pPr>
        <w:pStyle w:val="Subsection"/>
        <w:spacing w:before="100"/>
      </w:pPr>
      <w:r>
        <w:tab/>
      </w:r>
      <w:r>
        <w:tab/>
        <w:t>Subject to any limitation in a declaration under section 52 or 58, this Division applies if an emergency situation declaration or state of emergency declaration is in force.</w:t>
      </w:r>
    </w:p>
    <w:p>
      <w:pPr>
        <w:pStyle w:val="Heading5"/>
        <w:spacing w:before="120"/>
      </w:pPr>
      <w:bookmarkStart w:id="163" w:name="_Toc118300049"/>
      <w:r>
        <w:rPr>
          <w:rStyle w:val="CharSectno"/>
        </w:rPr>
        <w:t>66</w:t>
      </w:r>
      <w:r>
        <w:t>.</w:t>
      </w:r>
      <w:r>
        <w:tab/>
        <w:t>Obtaining identifying particulars</w:t>
      </w:r>
      <w:bookmarkEnd w:id="163"/>
    </w:p>
    <w:p>
      <w:pPr>
        <w:pStyle w:val="Subsection"/>
        <w:spacing w:before="100"/>
      </w:pPr>
      <w:r>
        <w:tab/>
        <w:t>(1)</w:t>
      </w:r>
      <w:r>
        <w:tab/>
        <w:t xml:space="preserve">The office of hazard management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an emergency situation.</w:t>
      </w:r>
    </w:p>
    <w:p>
      <w:pPr>
        <w:pStyle w:val="Subsection"/>
      </w:pPr>
      <w:r>
        <w:tab/>
        <w:t>(2)</w:t>
      </w:r>
      <w:r>
        <w:tab/>
        <w:t xml:space="preserve">The office of authorised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 state of emergency.</w:t>
      </w:r>
    </w:p>
    <w:p>
      <w:pPr>
        <w:pStyle w:val="Subsection"/>
        <w:spacing w:before="100"/>
      </w:pPr>
      <w:r>
        <w:tab/>
        <w:t>(3)</w:t>
      </w:r>
      <w:r>
        <w:tab/>
        <w:t>Without limiting subsections (1) and (2), a hazard management officer or authorised officer may, where reasonably required for the purposes of emergency management during an emergency situation or state of emergency, request a person to give the officer any or all of the person’s personal details.</w:t>
      </w:r>
    </w:p>
    <w:p>
      <w:pPr>
        <w:pStyle w:val="Subsection"/>
        <w:spacing w:before="100"/>
      </w:pPr>
      <w:r>
        <w:tab/>
        <w:t>(4)</w:t>
      </w:r>
      <w:r>
        <w:tab/>
        <w:t>If an officer reasonably suspects that a personal detail given by a person in response to a request under subsection (3) is false, the officer may request the person to produce evidence of the correctness of the detail.</w:t>
      </w:r>
    </w:p>
    <w:p>
      <w:pPr>
        <w:pStyle w:val="Heading5"/>
        <w:spacing w:before="120"/>
      </w:pPr>
      <w:bookmarkStart w:id="164" w:name="_Toc118300050"/>
      <w:r>
        <w:rPr>
          <w:rStyle w:val="CharSectno"/>
        </w:rPr>
        <w:lastRenderedPageBreak/>
        <w:t>67</w:t>
      </w:r>
      <w:r>
        <w:t>.</w:t>
      </w:r>
      <w:r>
        <w:tab/>
        <w:t>Powers concerning movement and evacuation</w:t>
      </w:r>
      <w:bookmarkEnd w:id="164"/>
    </w:p>
    <w:p>
      <w:pPr>
        <w:pStyle w:val="Subsection"/>
        <w:keepNext/>
        <w:keepLines/>
        <w:spacing w:before="100"/>
      </w:pPr>
      <w:r>
        <w:tab/>
      </w:r>
      <w:r>
        <w:tab/>
        <w:t xml:space="preserve">For the purpose of emergency management during an emergency situation or state of emergency, a hazard management officer or authorised officer may do all or any of the following — </w:t>
      </w:r>
    </w:p>
    <w:p>
      <w:pPr>
        <w:pStyle w:val="Indenta"/>
        <w:keepNext/>
        <w:keepLines/>
      </w:pPr>
      <w:r>
        <w:tab/>
        <w:t>(a)</w:t>
      </w:r>
      <w:r>
        <w:tab/>
        <w:t>direct or, by direction, prohibit, the movement of persons, animals and vehicles within, into, out of or around an emergency area or any part of the emergency area;</w:t>
      </w:r>
    </w:p>
    <w:p>
      <w:pPr>
        <w:pStyle w:val="Indenta"/>
      </w:pPr>
      <w:r>
        <w:tab/>
        <w:t>(b)</w:t>
      </w:r>
      <w:r>
        <w:tab/>
        <w:t>direct the evacuation and removal of persons or animals from the emergency area or any part of the emergency area;</w:t>
      </w:r>
    </w:p>
    <w:p>
      <w:pPr>
        <w:pStyle w:val="Indenta"/>
      </w:pPr>
      <w:r>
        <w:tab/>
        <w:t>(c)</w:t>
      </w:r>
      <w:r>
        <w:tab/>
        <w:t>close any road, access route or area of water in or leading to the emergency area;</w:t>
      </w:r>
    </w:p>
    <w:p>
      <w:pPr>
        <w:pStyle w:val="Indenta"/>
      </w:pPr>
      <w:r>
        <w:tab/>
        <w:t>(d)</w:t>
      </w:r>
      <w:r>
        <w:tab/>
        <w:t>direct that any road, access route or area of water in or leading to the emergency area be closed.</w:t>
      </w:r>
    </w:p>
    <w:p>
      <w:pPr>
        <w:pStyle w:val="Footnotesection"/>
      </w:pPr>
      <w:r>
        <w:tab/>
        <w:t>[Section 67 amended: No. 11 of 2020 s. 4.]</w:t>
      </w:r>
    </w:p>
    <w:p>
      <w:pPr>
        <w:pStyle w:val="Heading5"/>
      </w:pPr>
      <w:bookmarkStart w:id="165" w:name="_Toc118300051"/>
      <w:r>
        <w:rPr>
          <w:rStyle w:val="CharSectno"/>
        </w:rPr>
        <w:t>68</w:t>
      </w:r>
      <w:r>
        <w:t>.</w:t>
      </w:r>
      <w:r>
        <w:tab/>
        <w:t>Use of vehicles</w:t>
      </w:r>
      <w:bookmarkEnd w:id="165"/>
    </w:p>
    <w:p>
      <w:pPr>
        <w:pStyle w:val="Subsection"/>
      </w:pPr>
      <w:r>
        <w:tab/>
      </w:r>
      <w:r>
        <w:tab/>
        <w:t xml:space="preserve">For the purposes of emergency management during an emergency situation or state of emergency, a hazard management officer or authorised officer may use a vehicle in any place and in any circumstance despite any provision of the </w:t>
      </w:r>
      <w:r>
        <w:rPr>
          <w:i/>
        </w:rPr>
        <w:t xml:space="preserve">Road Traffic (Vehicles) Act 2012 </w:t>
      </w:r>
      <w:r>
        <w:t>that requires a permit for the use of that vehicle or for the use of that vehicle in that place or in that circumstance.</w:t>
      </w:r>
    </w:p>
    <w:p>
      <w:pPr>
        <w:pStyle w:val="Footnotesection"/>
      </w:pPr>
      <w:r>
        <w:tab/>
        <w:t>[Section 68 amended: No. 8 of 2012 s. 98.]</w:t>
      </w:r>
    </w:p>
    <w:p>
      <w:pPr>
        <w:pStyle w:val="Heading5"/>
      </w:pPr>
      <w:bookmarkStart w:id="166" w:name="_Toc118300052"/>
      <w:r>
        <w:rPr>
          <w:rStyle w:val="CharSectno"/>
        </w:rPr>
        <w:t>69</w:t>
      </w:r>
      <w:r>
        <w:t>.</w:t>
      </w:r>
      <w:r>
        <w:tab/>
        <w:t>Powers of officer to control or use property</w:t>
      </w:r>
      <w:bookmarkEnd w:id="166"/>
    </w:p>
    <w:p>
      <w:pPr>
        <w:pStyle w:val="Subsection"/>
      </w:pPr>
      <w:r>
        <w:tab/>
        <w:t>(1)</w:t>
      </w:r>
      <w:r>
        <w:tab/>
        <w:t>For the purposes of emergency management during an emergency situation or state of emergency, a hazard management officer or authorised officer may take control of or make use of any place, vehicle or other thing.</w:t>
      </w:r>
    </w:p>
    <w:p>
      <w:pPr>
        <w:pStyle w:val="Subsection"/>
      </w:pPr>
      <w:r>
        <w:lastRenderedPageBreak/>
        <w:tab/>
        <w:t>(2)</w:t>
      </w:r>
      <w:r>
        <w:tab/>
        <w:t>The place, vehicle or other thing may be in, or outside, the emergency area.</w:t>
      </w:r>
    </w:p>
    <w:p>
      <w:pPr>
        <w:pStyle w:val="Heading5"/>
      </w:pPr>
      <w:bookmarkStart w:id="167" w:name="_Toc118300053"/>
      <w:r>
        <w:rPr>
          <w:rStyle w:val="CharSectno"/>
        </w:rPr>
        <w:t>70</w:t>
      </w:r>
      <w:r>
        <w:t>.</w:t>
      </w:r>
      <w:r>
        <w:tab/>
        <w:t>Powers of officers in relation to persons exposed to hazardous substances</w:t>
      </w:r>
      <w:bookmarkEnd w:id="167"/>
    </w:p>
    <w:p>
      <w:pPr>
        <w:pStyle w:val="Subsection"/>
      </w:pPr>
      <w:r>
        <w:tab/>
        <w:t>(1)</w:t>
      </w:r>
      <w:r>
        <w:tab/>
        <w:t xml:space="preserve">During an emergency situation or state of emergency, for a purpose mentioned in subsection (2), a hazard management officer or authorised officer may direct any person who has been exposed, or any class of person who may have been exposed, to a hazardous substance to do all or any of the following — </w:t>
      </w:r>
    </w:p>
    <w:p>
      <w:pPr>
        <w:pStyle w:val="Indenta"/>
      </w:pPr>
      <w:r>
        <w:tab/>
        <w:t>(a)</w:t>
      </w:r>
      <w:r>
        <w:tab/>
        <w:t>to remain in an area specified by the officer for such period as is specified by the officer;</w:t>
      </w:r>
    </w:p>
    <w:p>
      <w:pPr>
        <w:pStyle w:val="Indenta"/>
      </w:pPr>
      <w:r>
        <w:tab/>
        <w:t>(b)</w:t>
      </w:r>
      <w:r>
        <w:tab/>
        <w:t>to remain quarantined from other persons for such period, and in such reasonable manner, as is specified by the officer;</w:t>
      </w:r>
    </w:p>
    <w:p>
      <w:pPr>
        <w:pStyle w:val="Indenta"/>
      </w:pPr>
      <w:r>
        <w:tab/>
        <w:t>(c)</w:t>
      </w:r>
      <w:r>
        <w:tab/>
        <w:t>to submit to decontamination procedures within such reasonable period, and in such reasonable manner, as is specified by the officer.</w:t>
      </w:r>
    </w:p>
    <w:p>
      <w:pPr>
        <w:pStyle w:val="Subsection"/>
      </w:pPr>
      <w:r>
        <w:tab/>
        <w:t>(2)</w:t>
      </w:r>
      <w:r>
        <w:tab/>
        <w:t xml:space="preserve">A direction may be given under subsection (1) for the purpose of — </w:t>
      </w:r>
    </w:p>
    <w:p>
      <w:pPr>
        <w:pStyle w:val="Indenta"/>
      </w:pPr>
      <w:r>
        <w:tab/>
        <w:t>(a)</w:t>
      </w:r>
      <w:r>
        <w:tab/>
        <w:t>ensuring that the hazardous substance is contained; or</w:t>
      </w:r>
    </w:p>
    <w:p>
      <w:pPr>
        <w:pStyle w:val="Indenta"/>
      </w:pPr>
      <w:r>
        <w:tab/>
        <w:t>(b)</w:t>
      </w:r>
      <w:r>
        <w:tab/>
        <w:t>ensuring that a person to whom the direction is given does not pose a serious risk to the life or health of others or to the environment because of the hazardous substance involved.</w:t>
      </w:r>
    </w:p>
    <w:p>
      <w:pPr>
        <w:pStyle w:val="Subsection"/>
      </w:pPr>
      <w:r>
        <w:tab/>
        <w:t>(3)</w:t>
      </w:r>
      <w:r>
        <w:tab/>
        <w:t xml:space="preserve">The period specified under subsection (1)(a) or (b) must not be more than 24 hours unless — </w:t>
      </w:r>
    </w:p>
    <w:p>
      <w:pPr>
        <w:pStyle w:val="Indenta"/>
      </w:pPr>
      <w:r>
        <w:tab/>
        <w:t>(a)</w:t>
      </w:r>
      <w:r>
        <w:tab/>
        <w:t>the State Emergency Coordinator gives the direction; or</w:t>
      </w:r>
    </w:p>
    <w:p>
      <w:pPr>
        <w:pStyle w:val="Indenta"/>
      </w:pPr>
      <w:r>
        <w:tab/>
        <w:t>(b)</w:t>
      </w:r>
      <w:r>
        <w:tab/>
        <w:t>the State Emergency Coordinator has given authorisation for a longer period to be specified in relation to persons exposed to the hazardous substance.</w:t>
      </w:r>
    </w:p>
    <w:p>
      <w:pPr>
        <w:pStyle w:val="Footnotesection"/>
      </w:pPr>
      <w:r>
        <w:tab/>
        <w:t>[Section 70 amended: No. 11 of 2020 s. 5.]</w:t>
      </w:r>
    </w:p>
    <w:p>
      <w:pPr>
        <w:pStyle w:val="Heading5"/>
      </w:pPr>
      <w:bookmarkStart w:id="168" w:name="_Toc118300054"/>
      <w:r>
        <w:rPr>
          <w:rStyle w:val="CharSectno"/>
        </w:rPr>
        <w:lastRenderedPageBreak/>
        <w:t>70A</w:t>
      </w:r>
      <w:r>
        <w:t>.</w:t>
      </w:r>
      <w:r>
        <w:tab/>
        <w:t>Electronic monitoring of persons in quarantine</w:t>
      </w:r>
      <w:bookmarkEnd w:id="168"/>
    </w:p>
    <w:p>
      <w:pPr>
        <w:pStyle w:val="Subsection"/>
      </w:pPr>
      <w:r>
        <w:tab/>
        <w:t>(1)</w:t>
      </w:r>
      <w:r>
        <w:tab/>
        <w:t xml:space="preserve">In this section —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Minister for the purposes of this section; and</w:t>
      </w:r>
    </w:p>
    <w:p>
      <w:pPr>
        <w:pStyle w:val="Defpara"/>
      </w:pPr>
      <w:r>
        <w:tab/>
        <w:t>(b)</w:t>
      </w:r>
      <w:r>
        <w:tab/>
        <w:t>any equipment, wires or other items associated with such a device.</w:t>
      </w:r>
    </w:p>
    <w:p>
      <w:pPr>
        <w:pStyle w:val="Subsection"/>
      </w:pPr>
      <w:r>
        <w:tab/>
        <w:t>(2)</w:t>
      </w:r>
      <w:r>
        <w:tab/>
        <w:t>The State Emergency Coordinator may direct that a person is to be subject to electronic monitoring while the person is in quarantine if satisfied that it is necessary to monitor the location of the person during the quarantine period.</w:t>
      </w:r>
    </w:p>
    <w:p>
      <w:pPr>
        <w:pStyle w:val="Subsection"/>
      </w:pPr>
      <w:r>
        <w:tab/>
        <w:t>(3)</w:t>
      </w:r>
      <w:r>
        <w:tab/>
        <w:t>A person is in quarantine while they are subject to a direction under section 70(1) that is or includes a direction described in section 70(1)(b).</w:t>
      </w:r>
    </w:p>
    <w:p>
      <w:pPr>
        <w:pStyle w:val="Subsection"/>
      </w:pPr>
      <w:r>
        <w:tab/>
        <w:t>(4)</w:t>
      </w:r>
      <w:r>
        <w:tab/>
        <w:t xml:space="preserve">If a person is subject to electronic monitoring, an authorised officer may do any of the following — </w:t>
      </w:r>
    </w:p>
    <w:p>
      <w:pPr>
        <w:pStyle w:val="Indenta"/>
      </w:pPr>
      <w:r>
        <w:tab/>
        <w:t>(a)</w:t>
      </w:r>
      <w:r>
        <w:tab/>
        <w:t>direct the person to wear an approved electronic monitoring device;</w:t>
      </w:r>
    </w:p>
    <w:p>
      <w:pPr>
        <w:pStyle w:val="Indenta"/>
      </w:pPr>
      <w:r>
        <w:tab/>
        <w:t>(b)</w:t>
      </w:r>
      <w:r>
        <w:tab/>
        <w:t>direct the person to permit the installation of an approved electronic monitoring device at the place where the person resides or, if the person does not have a place of residence, at any other place specified by the officer;</w:t>
      </w:r>
    </w:p>
    <w:p>
      <w:pPr>
        <w:pStyle w:val="Indenta"/>
      </w:pPr>
      <w:r>
        <w:tab/>
        <w:t>(c)</w:t>
      </w:r>
      <w:r>
        <w:tab/>
        <w:t>give any other reasonable direction to the person necessary for the proper administration of the electronic monitoring of the person.</w:t>
      </w:r>
    </w:p>
    <w:p>
      <w:pPr>
        <w:pStyle w:val="Subsection"/>
      </w:pPr>
      <w:r>
        <w:tab/>
        <w:t>(5)</w:t>
      </w:r>
      <w:r>
        <w:tab/>
        <w:t xml:space="preserve">An authorised officer may — </w:t>
      </w:r>
    </w:p>
    <w:p>
      <w:pPr>
        <w:pStyle w:val="Indenta"/>
      </w:pPr>
      <w:r>
        <w:tab/>
        <w:t>(a)</w:t>
      </w:r>
      <w:r>
        <w:tab/>
        <w:t>direct the occupier of a place where an approved electronic monitoring device has been installed to give the device to an authorised officer within the period specified by the officer; and</w:t>
      </w:r>
    </w:p>
    <w:p>
      <w:pPr>
        <w:pStyle w:val="Indenta"/>
      </w:pPr>
      <w:r>
        <w:lastRenderedPageBreak/>
        <w:tab/>
        <w:t>(b)</w:t>
      </w:r>
      <w:r>
        <w:tab/>
        <w:t>at any time, enter a place where an approved electronic monitoring device has been installed and retrieve the device.</w:t>
      </w:r>
    </w:p>
    <w:p>
      <w:pPr>
        <w:pStyle w:val="Subsection"/>
      </w:pPr>
      <w:r>
        <w:tab/>
        <w:t>(6)</w:t>
      </w:r>
      <w:r>
        <w:tab/>
        <w:t xml:space="preserve">A person must not — </w:t>
      </w:r>
    </w:p>
    <w:p>
      <w:pPr>
        <w:pStyle w:val="Indenta"/>
      </w:pPr>
      <w:r>
        <w:tab/>
        <w:t>(a)</w:t>
      </w:r>
      <w:r>
        <w:tab/>
        <w:t>fail to comply with a direction under this section; or</w:t>
      </w:r>
    </w:p>
    <w:p>
      <w:pPr>
        <w:pStyle w:val="Indenta"/>
      </w:pPr>
      <w:r>
        <w:tab/>
        <w:t>(b)</w:t>
      </w:r>
      <w:r>
        <w:tab/>
        <w:t>obstruct or hinder an authorised officer exercising powers under subsection (5)(b).</w:t>
      </w:r>
    </w:p>
    <w:p>
      <w:pPr>
        <w:pStyle w:val="Penstart"/>
      </w:pPr>
      <w:r>
        <w:tab/>
        <w:t>Penalty for this subsection: imprisonment for 12 months or a fine of $12 000.</w:t>
      </w:r>
    </w:p>
    <w:p>
      <w:pPr>
        <w:pStyle w:val="Subsection"/>
      </w:pPr>
      <w:r>
        <w:tab/>
        <w:t>(7)</w:t>
      </w:r>
      <w:r>
        <w:tab/>
        <w:t>A person must not, without reasonable excuse, remove, or interfere with, or interfere with the operation of, an approved electronic monitoring device required to be worn or installed under this section in such a way as to prevent or impede monitoring of the location of the person subject to electronic monitoring.</w:t>
      </w:r>
    </w:p>
    <w:p>
      <w:pPr>
        <w:pStyle w:val="Penstart"/>
      </w:pPr>
      <w:r>
        <w:tab/>
        <w:t>Penalty for this subsection: imprisonment for 12 months or a fine of $12 000.</w:t>
      </w:r>
    </w:p>
    <w:p>
      <w:pPr>
        <w:pStyle w:val="Footnotesection"/>
      </w:pPr>
      <w:r>
        <w:tab/>
        <w:t>[Section 70A inserted: No. 11 of 2020 s. 6.]</w:t>
      </w:r>
    </w:p>
    <w:p>
      <w:pPr>
        <w:pStyle w:val="Heading5"/>
      </w:pPr>
      <w:bookmarkStart w:id="169" w:name="_Toc118300055"/>
      <w:r>
        <w:rPr>
          <w:rStyle w:val="CharSectno"/>
        </w:rPr>
        <w:t>71</w:t>
      </w:r>
      <w:r>
        <w:t>.</w:t>
      </w:r>
      <w:r>
        <w:tab/>
        <w:t>Powers of police to direct closure of places and concerning movement and evacuation</w:t>
      </w:r>
      <w:bookmarkEnd w:id="169"/>
    </w:p>
    <w:p>
      <w:pPr>
        <w:pStyle w:val="Subsection"/>
      </w:pPr>
      <w:r>
        <w:tab/>
        <w:t>(1)</w:t>
      </w:r>
      <w:r>
        <w:tab/>
        <w:t>For the purpose of emergency management during an emergency situation or state of emergency, a police officer may direct the owner, occupier or the person apparently in charge of any place of business, worship or entertainment in the emergency area to close that place to the public for the period specified in the direction.</w:t>
      </w:r>
    </w:p>
    <w:p>
      <w:pPr>
        <w:pStyle w:val="Subsection"/>
      </w:pPr>
      <w:r>
        <w:tab/>
        <w:t>(1A)</w:t>
      </w:r>
      <w:r>
        <w:tab/>
        <w:t>A direction under subsection (1) may be given in relation to a class of place.</w:t>
      </w:r>
    </w:p>
    <w:p>
      <w:pPr>
        <w:pStyle w:val="Subsection"/>
      </w:pPr>
      <w:r>
        <w:tab/>
        <w:t>(2)</w:t>
      </w:r>
      <w:r>
        <w:tab/>
        <w:t>Subject to subsection (3), during an emergency situation or state of emergency a police officer may exercise any of the powers of a hazard management officer under section 67 or an authorised officer under section 75(1)(i), as the case requires.</w:t>
      </w:r>
    </w:p>
    <w:p>
      <w:pPr>
        <w:pStyle w:val="Subsection"/>
        <w:keepNext/>
      </w:pPr>
      <w:r>
        <w:lastRenderedPageBreak/>
        <w:tab/>
        <w:t>(3)</w:t>
      </w:r>
      <w:r>
        <w:tab/>
        <w:t xml:space="preserve">A police officer is not to exercise a power under subsection (2) in a manner that is contrary to or in conflict with — </w:t>
      </w:r>
    </w:p>
    <w:p>
      <w:pPr>
        <w:pStyle w:val="Indenta"/>
      </w:pPr>
      <w:r>
        <w:tab/>
        <w:t>(a)</w:t>
      </w:r>
      <w:r>
        <w:tab/>
        <w:t>a direction given to the police officer by the hazard management agency that made the emergency situation declaration or by the State Emergency Coordinator, as the case requires; or</w:t>
      </w:r>
    </w:p>
    <w:p>
      <w:pPr>
        <w:pStyle w:val="Indenta"/>
      </w:pPr>
      <w:r>
        <w:tab/>
        <w:t>(b)</w:t>
      </w:r>
      <w:r>
        <w:tab/>
        <w:t>the exercise of a power by a hazard management officer under section 67 or an authorised officer under section 75(1)(i), as the case requires.</w:t>
      </w:r>
    </w:p>
    <w:p>
      <w:pPr>
        <w:pStyle w:val="Subsection"/>
      </w:pPr>
      <w:r>
        <w:tab/>
        <w:t>(4)</w:t>
      </w:r>
      <w:r>
        <w:tab/>
        <w:t>When exercising powers under this section a police officer has all the immunities of a hazard management officer or authorised officer.</w:t>
      </w:r>
    </w:p>
    <w:p>
      <w:pPr>
        <w:pStyle w:val="Footnotesection"/>
      </w:pPr>
      <w:r>
        <w:tab/>
        <w:t>[Section 71 amended: No. 22 of 2012 s. 109; No. 11 of 2020 s. 7.]</w:t>
      </w:r>
    </w:p>
    <w:p>
      <w:pPr>
        <w:pStyle w:val="Heading5"/>
      </w:pPr>
      <w:bookmarkStart w:id="170" w:name="_Toc118300056"/>
      <w:r>
        <w:rPr>
          <w:rStyle w:val="CharSectno"/>
        </w:rPr>
        <w:t>72</w:t>
      </w:r>
      <w:r>
        <w:t>.</w:t>
      </w:r>
      <w:r>
        <w:tab/>
        <w:t>Exchange of information</w:t>
      </w:r>
      <w:bookmarkEnd w:id="170"/>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w:t>
      </w:r>
    </w:p>
    <w:p>
      <w:pPr>
        <w:pStyle w:val="Defpara"/>
      </w:pPr>
      <w:r>
        <w:tab/>
        <w:t>(b)</w:t>
      </w:r>
      <w:r>
        <w:tab/>
        <w:t>information about the whereabouts of a person;</w:t>
      </w:r>
    </w:p>
    <w:p>
      <w:pPr>
        <w:pStyle w:val="Defpara"/>
      </w:pPr>
      <w:r>
        <w:tab/>
        <w:t>(c)</w:t>
      </w:r>
      <w:r>
        <w:tab/>
        <w:t>information about the state of health of a person;</w:t>
      </w:r>
    </w:p>
    <w:p>
      <w:pPr>
        <w:pStyle w:val="Defpara"/>
      </w:pPr>
      <w:r>
        <w:tab/>
        <w:t>(ca)</w:t>
      </w:r>
      <w:r>
        <w:tab/>
        <w:t>information about any recent travel undertaken by a person;</w:t>
      </w:r>
    </w:p>
    <w:p>
      <w:pPr>
        <w:pStyle w:val="Defpara"/>
      </w:pPr>
      <w:r>
        <w:tab/>
        <w:t>(cb)</w:t>
      </w:r>
      <w:r>
        <w:tab/>
        <w:t>information about persons with whom a person has been in close contact;</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of the following for persons affected by an emergency — </w:t>
      </w:r>
    </w:p>
    <w:p>
      <w:pPr>
        <w:pStyle w:val="Defpara"/>
      </w:pPr>
      <w:r>
        <w:tab/>
        <w:t>(a)</w:t>
      </w:r>
      <w:r>
        <w:tab/>
        <w:t>accommodation;</w:t>
      </w:r>
    </w:p>
    <w:p>
      <w:pPr>
        <w:pStyle w:val="Defpara"/>
      </w:pPr>
      <w:r>
        <w:tab/>
        <w:t>(b)</w:t>
      </w:r>
      <w:r>
        <w:tab/>
        <w:t>catering;</w:t>
      </w:r>
    </w:p>
    <w:p>
      <w:pPr>
        <w:pStyle w:val="Defpara"/>
      </w:pPr>
      <w:r>
        <w:tab/>
        <w:t>(c)</w:t>
      </w:r>
      <w:r>
        <w:tab/>
        <w:t>clothing and personal requisites;</w:t>
      </w:r>
    </w:p>
    <w:p>
      <w:pPr>
        <w:pStyle w:val="Defpara"/>
      </w:pPr>
      <w:r>
        <w:lastRenderedPageBreak/>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During an emergency situation or state of emergency, for the purposes of emergency management — </w:t>
      </w:r>
    </w:p>
    <w:p>
      <w:pPr>
        <w:pStyle w:val="Indenta"/>
      </w:pPr>
      <w:r>
        <w:tab/>
        <w:t>(a)</w:t>
      </w:r>
      <w:r>
        <w:tab/>
        <w:t xml:space="preserve">a hazard management officer or an authorised officer may disclose relevant information — </w:t>
      </w:r>
    </w:p>
    <w:p>
      <w:pPr>
        <w:pStyle w:val="Indenti"/>
      </w:pPr>
      <w:r>
        <w:tab/>
        <w:t>(i)</w:t>
      </w:r>
      <w:r>
        <w:tab/>
        <w:t>to an emergency management agency; and</w:t>
      </w:r>
    </w:p>
    <w:p>
      <w:pPr>
        <w:pStyle w:val="Indenti"/>
      </w:pPr>
      <w:r>
        <w:tab/>
        <w:t>(ii)</w:t>
      </w:r>
      <w:r>
        <w:tab/>
        <w:t>if the regulations so provide, to a person or entity engaged by an emergency management agency to provide welfare services, in accordance with those regulations;</w:t>
      </w:r>
    </w:p>
    <w:p>
      <w:pPr>
        <w:pStyle w:val="Indenta"/>
      </w:pPr>
      <w:r>
        <w:tab/>
      </w:r>
      <w:r>
        <w:tab/>
        <w:t>and</w:t>
      </w:r>
    </w:p>
    <w:p>
      <w:pPr>
        <w:pStyle w:val="Indenta"/>
      </w:pPr>
      <w:r>
        <w:tab/>
        <w:t>(b)</w:t>
      </w:r>
      <w:r>
        <w:tab/>
        <w:t>if the regulations so provide, an agency, person or entity to whom relevant information is disclosed under paragraph (a) may further disclose the information in accordance with those regulations.</w:t>
      </w:r>
    </w:p>
    <w:p>
      <w:pPr>
        <w:pStyle w:val="Subsection"/>
      </w:pPr>
      <w:r>
        <w:tab/>
        <w:t>(3)</w:t>
      </w:r>
      <w:r>
        <w:tab/>
        <w:t>During an emergency situation or state of emergency, for the purposes of emergency management, a hazard management officer or an authorised officer may request an emergency management agency that holds relevant information to disclose the information to the hazard management officer or authorised officer.</w:t>
      </w:r>
    </w:p>
    <w:p>
      <w:pPr>
        <w:pStyle w:val="Subsection"/>
      </w:pPr>
      <w:r>
        <w:tab/>
        <w:t>(4)</w:t>
      </w:r>
      <w:r>
        <w:tab/>
        <w:t>An emergency management agency may comply with a request under subsection (3) despite any law of this State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keepNext/>
      </w:pPr>
      <w:r>
        <w:lastRenderedPageBreak/>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SEMC must establish procedures for the disclosure of information under subsection (2)(a)(i).</w:t>
      </w:r>
    </w:p>
    <w:p>
      <w:pPr>
        <w:pStyle w:val="Subsection"/>
      </w:pPr>
      <w:r>
        <w:tab/>
        <w:t>(7)</w:t>
      </w:r>
      <w:r>
        <w:tab/>
        <w:t xml:space="preserve">The regulations may include provisions about — </w:t>
      </w:r>
    </w:p>
    <w:p>
      <w:pPr>
        <w:pStyle w:val="Indenta"/>
      </w:pPr>
      <w:r>
        <w:tab/>
        <w:t>(a)</w:t>
      </w:r>
      <w:r>
        <w:tab/>
        <w:t>the circumstances in which information may be disclosed under this section; and</w:t>
      </w:r>
    </w:p>
    <w:p>
      <w:pPr>
        <w:pStyle w:val="Indenta"/>
      </w:pPr>
      <w:r>
        <w:tab/>
        <w:t>(b)</w:t>
      </w:r>
      <w:r>
        <w:tab/>
        <w:t>the agencies, persons and entities to whom information may be disclosed under this section; and</w:t>
      </w:r>
    </w:p>
    <w:p>
      <w:pPr>
        <w:pStyle w:val="Indenta"/>
      </w:pPr>
      <w:r>
        <w:tab/>
        <w:t>(c)</w:t>
      </w:r>
      <w:r>
        <w:tab/>
        <w:t>the conditions subject to which information may be disclosed under this section; and</w:t>
      </w:r>
    </w:p>
    <w:p>
      <w:pPr>
        <w:pStyle w:val="Indenta"/>
      </w:pPr>
      <w:r>
        <w:tab/>
        <w:t>(d)</w:t>
      </w:r>
      <w:r>
        <w:tab/>
        <w:t>the receipt and storage of information disclosed under this section; and</w:t>
      </w:r>
    </w:p>
    <w:p>
      <w:pPr>
        <w:pStyle w:val="Indenta"/>
      </w:pPr>
      <w:r>
        <w:tab/>
        <w:t>(e)</w:t>
      </w:r>
      <w:r>
        <w:tab/>
        <w:t>the restriction of access to such information.</w:t>
      </w:r>
    </w:p>
    <w:p>
      <w:pPr>
        <w:pStyle w:val="Footnotesection"/>
      </w:pPr>
      <w:r>
        <w:tab/>
        <w:t>[Section 72 amended: No. 11 of 2020 s. 8.]</w:t>
      </w:r>
    </w:p>
    <w:p>
      <w:pPr>
        <w:pStyle w:val="Heading3"/>
      </w:pPr>
      <w:bookmarkStart w:id="171" w:name="_Toc117777772"/>
      <w:bookmarkStart w:id="172" w:name="_Toc117779385"/>
      <w:bookmarkStart w:id="173" w:name="_Toc117845307"/>
      <w:bookmarkStart w:id="174" w:name="_Toc118299693"/>
      <w:bookmarkStart w:id="175" w:name="_Toc118300057"/>
      <w:r>
        <w:rPr>
          <w:rStyle w:val="CharDivNo"/>
        </w:rPr>
        <w:t>Division 1A</w:t>
      </w:r>
      <w:r>
        <w:t> — </w:t>
      </w:r>
      <w:r>
        <w:rPr>
          <w:rStyle w:val="CharDivText"/>
        </w:rPr>
        <w:t>Temporary powers during state of emergency in relation to COVID</w:t>
      </w:r>
      <w:r>
        <w:rPr>
          <w:rStyle w:val="CharDivText"/>
        </w:rPr>
        <w:noBreakHyphen/>
        <w:t>19</w:t>
      </w:r>
      <w:bookmarkEnd w:id="171"/>
      <w:bookmarkEnd w:id="172"/>
      <w:bookmarkEnd w:id="173"/>
      <w:bookmarkEnd w:id="174"/>
      <w:bookmarkEnd w:id="175"/>
    </w:p>
    <w:p>
      <w:pPr>
        <w:pStyle w:val="Footnoteheading"/>
      </w:pPr>
      <w:r>
        <w:tab/>
        <w:t>[Heading inserted: No. 33 of 2022 s. 5.]</w:t>
      </w:r>
    </w:p>
    <w:p>
      <w:pPr>
        <w:pStyle w:val="Heading5"/>
      </w:pPr>
      <w:bookmarkStart w:id="176" w:name="_Toc118300058"/>
      <w:r>
        <w:rPr>
          <w:rStyle w:val="CharSectno"/>
        </w:rPr>
        <w:t>72A</w:t>
      </w:r>
      <w:r>
        <w:t>.</w:t>
      </w:r>
      <w:r>
        <w:tab/>
        <w:t>General powers during state of emergency in relation to COVID</w:t>
      </w:r>
      <w:r>
        <w:noBreakHyphen/>
        <w:t>19</w:t>
      </w:r>
      <w:bookmarkEnd w:id="176"/>
    </w:p>
    <w:p>
      <w:pPr>
        <w:pStyle w:val="Subsection"/>
      </w:pPr>
      <w:r>
        <w:tab/>
        <w:t>(1A)</w:t>
      </w:r>
      <w:r>
        <w:tab/>
        <w:t>Subject to any limitation in a declaration under section 58, this section applies if a state of emergency declaration is in force declaring that a state of emergency exists in relation to COVID</w:t>
      </w:r>
      <w:r>
        <w:noBreakHyphen/>
        <w:t>19.</w:t>
      </w:r>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relevant information as defined in section 72(1); and</w:t>
      </w:r>
    </w:p>
    <w:p>
      <w:pPr>
        <w:pStyle w:val="Defpara"/>
      </w:pPr>
      <w:r>
        <w:lastRenderedPageBreak/>
        <w:tab/>
        <w:t>(b)</w:t>
      </w:r>
      <w:r>
        <w:tab/>
        <w:t>information of a kind specified by the State Emergency Coordinator as relevant to the emergency.</w:t>
      </w:r>
    </w:p>
    <w:p>
      <w:pPr>
        <w:pStyle w:val="Subsection"/>
      </w:pPr>
      <w:r>
        <w:tab/>
        <w:t>(2)</w:t>
      </w:r>
      <w:r>
        <w:tab/>
        <w:t>For the purposes of emergency management during a state of emergency referred to in subsection (1A), an authorised officer may take, or direct a person or a class of person to take, any action that the officer considers is reasonably necessary to prevent, control or abate risks associated with the emergency.</w:t>
      </w:r>
    </w:p>
    <w:p>
      <w:pPr>
        <w:pStyle w:val="Subsection"/>
        <w:keepLines/>
      </w:pPr>
      <w:r>
        <w:tab/>
        <w:t>(3)</w:t>
      </w:r>
      <w:r>
        <w:tab/>
        <w:t xml:space="preserve">For the purposes of emergency management during a state of emergency referred to in subsection (1A), an authorised officer may direct a person to — </w:t>
      </w:r>
    </w:p>
    <w:p>
      <w:pPr>
        <w:pStyle w:val="Indenta"/>
      </w:pPr>
      <w:r>
        <w:tab/>
        <w:t>(a)</w:t>
      </w:r>
      <w:r>
        <w:tab/>
        <w:t>give to the officer relevant information about the person or any other person closely associated with the person; or</w:t>
      </w:r>
    </w:p>
    <w:p>
      <w:pPr>
        <w:pStyle w:val="Indenta"/>
      </w:pPr>
      <w:r>
        <w:tab/>
        <w:t>(b)</w:t>
      </w:r>
      <w:r>
        <w:tab/>
        <w:t>answer questions intended to elicit relevant information about the person or any other person closely associated with the person.</w:t>
      </w:r>
    </w:p>
    <w:p>
      <w:pPr>
        <w:pStyle w:val="Subsection"/>
      </w:pPr>
      <w:r>
        <w:tab/>
        <w:t>(4)</w:t>
      </w:r>
      <w:r>
        <w:tab/>
        <w:t>A person is not excused from complying with a direction given to the person under subsection (3) on the ground that giving the information or answering the question might tend to incriminate the person or expose the person to a criminal penalty.</w:t>
      </w:r>
    </w:p>
    <w:p>
      <w:pPr>
        <w:pStyle w:val="Subsection"/>
      </w:pPr>
      <w:r>
        <w:tab/>
        <w:t>(5)</w:t>
      </w:r>
      <w:r>
        <w:tab/>
        <w:t>However, any information or answer given by a person in compliance with a direction given to the person under subsection (3) is not admissible in evidence in any criminal proceedings against the person other than proceedings for an offence under section 89.</w:t>
      </w:r>
    </w:p>
    <w:p>
      <w:pPr>
        <w:pStyle w:val="Subsection"/>
      </w:pPr>
      <w:r>
        <w:tab/>
        <w:t>(6)</w:t>
      </w:r>
      <w:r>
        <w:tab/>
        <w:t>Nothing in this section limits the powers that may be exercised under Divisions 1 and 2 in relation to a state of emergency referred to in subsection (1A).</w:t>
      </w:r>
    </w:p>
    <w:p>
      <w:pPr>
        <w:pStyle w:val="Footnotesection"/>
      </w:pPr>
      <w:r>
        <w:tab/>
        <w:t>[Section 72A inserted: No. 11 of 2020 s. 9; amended: No. 33 of 2022 s. 6.]</w:t>
      </w:r>
    </w:p>
    <w:p>
      <w:pPr>
        <w:pStyle w:val="Heading3"/>
      </w:pPr>
      <w:bookmarkStart w:id="177" w:name="_Toc117777702"/>
      <w:bookmarkStart w:id="178" w:name="_Toc117779387"/>
      <w:bookmarkStart w:id="179" w:name="_Toc117845309"/>
      <w:bookmarkStart w:id="180" w:name="_Toc118299695"/>
      <w:bookmarkStart w:id="181" w:name="_Toc118300059"/>
      <w:r>
        <w:rPr>
          <w:rStyle w:val="CharDivNo"/>
        </w:rPr>
        <w:lastRenderedPageBreak/>
        <w:t>Division 2</w:t>
      </w:r>
      <w:r>
        <w:t> — </w:t>
      </w:r>
      <w:r>
        <w:rPr>
          <w:rStyle w:val="CharDivText"/>
        </w:rPr>
        <w:t>Further powers during state of emergency</w:t>
      </w:r>
      <w:bookmarkEnd w:id="177"/>
      <w:bookmarkEnd w:id="178"/>
      <w:bookmarkEnd w:id="179"/>
      <w:bookmarkEnd w:id="180"/>
      <w:bookmarkEnd w:id="181"/>
    </w:p>
    <w:p>
      <w:pPr>
        <w:pStyle w:val="Heading5"/>
      </w:pPr>
      <w:bookmarkStart w:id="182" w:name="_Toc118300060"/>
      <w:r>
        <w:rPr>
          <w:rStyle w:val="CharSectno"/>
        </w:rPr>
        <w:t>73</w:t>
      </w:r>
      <w:r>
        <w:t>.</w:t>
      </w:r>
      <w:r>
        <w:tab/>
        <w:t>Application of this Division</w:t>
      </w:r>
      <w:bookmarkEnd w:id="182"/>
    </w:p>
    <w:p>
      <w:pPr>
        <w:pStyle w:val="Subsection"/>
      </w:pPr>
      <w:r>
        <w:tab/>
      </w:r>
      <w:r>
        <w:tab/>
        <w:t>Subject to any limitation in a declaration under section 58, this Division applies if a state of emergency declaration is in force.</w:t>
      </w:r>
    </w:p>
    <w:p>
      <w:pPr>
        <w:pStyle w:val="Heading5"/>
      </w:pPr>
      <w:bookmarkStart w:id="183" w:name="_Toc118300061"/>
      <w:r>
        <w:rPr>
          <w:rStyle w:val="CharSectno"/>
        </w:rPr>
        <w:t>74</w:t>
      </w:r>
      <w:r>
        <w:t>.</w:t>
      </w:r>
      <w:r>
        <w:tab/>
        <w:t>Power to direct public authorities during state of emergency</w:t>
      </w:r>
      <w:bookmarkEnd w:id="183"/>
    </w:p>
    <w:p>
      <w:pPr>
        <w:pStyle w:val="Subsection"/>
      </w:pPr>
      <w:r>
        <w:tab/>
        <w:t>(1)</w:t>
      </w:r>
      <w:r>
        <w:tab/>
        <w:t>During a state of emergency the State Emergency Coordinator is responsible for coordinating such activities of public authorities as the State Emergency Coordinator considers necessary or desirable for responding to the emergency.</w:t>
      </w:r>
    </w:p>
    <w:p>
      <w:pPr>
        <w:pStyle w:val="Subsection"/>
        <w:keepNext/>
      </w:pPr>
      <w:r>
        <w:tab/>
        <w:t>(2)</w:t>
      </w:r>
      <w:r>
        <w:tab/>
        <w:t xml:space="preserve">For that purpose the State Emergency Coordinator may — </w:t>
      </w:r>
    </w:p>
    <w:p>
      <w:pPr>
        <w:pStyle w:val="Indenta"/>
      </w:pPr>
      <w:r>
        <w:tab/>
        <w:t>(a)</w:t>
      </w:r>
      <w:r>
        <w:tab/>
        <w:t>direct any public authority to do or refrain from doing any act, or to perform or refrain from performing any function; and</w:t>
      </w:r>
    </w:p>
    <w:p>
      <w:pPr>
        <w:pStyle w:val="Indenta"/>
      </w:pPr>
      <w:r>
        <w:tab/>
        <w:t>(b)</w:t>
      </w:r>
      <w:r>
        <w:tab/>
        <w:t>appoint an officer of a public authority to have overall control of particular activities carried out by public authorities in response to the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is to comply with the direction within the time and in the manner, if any, specified in the direction; and</w:t>
      </w:r>
    </w:p>
    <w:p>
      <w:pPr>
        <w:pStyle w:val="Indenta"/>
      </w:pPr>
      <w:r>
        <w:tab/>
        <w:t>(b)</w:t>
      </w:r>
      <w:r>
        <w:tab/>
        <w:t>the direction prevails to the extent of any inconsistency with any written law or other law.</w:t>
      </w:r>
    </w:p>
    <w:p>
      <w:pPr>
        <w:pStyle w:val="Heading5"/>
      </w:pPr>
      <w:bookmarkStart w:id="184" w:name="_Toc118300062"/>
      <w:r>
        <w:rPr>
          <w:rStyle w:val="CharSectno"/>
        </w:rPr>
        <w:t>75</w:t>
      </w:r>
      <w:r>
        <w:t>.</w:t>
      </w:r>
      <w:r>
        <w:tab/>
        <w:t>General powers during a state of emergency</w:t>
      </w:r>
      <w:bookmarkEnd w:id="184"/>
    </w:p>
    <w:p>
      <w:pPr>
        <w:pStyle w:val="Subsection"/>
      </w:pPr>
      <w:r>
        <w:tab/>
        <w:t>(1)</w:t>
      </w:r>
      <w:r>
        <w:tab/>
        <w:t xml:space="preserve">During a state of emergency, for the purpose of emergency management, an authorised officer may — </w:t>
      </w:r>
    </w:p>
    <w:p>
      <w:pPr>
        <w:pStyle w:val="Indenta"/>
      </w:pPr>
      <w:r>
        <w:tab/>
        <w:t>(a)</w:t>
      </w:r>
      <w:r>
        <w:tab/>
        <w:t>enter or, if necessary, break into and enter, a place or vehicle in the emergency area; and</w:t>
      </w:r>
    </w:p>
    <w:p>
      <w:pPr>
        <w:pStyle w:val="Indenta"/>
      </w:pPr>
      <w:r>
        <w:lastRenderedPageBreak/>
        <w:tab/>
        <w:t>(b)</w:t>
      </w:r>
      <w:r>
        <w:tab/>
        <w:t>search any place or vehicle and anything found in or on the place or vehicle; and</w:t>
      </w:r>
    </w:p>
    <w:p>
      <w:pPr>
        <w:pStyle w:val="Indenta"/>
      </w:pPr>
      <w:r>
        <w:tab/>
        <w:t>(c)</w:t>
      </w:r>
      <w:r>
        <w:tab/>
        <w:t>take into a place in the emergency area the equipment, persons or materials the authorised officer reasonably requires for exercising a power under this Division; and</w:t>
      </w:r>
    </w:p>
    <w:p>
      <w:pPr>
        <w:pStyle w:val="Indenta"/>
      </w:pPr>
      <w:r>
        <w:tab/>
        <w:t>(d)</w:t>
      </w:r>
      <w:r>
        <w:tab/>
        <w:t>contain an animal or substance in the emergency area; and</w:t>
      </w:r>
    </w:p>
    <w:p>
      <w:pPr>
        <w:pStyle w:val="Indenta"/>
      </w:pPr>
      <w:r>
        <w:tab/>
        <w:t>(e)</w:t>
      </w:r>
      <w:r>
        <w:tab/>
        <w:t>remove or destroy an animal, vegetation or substance in the emergency area; and</w:t>
      </w:r>
    </w:p>
    <w:p>
      <w:pPr>
        <w:pStyle w:val="Indenta"/>
      </w:pPr>
      <w:r>
        <w:tab/>
        <w:t>(f)</w:t>
      </w:r>
      <w:r>
        <w:tab/>
        <w:t>remove, dismantle, demolish or destroy a vehicle, or any premises, in the emergency area; and</w:t>
      </w:r>
    </w:p>
    <w:p>
      <w:pPr>
        <w:pStyle w:val="Indenta"/>
      </w:pPr>
      <w:r>
        <w:tab/>
        <w:t>(g)</w:t>
      </w:r>
      <w:r>
        <w:tab/>
        <w:t>disconnect or shut off any electricity, gas, water or fuel supply, or any drainage facility, or any other service, in the emergency area; and</w:t>
      </w:r>
    </w:p>
    <w:p>
      <w:pPr>
        <w:pStyle w:val="Indenta"/>
      </w:pPr>
      <w:r>
        <w:tab/>
        <w:t>(h)</w:t>
      </w:r>
      <w:r>
        <w:tab/>
        <w:t>take and use fuel, gas, electricity or water in the emergency area; and</w:t>
      </w:r>
    </w:p>
    <w:p>
      <w:pPr>
        <w:pStyle w:val="Indenta"/>
      </w:pPr>
      <w:r>
        <w:tab/>
        <w:t>(i)</w:t>
      </w:r>
      <w:r>
        <w:tab/>
        <w:t>direct the owner or occupier or the person apparently in charge of any place of business, worship or entertainment in the emergency area to close that place to the public for the period specified in the direction; and</w:t>
      </w:r>
    </w:p>
    <w:p>
      <w:pPr>
        <w:pStyle w:val="Indenta"/>
      </w:pPr>
      <w:r>
        <w:tab/>
        <w:t>(j)</w:t>
      </w:r>
      <w:r>
        <w:tab/>
        <w:t>turn off, disconnect or shut down any motor or equipment in the emergency area; and</w:t>
      </w:r>
    </w:p>
    <w:p>
      <w:pPr>
        <w:pStyle w:val="Indenta"/>
      </w:pPr>
      <w:r>
        <w:tab/>
        <w:t>(k)</w:t>
      </w:r>
      <w:r>
        <w:tab/>
        <w:t>open a container or other thing, or dismantle equipment, in the emergency area; and</w:t>
      </w:r>
    </w:p>
    <w:p>
      <w:pPr>
        <w:pStyle w:val="Indenta"/>
      </w:pPr>
      <w:r>
        <w:tab/>
        <w:t>(l)</w:t>
      </w:r>
      <w:r>
        <w:tab/>
        <w:t>excavate land or form tunnels in the emergency area; and</w:t>
      </w:r>
    </w:p>
    <w:p>
      <w:pPr>
        <w:pStyle w:val="Indenta"/>
      </w:pPr>
      <w:r>
        <w:tab/>
        <w:t>(m)</w:t>
      </w:r>
      <w:r>
        <w:tab/>
        <w:t>build earthworks or temporary structures, or erect barriers, in the emergency area; and</w:t>
      </w:r>
    </w:p>
    <w:p>
      <w:pPr>
        <w:pStyle w:val="Indenta"/>
      </w:pPr>
      <w:r>
        <w:tab/>
        <w:t>(n)</w:t>
      </w:r>
      <w:r>
        <w:tab/>
        <w:t>remove to such place as the authorised officer thinks proper any person who obstructs or threatens to obstruct emergency management activities; and</w:t>
      </w:r>
    </w:p>
    <w:p>
      <w:pPr>
        <w:pStyle w:val="Indenta"/>
      </w:pPr>
      <w:r>
        <w:lastRenderedPageBreak/>
        <w:tab/>
        <w:t>(o)</w:t>
      </w:r>
      <w:r>
        <w:tab/>
        <w:t>require a person to give the authorised officer reasonable help to exercise the authorised officer’s powers under this Division.</w:t>
      </w:r>
    </w:p>
    <w:p>
      <w:pPr>
        <w:pStyle w:val="Subsection"/>
      </w:pPr>
      <w:r>
        <w:tab/>
        <w:t>(1A)</w:t>
      </w:r>
      <w:r>
        <w:tab/>
        <w:t>A direction under subsection (1)(i) may be given in relation to a class of place.</w:t>
      </w:r>
    </w:p>
    <w:p>
      <w:pPr>
        <w:pStyle w:val="Subsection"/>
      </w:pPr>
      <w:r>
        <w:tab/>
        <w:t>(2)</w:t>
      </w:r>
      <w:r>
        <w:tab/>
        <w:t>An authorised officer may enter a place or vehicle in the emergency area without a warrant or the consent of the occupier of the place or the owner of the vehicle.</w:t>
      </w:r>
    </w:p>
    <w:p>
      <w:pPr>
        <w:pStyle w:val="Footnotesection"/>
      </w:pPr>
      <w:r>
        <w:tab/>
        <w:t>[Section 75 amended: No. 11 of 2020 s. 11.]</w:t>
      </w:r>
    </w:p>
    <w:p>
      <w:pPr>
        <w:pStyle w:val="Heading5"/>
      </w:pPr>
      <w:bookmarkStart w:id="185" w:name="_Toc118300063"/>
      <w:r>
        <w:rPr>
          <w:rStyle w:val="CharSectno"/>
        </w:rPr>
        <w:t>76A</w:t>
      </w:r>
      <w:r>
        <w:t>.</w:t>
      </w:r>
      <w:r>
        <w:tab/>
        <w:t xml:space="preserve">Manufacture, supply and prescription of </w:t>
      </w:r>
      <w:r>
        <w:rPr>
          <w:iCs/>
        </w:rPr>
        <w:t>poisons</w:t>
      </w:r>
      <w:bookmarkEnd w:id="185"/>
    </w:p>
    <w:p>
      <w:pPr>
        <w:pStyle w:val="Subsection"/>
        <w:keepNext/>
      </w:pPr>
      <w:r>
        <w:tab/>
        <w:t>(1)</w:t>
      </w:r>
      <w:r>
        <w:tab/>
        <w:t xml:space="preserve">In this section each of the following terms has the meaning given in the </w:t>
      </w:r>
      <w:r>
        <w:rPr>
          <w:i/>
          <w:snapToGrid w:val="0"/>
        </w:rPr>
        <w:t>Medicines and Poisons Act 2014</w:t>
      </w:r>
      <w:r>
        <w:rPr>
          <w:snapToGrid w:val="0"/>
        </w:rPr>
        <w:t xml:space="preserve"> section 3</w:t>
      </w:r>
      <w:r>
        <w:t> —</w:t>
      </w:r>
    </w:p>
    <w:p>
      <w:pPr>
        <w:pStyle w:val="DeleteListSub"/>
      </w:pPr>
      <w:r>
        <w:rPr>
          <w:b/>
          <w:i/>
        </w:rPr>
        <w:t>CEO</w:t>
      </w:r>
    </w:p>
    <w:p>
      <w:pPr>
        <w:pStyle w:val="DeleteListSub"/>
        <w:rPr>
          <w:b/>
          <w:i/>
        </w:rPr>
      </w:pPr>
      <w:r>
        <w:rPr>
          <w:b/>
          <w:i/>
        </w:rPr>
        <w:t>manufacture</w:t>
      </w:r>
    </w:p>
    <w:p>
      <w:pPr>
        <w:pStyle w:val="DeleteListSub"/>
        <w:rPr>
          <w:b/>
          <w:i/>
        </w:rPr>
      </w:pPr>
      <w:r>
        <w:rPr>
          <w:b/>
          <w:i/>
        </w:rPr>
        <w:t>poison</w:t>
      </w:r>
    </w:p>
    <w:p>
      <w:pPr>
        <w:pStyle w:val="DeleteListSub"/>
        <w:rPr>
          <w:b/>
          <w:i/>
        </w:rPr>
      </w:pPr>
      <w:r>
        <w:rPr>
          <w:b/>
          <w:i/>
        </w:rPr>
        <w:t>prescribe</w:t>
      </w:r>
    </w:p>
    <w:p>
      <w:pPr>
        <w:pStyle w:val="DeleteListSub"/>
        <w:rPr>
          <w:b/>
          <w:i/>
        </w:rPr>
      </w:pPr>
      <w:r>
        <w:rPr>
          <w:b/>
          <w:i/>
        </w:rPr>
        <w:t>supply</w:t>
      </w:r>
    </w:p>
    <w:p>
      <w:pPr>
        <w:pStyle w:val="Subsection"/>
        <w:keepNext/>
      </w:pPr>
      <w:r>
        <w:tab/>
        <w:t>(2)</w:t>
      </w:r>
      <w:r>
        <w:tab/>
        <w:t>For the purposes of emergency management —</w:t>
      </w:r>
    </w:p>
    <w:p>
      <w:pPr>
        <w:pStyle w:val="Indenta"/>
      </w:pPr>
      <w:r>
        <w:tab/>
        <w:t>(a)</w:t>
      </w:r>
      <w:r>
        <w:tab/>
        <w:t xml:space="preserve">the CEO may authorise a person to administer, manufacture, supply or prescribe a </w:t>
      </w:r>
      <w:r>
        <w:rPr>
          <w:bCs/>
          <w:iCs/>
        </w:rPr>
        <w:t>poison; and</w:t>
      </w:r>
    </w:p>
    <w:p>
      <w:pPr>
        <w:pStyle w:val="Indenta"/>
      </w:pPr>
      <w:r>
        <w:tab/>
        <w:t>(b)</w:t>
      </w:r>
      <w:r>
        <w:tab/>
        <w:t>during a state of emergency a person authorised under paragraph (a) may administer, manufacture, supply or prescribe a poison.</w:t>
      </w:r>
    </w:p>
    <w:p>
      <w:pPr>
        <w:pStyle w:val="Subsection"/>
      </w:pPr>
      <w:r>
        <w:tab/>
        <w:t>(3)</w:t>
      </w:r>
      <w:r>
        <w:tab/>
        <w:t>An authorisation under subsection (2)(a) is to specify —</w:t>
      </w:r>
    </w:p>
    <w:p>
      <w:pPr>
        <w:pStyle w:val="Indenta"/>
      </w:pPr>
      <w:r>
        <w:tab/>
        <w:t>(a)</w:t>
      </w:r>
      <w:r>
        <w:tab/>
        <w:t>whether it applies to any state of emergency or is limited to a particular state of emergency; and</w:t>
      </w:r>
    </w:p>
    <w:p>
      <w:pPr>
        <w:pStyle w:val="Indenta"/>
      </w:pPr>
      <w:r>
        <w:tab/>
        <w:t>(b)</w:t>
      </w:r>
      <w:r>
        <w:tab/>
        <w:t>the person, or class of persons, to whom it applies; and</w:t>
      </w:r>
    </w:p>
    <w:p>
      <w:pPr>
        <w:pStyle w:val="Indenta"/>
      </w:pPr>
      <w:r>
        <w:tab/>
        <w:t>(c)</w:t>
      </w:r>
      <w:r>
        <w:tab/>
        <w:t>the poison, or a class of poisons, to which it applies; and</w:t>
      </w:r>
    </w:p>
    <w:p>
      <w:pPr>
        <w:pStyle w:val="Indenta"/>
      </w:pPr>
      <w:r>
        <w:tab/>
        <w:t>(d)</w:t>
      </w:r>
      <w:r>
        <w:tab/>
        <w:t>the terms and conditions to which it is subject.</w:t>
      </w:r>
    </w:p>
    <w:p>
      <w:pPr>
        <w:pStyle w:val="Subsection"/>
      </w:pPr>
      <w:r>
        <w:lastRenderedPageBreak/>
        <w:tab/>
        <w:t>(4)</w:t>
      </w:r>
      <w:r>
        <w:tab/>
        <w:t>An authorisation under subsection (2)(a) may be given orally or in writing but if given orally is to be put in writing as soon as is practicable.</w:t>
      </w:r>
    </w:p>
    <w:p>
      <w:pPr>
        <w:pStyle w:val="Subsection"/>
        <w:rPr>
          <w:bCs/>
          <w:iCs/>
        </w:rPr>
      </w:pPr>
      <w:r>
        <w:tab/>
        <w:t>(5)</w:t>
      </w:r>
      <w:r>
        <w:tab/>
        <w:t>A failure to put an authorisation in writing does not invalidate the authorisation or anything done under the authorisation.</w:t>
      </w:r>
    </w:p>
    <w:p>
      <w:pPr>
        <w:pStyle w:val="Subsection"/>
      </w:pPr>
      <w:r>
        <w:tab/>
        <w:t>(6)</w:t>
      </w:r>
      <w:r>
        <w:tab/>
        <w:t>When exercising a power under subsection (2)(b) a person is to comply with —</w:t>
      </w:r>
    </w:p>
    <w:p>
      <w:pPr>
        <w:pStyle w:val="Indenta"/>
      </w:pPr>
      <w:r>
        <w:tab/>
        <w:t>(a)</w:t>
      </w:r>
      <w:r>
        <w:tab/>
        <w:t>the terms and conditions of the authorisation; and</w:t>
      </w:r>
    </w:p>
    <w:p>
      <w:pPr>
        <w:pStyle w:val="Indenta"/>
      </w:pPr>
      <w:r>
        <w:tab/>
        <w:t>(b)</w:t>
      </w:r>
      <w:r>
        <w:tab/>
        <w:t>any directions of the CEO or State Emergency Coordinator.</w:t>
      </w:r>
    </w:p>
    <w:p>
      <w:pPr>
        <w:pStyle w:val="Subsection"/>
      </w:pPr>
      <w:r>
        <w:tab/>
        <w:t>(7)</w:t>
      </w:r>
      <w:r>
        <w:tab/>
        <w:t xml:space="preserve">This section applies despite any provision of the </w:t>
      </w:r>
      <w:r>
        <w:rPr>
          <w:i/>
          <w:snapToGrid w:val="0"/>
        </w:rPr>
        <w:t xml:space="preserve">Medicines and Poisons Act 2014 </w:t>
      </w:r>
      <w:r>
        <w:t xml:space="preserve">or the </w:t>
      </w:r>
      <w:r>
        <w:rPr>
          <w:i/>
        </w:rPr>
        <w:t>Misuse of Drugs Act 1981</w:t>
      </w:r>
      <w:r>
        <w:t>.</w:t>
      </w:r>
    </w:p>
    <w:p>
      <w:pPr>
        <w:pStyle w:val="Footnotesection"/>
      </w:pPr>
      <w:r>
        <w:tab/>
        <w:t>[Section 76A inserted: No. 13 of 2014 s. 184.]</w:t>
      </w:r>
    </w:p>
    <w:p>
      <w:pPr>
        <w:pStyle w:val="Heading3"/>
      </w:pPr>
      <w:bookmarkStart w:id="186" w:name="_Toc117777707"/>
      <w:bookmarkStart w:id="187" w:name="_Toc117779392"/>
      <w:bookmarkStart w:id="188" w:name="_Toc117845314"/>
      <w:bookmarkStart w:id="189" w:name="_Toc118299700"/>
      <w:bookmarkStart w:id="190" w:name="_Toc118300064"/>
      <w:r>
        <w:rPr>
          <w:rStyle w:val="CharDivNo"/>
        </w:rPr>
        <w:t>Division 3</w:t>
      </w:r>
      <w:r>
        <w:t> — </w:t>
      </w:r>
      <w:r>
        <w:rPr>
          <w:rStyle w:val="CharDivText"/>
        </w:rPr>
        <w:t>General provisions</w:t>
      </w:r>
      <w:bookmarkEnd w:id="186"/>
      <w:bookmarkEnd w:id="187"/>
      <w:bookmarkEnd w:id="188"/>
      <w:bookmarkEnd w:id="189"/>
      <w:bookmarkEnd w:id="190"/>
    </w:p>
    <w:p>
      <w:pPr>
        <w:pStyle w:val="Heading5"/>
      </w:pPr>
      <w:bookmarkStart w:id="191" w:name="_Toc118300065"/>
      <w:r>
        <w:rPr>
          <w:rStyle w:val="CharSectno"/>
        </w:rPr>
        <w:t>76</w:t>
      </w:r>
      <w:r>
        <w:t>.</w:t>
      </w:r>
      <w:r>
        <w:tab/>
        <w:t>General provisions regarding powers</w:t>
      </w:r>
      <w:bookmarkEnd w:id="191"/>
    </w:p>
    <w:p>
      <w:pPr>
        <w:pStyle w:val="Subsection"/>
        <w:keepNext/>
      </w:pPr>
      <w:r>
        <w:tab/>
        <w:t>(1)</w:t>
      </w:r>
      <w:r>
        <w:tab/>
        <w:t xml:space="preserve">In this section — </w:t>
      </w:r>
    </w:p>
    <w:p>
      <w:pPr>
        <w:pStyle w:val="Defstart"/>
      </w:pPr>
      <w:r>
        <w:rPr>
          <w:b/>
        </w:rPr>
        <w:tab/>
      </w:r>
      <w:r>
        <w:rPr>
          <w:rStyle w:val="CharDefText"/>
        </w:rPr>
        <w:t>officer</w:t>
      </w:r>
      <w:r>
        <w:t xml:space="preserve"> means a hazard management officer, authorised officer or police officer.</w:t>
      </w:r>
    </w:p>
    <w:p>
      <w:pPr>
        <w:pStyle w:val="Subsection"/>
      </w:pPr>
      <w:r>
        <w:tab/>
        <w:t>(2)</w:t>
      </w:r>
      <w:r>
        <w:tab/>
        <w:t>If a person does not comply with a direction under this Part, an officer may do all such things as are reasonably necessary to ensure compliance with the direction, using such force as is reasonable in the circumstances.</w:t>
      </w:r>
    </w:p>
    <w:p>
      <w:pPr>
        <w:pStyle w:val="Subsection"/>
      </w:pPr>
      <w:r>
        <w:tab/>
        <w:t>(3)</w:t>
      </w:r>
      <w:r>
        <w:tab/>
        <w:t>An officer may exercise a power under this Part with the help, and using the force, that is reasonable in the circumstances.</w:t>
      </w:r>
    </w:p>
    <w:p>
      <w:pPr>
        <w:pStyle w:val="Subsection"/>
      </w:pPr>
      <w:r>
        <w:tab/>
        <w:t>(4)</w:t>
      </w:r>
      <w:r>
        <w:tab/>
        <w:t>The powers of an officer under this Part are in addition to, and not in derogation from, the powers the person may have under another written law or other law.</w:t>
      </w:r>
    </w:p>
    <w:p>
      <w:pPr>
        <w:pStyle w:val="Heading5"/>
      </w:pPr>
      <w:bookmarkStart w:id="192" w:name="_Toc118300066"/>
      <w:r>
        <w:rPr>
          <w:rStyle w:val="CharSectno"/>
        </w:rPr>
        <w:lastRenderedPageBreak/>
        <w:t>77</w:t>
      </w:r>
      <w:r>
        <w:t>.</w:t>
      </w:r>
      <w:r>
        <w:tab/>
        <w:t>General provisions regarding directions</w:t>
      </w:r>
      <w:bookmarkEnd w:id="192"/>
    </w:p>
    <w:p>
      <w:pPr>
        <w:pStyle w:val="Subsection"/>
        <w:keepNext/>
      </w:pPr>
      <w:r>
        <w:tab/>
        <w:t>(1)</w:t>
      </w:r>
      <w:r>
        <w:tab/>
        <w:t>A direction may be given under this Part orally or in writing.</w:t>
      </w:r>
    </w:p>
    <w:p>
      <w:pPr>
        <w:pStyle w:val="Subsection"/>
      </w:pPr>
      <w:r>
        <w:tab/>
        <w:t>(2)</w:t>
      </w:r>
      <w:r>
        <w:tab/>
        <w:t>A direction given orally is to be confirmed in writing within 2 working days after it is given, unless within that period it is complied with or cancelled.</w:t>
      </w:r>
    </w:p>
    <w:p>
      <w:pPr>
        <w:pStyle w:val="Subsection"/>
      </w:pPr>
      <w:r>
        <w:tab/>
        <w:t>(2A)</w:t>
      </w:r>
      <w:r>
        <w:tab/>
        <w:t xml:space="preserve">A direction under section 67, 70, 71, 72A(2) or 75(1)(i) that is given in relation to a class of person or thing — </w:t>
      </w:r>
    </w:p>
    <w:p>
      <w:pPr>
        <w:pStyle w:val="Indenta"/>
      </w:pPr>
      <w:r>
        <w:tab/>
        <w:t>(a)</w:t>
      </w:r>
      <w:r>
        <w:tab/>
        <w:t>need not be given directly to the persons to whom it applies; and</w:t>
      </w:r>
    </w:p>
    <w:p>
      <w:pPr>
        <w:pStyle w:val="Indenta"/>
      </w:pPr>
      <w:r>
        <w:tab/>
        <w:t>(b)</w:t>
      </w:r>
      <w:r>
        <w:tab/>
        <w:t xml:space="preserve">despite the </w:t>
      </w:r>
      <w:r>
        <w:rPr>
          <w:i/>
        </w:rPr>
        <w:t>Interpretation Act 1984</w:t>
      </w:r>
      <w:r>
        <w:t xml:space="preserve"> section 41 (to the extent to which it applies), need not be published in the </w:t>
      </w:r>
      <w:r>
        <w:rPr>
          <w:i/>
        </w:rPr>
        <w:t>Gazette</w:t>
      </w:r>
      <w:r>
        <w:t>; and</w:t>
      </w:r>
    </w:p>
    <w:p>
      <w:pPr>
        <w:pStyle w:val="Indenta"/>
      </w:pPr>
      <w:r>
        <w:tab/>
        <w:t>(c)</w:t>
      </w:r>
      <w:r>
        <w:tab/>
        <w:t>must be published in the manner that the Minister considers suitable in the circumstances of the emergency.</w:t>
      </w:r>
    </w:p>
    <w:p>
      <w:pPr>
        <w:pStyle w:val="Subsection"/>
      </w:pPr>
      <w:r>
        <w:tab/>
        <w:t>(3)</w:t>
      </w:r>
      <w:r>
        <w:tab/>
        <w:t>Failure to comply with subsection (2) or (2A)(c) does not invalidate the direction.</w:t>
      </w:r>
    </w:p>
    <w:p>
      <w:pPr>
        <w:pStyle w:val="Footnotesection"/>
      </w:pPr>
      <w:r>
        <w:tab/>
        <w:t>[Section 77 amended: No. 11 of 2020 s. 12.]</w:t>
      </w:r>
    </w:p>
    <w:p>
      <w:pPr>
        <w:pStyle w:val="Heading2"/>
      </w:pPr>
      <w:bookmarkStart w:id="193" w:name="_Toc117777775"/>
      <w:bookmarkStart w:id="194" w:name="_Toc117779395"/>
      <w:bookmarkStart w:id="195" w:name="_Toc117845317"/>
      <w:bookmarkStart w:id="196" w:name="_Toc118299703"/>
      <w:bookmarkStart w:id="197" w:name="_Toc118300067"/>
      <w:bookmarkStart w:id="198" w:name="_Toc117777710"/>
      <w:r>
        <w:rPr>
          <w:rStyle w:val="CharPartNo"/>
        </w:rPr>
        <w:lastRenderedPageBreak/>
        <w:t>Part 6A</w:t>
      </w:r>
      <w:r>
        <w:t> — </w:t>
      </w:r>
      <w:r>
        <w:rPr>
          <w:rStyle w:val="CharPartText"/>
        </w:rPr>
        <w:t>Temporary provisions for management of COVID</w:t>
      </w:r>
      <w:r>
        <w:rPr>
          <w:rStyle w:val="CharPartText"/>
        </w:rPr>
        <w:noBreakHyphen/>
        <w:t>19</w:t>
      </w:r>
      <w:bookmarkEnd w:id="193"/>
      <w:bookmarkEnd w:id="194"/>
      <w:bookmarkEnd w:id="195"/>
      <w:bookmarkEnd w:id="196"/>
      <w:bookmarkEnd w:id="197"/>
    </w:p>
    <w:p>
      <w:pPr>
        <w:pStyle w:val="Footnoteheading"/>
      </w:pPr>
      <w:bookmarkStart w:id="199" w:name="_Toc117777776"/>
      <w:r>
        <w:tab/>
        <w:t>[Heading inserted: No. 33 of 2022 s. 7.]</w:t>
      </w:r>
    </w:p>
    <w:p>
      <w:pPr>
        <w:pStyle w:val="Heading3"/>
      </w:pPr>
      <w:bookmarkStart w:id="200" w:name="_Toc117779396"/>
      <w:bookmarkStart w:id="201" w:name="_Toc117845318"/>
      <w:bookmarkStart w:id="202" w:name="_Toc118299704"/>
      <w:bookmarkStart w:id="203" w:name="_Toc118300068"/>
      <w:r>
        <w:rPr>
          <w:rStyle w:val="CharDivNo"/>
        </w:rPr>
        <w:t>Division 1</w:t>
      </w:r>
      <w:r>
        <w:t> — </w:t>
      </w:r>
      <w:r>
        <w:rPr>
          <w:rStyle w:val="CharDivText"/>
        </w:rPr>
        <w:t>Preliminary</w:t>
      </w:r>
      <w:bookmarkEnd w:id="199"/>
      <w:bookmarkEnd w:id="200"/>
      <w:bookmarkEnd w:id="201"/>
      <w:bookmarkEnd w:id="202"/>
      <w:bookmarkEnd w:id="203"/>
    </w:p>
    <w:p>
      <w:pPr>
        <w:pStyle w:val="Footnoteheading"/>
      </w:pPr>
      <w:bookmarkStart w:id="204" w:name="_Toc117777777"/>
      <w:r>
        <w:tab/>
        <w:t>[Heading inserted: No. 33 of 2022 s. 7.]</w:t>
      </w:r>
    </w:p>
    <w:p>
      <w:pPr>
        <w:pStyle w:val="Heading5"/>
      </w:pPr>
      <w:bookmarkStart w:id="205" w:name="_Toc118300069"/>
      <w:r>
        <w:rPr>
          <w:rStyle w:val="CharSectno"/>
        </w:rPr>
        <w:t>77A</w:t>
      </w:r>
      <w:r>
        <w:t>.</w:t>
      </w:r>
      <w:r>
        <w:tab/>
        <w:t>Overview of Part</w:t>
      </w:r>
      <w:bookmarkEnd w:id="204"/>
      <w:bookmarkEnd w:id="205"/>
    </w:p>
    <w:p>
      <w:pPr>
        <w:pStyle w:val="Subsection"/>
      </w:pPr>
      <w:r>
        <w:tab/>
      </w:r>
      <w:r>
        <w:tab/>
        <w:t xml:space="preserve">This Part provides for a temporary scheme, to be in operation for a period of 2 years, under which — </w:t>
      </w:r>
    </w:p>
    <w:p>
      <w:pPr>
        <w:pStyle w:val="Indenta"/>
      </w:pPr>
      <w:r>
        <w:tab/>
        <w:t>(a)</w:t>
      </w:r>
      <w:r>
        <w:tab/>
        <w:t>the State Emergency Coordinator may make a COVID</w:t>
      </w:r>
      <w:r>
        <w:noBreakHyphen/>
        <w:t>19 declaration in relation to the whole or any area or areas of the State; and</w:t>
      </w:r>
    </w:p>
    <w:p>
      <w:pPr>
        <w:pStyle w:val="Indenta"/>
      </w:pPr>
      <w:r>
        <w:tab/>
        <w:t>(b)</w:t>
      </w:r>
      <w:r>
        <w:tab/>
        <w:t>if a COVID</w:t>
      </w:r>
      <w:r>
        <w:noBreakHyphen/>
        <w:t>19 declaration is in force, powers can be exercised by authorised COVID</w:t>
      </w:r>
      <w:r>
        <w:noBreakHyphen/>
        <w:t>19 officers for the purposes of COVID</w:t>
      </w:r>
      <w:r>
        <w:noBreakHyphen/>
        <w:t>19 management.</w:t>
      </w:r>
    </w:p>
    <w:p>
      <w:pPr>
        <w:pStyle w:val="PermNoteHeading"/>
      </w:pPr>
      <w:r>
        <w:tab/>
        <w:t>Note for this section:</w:t>
      </w:r>
    </w:p>
    <w:p>
      <w:pPr>
        <w:pStyle w:val="PermNoteText"/>
      </w:pPr>
      <w:r>
        <w:tab/>
      </w:r>
      <w:r>
        <w:tab/>
        <w:t xml:space="preserve">Under the </w:t>
      </w:r>
      <w:r>
        <w:rPr>
          <w:i/>
        </w:rPr>
        <w:t>Emergency Management Amendment (Temporary COVID</w:t>
      </w:r>
      <w:r>
        <w:rPr>
          <w:i/>
        </w:rPr>
        <w:noBreakHyphen/>
        <w:t xml:space="preserve">19 Provisions) Act 2022 </w:t>
      </w:r>
      <w:r>
        <w:t>sections 2(c) and 30, this Part will be deleted immediately after it has been in operation for 2 years.</w:t>
      </w:r>
    </w:p>
    <w:p>
      <w:pPr>
        <w:pStyle w:val="Footnotesection"/>
      </w:pPr>
      <w:bookmarkStart w:id="206" w:name="_Toc117777778"/>
      <w:r>
        <w:tab/>
        <w:t>[Section 77A inserted: No. 33 of 2022 s. 7.]</w:t>
      </w:r>
    </w:p>
    <w:p>
      <w:pPr>
        <w:pStyle w:val="Heading5"/>
      </w:pPr>
      <w:bookmarkStart w:id="207" w:name="_Toc118300070"/>
      <w:r>
        <w:rPr>
          <w:rStyle w:val="CharSectno"/>
        </w:rPr>
        <w:t>77B</w:t>
      </w:r>
      <w:r>
        <w:t>.</w:t>
      </w:r>
      <w:r>
        <w:tab/>
        <w:t>Terms used</w:t>
      </w:r>
      <w:bookmarkEnd w:id="206"/>
      <w:bookmarkEnd w:id="207"/>
    </w:p>
    <w:p>
      <w:pPr>
        <w:pStyle w:val="Subsection"/>
      </w:pPr>
      <w:r>
        <w:tab/>
      </w:r>
      <w:r>
        <w:tab/>
        <w:t xml:space="preserve">In this Part — </w:t>
      </w:r>
    </w:p>
    <w:p>
      <w:pPr>
        <w:pStyle w:val="Defstart"/>
      </w:pPr>
      <w:r>
        <w:tab/>
      </w:r>
      <w:r>
        <w:rPr>
          <w:rStyle w:val="CharDefText"/>
        </w:rPr>
        <w:t>authorised COVID</w:t>
      </w:r>
      <w:r>
        <w:rPr>
          <w:rStyle w:val="CharDefText"/>
        </w:rPr>
        <w:noBreakHyphen/>
        <w:t>19 officer</w:t>
      </w:r>
      <w:r>
        <w:t xml:space="preserve"> means — </w:t>
      </w:r>
    </w:p>
    <w:p>
      <w:pPr>
        <w:pStyle w:val="Defpara"/>
      </w:pPr>
      <w:r>
        <w:tab/>
        <w:t>(a)</w:t>
      </w:r>
      <w:r>
        <w:tab/>
        <w:t>the State Emergency Coordinator; and</w:t>
      </w:r>
    </w:p>
    <w:p>
      <w:pPr>
        <w:pStyle w:val="Defpara"/>
      </w:pPr>
      <w:r>
        <w:tab/>
        <w:t>(b)</w:t>
      </w:r>
      <w:r>
        <w:tab/>
        <w:t>a person authorised under section 77I;</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tab/>
      </w:r>
      <w:r>
        <w:rPr>
          <w:rStyle w:val="CharDefText"/>
        </w:rPr>
        <w:t>COVID</w:t>
      </w:r>
      <w:r>
        <w:rPr>
          <w:rStyle w:val="CharDefText"/>
        </w:rPr>
        <w:noBreakHyphen/>
        <w:t>19 declaration</w:t>
      </w:r>
      <w:r>
        <w:t xml:space="preserve"> has the meaning given in section 77C(1);</w:t>
      </w:r>
    </w:p>
    <w:p>
      <w:pPr>
        <w:pStyle w:val="Defstart"/>
        <w:keepNext/>
      </w:pPr>
      <w:r>
        <w:lastRenderedPageBreak/>
        <w:tab/>
      </w:r>
      <w:r>
        <w:rPr>
          <w:rStyle w:val="CharDefText"/>
        </w:rPr>
        <w:t>COVID</w:t>
      </w:r>
      <w:r>
        <w:rPr>
          <w:rStyle w:val="CharDefText"/>
        </w:rPr>
        <w:noBreakHyphen/>
        <w:t>19 management</w:t>
      </w:r>
      <w:r>
        <w:t xml:space="preserve"> — </w:t>
      </w:r>
    </w:p>
    <w:p>
      <w:pPr>
        <w:pStyle w:val="Defpara"/>
      </w:pPr>
      <w:r>
        <w:tab/>
        <w:t>(a)</w:t>
      </w:r>
      <w:r>
        <w:tab/>
        <w:t>means the management of the adverse effects of COVID</w:t>
      </w:r>
      <w:r>
        <w:noBreakHyphen/>
        <w:t>19; and</w:t>
      </w:r>
    </w:p>
    <w:p>
      <w:pPr>
        <w:pStyle w:val="Defpara"/>
      </w:pPr>
      <w:r>
        <w:tab/>
        <w:t>(b)</w:t>
      </w:r>
      <w:r>
        <w:tab/>
        <w:t>includes the prevention, control and abatement of risks associated with COVID</w:t>
      </w:r>
      <w:r>
        <w:noBreakHyphen/>
        <w:t>19 (including, without limitation, risks to economic and psychosocial wellbeing);</w:t>
      </w:r>
    </w:p>
    <w:p>
      <w:pPr>
        <w:pStyle w:val="Defstart"/>
      </w:pPr>
      <w:r>
        <w:tab/>
      </w:r>
      <w:r>
        <w:rPr>
          <w:rStyle w:val="CharDefText"/>
        </w:rPr>
        <w:t>declaration area</w:t>
      </w:r>
      <w:r>
        <w:t>, in relation to a COVID</w:t>
      </w:r>
      <w:r>
        <w:noBreakHyphen/>
        <w:t>19 declaration, means the area to which the declaration applies.</w:t>
      </w:r>
    </w:p>
    <w:p>
      <w:pPr>
        <w:pStyle w:val="Footnotesection"/>
      </w:pPr>
      <w:bookmarkStart w:id="208" w:name="_Toc117777779"/>
      <w:r>
        <w:tab/>
        <w:t>[Section 77B inserted: No. 33 of 2022 s. 7.]</w:t>
      </w:r>
    </w:p>
    <w:p>
      <w:pPr>
        <w:pStyle w:val="Heading3"/>
      </w:pPr>
      <w:bookmarkStart w:id="209" w:name="_Toc117779399"/>
      <w:bookmarkStart w:id="210" w:name="_Toc117845321"/>
      <w:bookmarkStart w:id="211" w:name="_Toc118299707"/>
      <w:bookmarkStart w:id="212" w:name="_Toc118300071"/>
      <w:r>
        <w:rPr>
          <w:rStyle w:val="CharDivNo"/>
        </w:rPr>
        <w:t>Division 2</w:t>
      </w:r>
      <w:r>
        <w:t> — </w:t>
      </w:r>
      <w:r>
        <w:rPr>
          <w:rStyle w:val="CharDivText"/>
        </w:rPr>
        <w:t>Power to make COVID</w:t>
      </w:r>
      <w:r>
        <w:rPr>
          <w:rStyle w:val="CharDivText"/>
        </w:rPr>
        <w:noBreakHyphen/>
        <w:t>19 declaration</w:t>
      </w:r>
      <w:bookmarkEnd w:id="208"/>
      <w:bookmarkEnd w:id="209"/>
      <w:bookmarkEnd w:id="210"/>
      <w:bookmarkEnd w:id="211"/>
      <w:bookmarkEnd w:id="212"/>
    </w:p>
    <w:p>
      <w:pPr>
        <w:pStyle w:val="Footnoteheading"/>
      </w:pPr>
      <w:bookmarkStart w:id="213" w:name="_Toc117777780"/>
      <w:r>
        <w:tab/>
        <w:t>[Heading inserted: No. 33 of 2022 s. 7.]</w:t>
      </w:r>
    </w:p>
    <w:p>
      <w:pPr>
        <w:pStyle w:val="Heading5"/>
      </w:pPr>
      <w:bookmarkStart w:id="214" w:name="_Toc118300072"/>
      <w:r>
        <w:rPr>
          <w:rStyle w:val="CharSectno"/>
        </w:rPr>
        <w:t>77C</w:t>
      </w:r>
      <w:r>
        <w:t>.</w:t>
      </w:r>
      <w:r>
        <w:tab/>
        <w:t>State Emergency Coordinator may make COVID</w:t>
      </w:r>
      <w:r>
        <w:noBreakHyphen/>
        <w:t>19 declaration</w:t>
      </w:r>
      <w:bookmarkEnd w:id="213"/>
      <w:bookmarkEnd w:id="214"/>
    </w:p>
    <w:p>
      <w:pPr>
        <w:pStyle w:val="Subsection"/>
      </w:pPr>
      <w:r>
        <w:tab/>
        <w:t>(1)</w:t>
      </w:r>
      <w:r>
        <w:tab/>
        <w:t xml:space="preserve">The State Emergency Coordinator may, in writing, make a declaration (a </w:t>
      </w:r>
      <w:r>
        <w:rPr>
          <w:rStyle w:val="CharDefText"/>
        </w:rPr>
        <w:t>COVID</w:t>
      </w:r>
      <w:r>
        <w:rPr>
          <w:rStyle w:val="CharDefText"/>
        </w:rPr>
        <w:noBreakHyphen/>
        <w:t>19 declaration</w:t>
      </w:r>
      <w:r>
        <w:t>) in relation to the whole or any area or areas of the State.</w:t>
      </w:r>
    </w:p>
    <w:p>
      <w:pPr>
        <w:pStyle w:val="Subsection"/>
      </w:pPr>
      <w:r>
        <w:tab/>
        <w:t>(2)</w:t>
      </w:r>
      <w:r>
        <w:tab/>
        <w:t>The State Emergency Coordinator must not make a COVID</w:t>
      </w:r>
      <w:r>
        <w:noBreakHyphen/>
        <w:t xml:space="preserve">19 declaration unless the State Emergency Coordinator is satisfied that — </w:t>
      </w:r>
    </w:p>
    <w:p>
      <w:pPr>
        <w:pStyle w:val="Indenta"/>
      </w:pPr>
      <w:r>
        <w:tab/>
        <w:t>(a)</w:t>
      </w:r>
      <w:r>
        <w:tab/>
        <w:t>the occurrence of COVID</w:t>
      </w:r>
      <w:r>
        <w:noBreakHyphen/>
        <w:t>19 is, or imminently will be, of such a nature or magnitude that it requires a coordinated response; and</w:t>
      </w:r>
    </w:p>
    <w:p>
      <w:pPr>
        <w:pStyle w:val="Indenta"/>
      </w:pPr>
      <w:r>
        <w:tab/>
        <w:t>(b)</w:t>
      </w:r>
      <w:r>
        <w:tab/>
        <w:t>there is a need to exercise powers under Division 4 to prevent or minimise loss of life, prejudice to the safety, or harm to the health, of persons.</w:t>
      </w:r>
    </w:p>
    <w:p>
      <w:pPr>
        <w:pStyle w:val="Subsection"/>
      </w:pPr>
      <w:r>
        <w:tab/>
        <w:t>(3)</w:t>
      </w:r>
      <w:r>
        <w:tab/>
        <w:t>A COVID</w:t>
      </w:r>
      <w:r>
        <w:noBreakHyphen/>
        <w:t xml:space="preserve">19 declaration must include — </w:t>
      </w:r>
    </w:p>
    <w:p>
      <w:pPr>
        <w:pStyle w:val="Indenta"/>
      </w:pPr>
      <w:r>
        <w:tab/>
        <w:t>(a)</w:t>
      </w:r>
      <w:r>
        <w:tab/>
        <w:t>the time when, and date on which, the declaration is made; and</w:t>
      </w:r>
    </w:p>
    <w:p>
      <w:pPr>
        <w:pStyle w:val="Indenta"/>
      </w:pPr>
      <w:r>
        <w:tab/>
        <w:t>(b)</w:t>
      </w:r>
      <w:r>
        <w:tab/>
        <w:t>the area to which it applies.</w:t>
      </w:r>
    </w:p>
    <w:p>
      <w:pPr>
        <w:pStyle w:val="Subsection"/>
      </w:pPr>
      <w:r>
        <w:lastRenderedPageBreak/>
        <w:tab/>
        <w:t>(4)</w:t>
      </w:r>
      <w:r>
        <w:tab/>
        <w:t>The making of a COVID</w:t>
      </w:r>
      <w:r>
        <w:noBreakHyphen/>
        <w:t xml:space="preserve">19 declaration does not prevent the making, extension or continuation of — </w:t>
      </w:r>
    </w:p>
    <w:p>
      <w:pPr>
        <w:pStyle w:val="Indenta"/>
      </w:pPr>
      <w:r>
        <w:tab/>
        <w:t>(a)</w:t>
      </w:r>
      <w:r>
        <w:tab/>
        <w:t>any other COVID</w:t>
      </w:r>
      <w:r>
        <w:noBreakHyphen/>
        <w:t>19 declaration; or</w:t>
      </w:r>
    </w:p>
    <w:p>
      <w:pPr>
        <w:pStyle w:val="Indenta"/>
      </w:pPr>
      <w:r>
        <w:tab/>
        <w:t>(b)</w:t>
      </w:r>
      <w:r>
        <w:tab/>
        <w:t>any state of emergency declaration, or emergency situation declaration, in relation to COVID</w:t>
      </w:r>
      <w:r>
        <w:noBreakHyphen/>
        <w:t>19.</w:t>
      </w:r>
    </w:p>
    <w:p>
      <w:pPr>
        <w:pStyle w:val="Footnotesection"/>
      </w:pPr>
      <w:bookmarkStart w:id="215" w:name="_Toc117777781"/>
      <w:r>
        <w:tab/>
        <w:t>[Section 77C inserted: No. 33 of 2022 s. 7.]</w:t>
      </w:r>
    </w:p>
    <w:p>
      <w:pPr>
        <w:pStyle w:val="Heading5"/>
      </w:pPr>
      <w:bookmarkStart w:id="216" w:name="_Toc118300073"/>
      <w:r>
        <w:rPr>
          <w:rStyle w:val="CharSectno"/>
        </w:rPr>
        <w:t>77D</w:t>
      </w:r>
      <w:r>
        <w:t>.</w:t>
      </w:r>
      <w:r>
        <w:tab/>
        <w:t>Duration of COVID</w:t>
      </w:r>
      <w:r>
        <w:noBreakHyphen/>
        <w:t>19 declaration</w:t>
      </w:r>
      <w:bookmarkEnd w:id="215"/>
      <w:bookmarkEnd w:id="216"/>
    </w:p>
    <w:p>
      <w:pPr>
        <w:pStyle w:val="Subsection"/>
      </w:pPr>
      <w:r>
        <w:tab/>
      </w:r>
      <w:r>
        <w:tab/>
        <w:t>A COVID</w:t>
      </w:r>
      <w:r>
        <w:noBreakHyphen/>
        <w:t xml:space="preserve">19 declaration — </w:t>
      </w:r>
    </w:p>
    <w:p>
      <w:pPr>
        <w:pStyle w:val="Indenta"/>
      </w:pPr>
      <w:r>
        <w:tab/>
        <w:t>(a)</w:t>
      </w:r>
      <w:r>
        <w:tab/>
        <w:t>has effect on and from the time it is made, or any later time that is specified in the declaration; and</w:t>
      </w:r>
    </w:p>
    <w:p>
      <w:pPr>
        <w:pStyle w:val="Indenta"/>
      </w:pPr>
      <w:r>
        <w:tab/>
        <w:t>(b)</w:t>
      </w:r>
      <w:r>
        <w:tab/>
        <w:t>if it is not extended by the State Emergency Coordinator under section 77E, or sooner revoked under section 77F, remains in force for 3 months after the time it first has effect.</w:t>
      </w:r>
    </w:p>
    <w:p>
      <w:pPr>
        <w:pStyle w:val="Footnotesection"/>
      </w:pPr>
      <w:bookmarkStart w:id="217" w:name="_Toc117777782"/>
      <w:r>
        <w:tab/>
        <w:t>[Section 77D inserted: No. 33 of 2022 s. 7.]</w:t>
      </w:r>
    </w:p>
    <w:p>
      <w:pPr>
        <w:pStyle w:val="Heading5"/>
      </w:pPr>
      <w:bookmarkStart w:id="218" w:name="_Toc118300074"/>
      <w:r>
        <w:rPr>
          <w:rStyle w:val="CharSectno"/>
        </w:rPr>
        <w:t>77E</w:t>
      </w:r>
      <w:r>
        <w:t>.</w:t>
      </w:r>
      <w:r>
        <w:tab/>
        <w:t>Extension of COVID</w:t>
      </w:r>
      <w:r>
        <w:noBreakHyphen/>
        <w:t>19 declaration</w:t>
      </w:r>
      <w:bookmarkEnd w:id="217"/>
      <w:bookmarkEnd w:id="218"/>
    </w:p>
    <w:p>
      <w:pPr>
        <w:pStyle w:val="Subsection"/>
      </w:pPr>
      <w:r>
        <w:tab/>
        <w:t>(1)</w:t>
      </w:r>
      <w:r>
        <w:tab/>
        <w:t>The State Emergency Coordinator may by declaration in writing extend, or from time to time further extend, the duration of a COVID</w:t>
      </w:r>
      <w:r>
        <w:noBreakHyphen/>
        <w:t>19 declaration.</w:t>
      </w:r>
    </w:p>
    <w:p>
      <w:pPr>
        <w:pStyle w:val="Subsection"/>
      </w:pPr>
      <w:r>
        <w:tab/>
        <w:t>(2)</w:t>
      </w:r>
      <w:r>
        <w:tab/>
        <w:t>The State Emergency Coordinator must not make a declaration extending, or further extending, a COVID</w:t>
      </w:r>
      <w:r>
        <w:noBreakHyphen/>
        <w:t>19 declaration unless the State Emergency Coordinator continues to be satisfied of the matters referred to in section 77C(2)(a) and (b).</w:t>
      </w:r>
    </w:p>
    <w:p>
      <w:pPr>
        <w:pStyle w:val="Subsection"/>
      </w:pPr>
      <w:r>
        <w:tab/>
        <w:t>(3)</w:t>
      </w:r>
      <w:r>
        <w:tab/>
        <w:t>A declaration extending, or further extending, the duration of a COVID</w:t>
      </w:r>
      <w:r>
        <w:noBreakHyphen/>
        <w:t xml:space="preserve">19 declaration — </w:t>
      </w:r>
    </w:p>
    <w:p>
      <w:pPr>
        <w:pStyle w:val="Indenta"/>
      </w:pPr>
      <w:r>
        <w:tab/>
        <w:t>(a)</w:t>
      </w:r>
      <w:r>
        <w:tab/>
        <w:t>must include the time when, and date on which, the declaration is made; and</w:t>
      </w:r>
    </w:p>
    <w:p>
      <w:pPr>
        <w:pStyle w:val="Indenta"/>
      </w:pPr>
      <w:r>
        <w:tab/>
        <w:t>(b)</w:t>
      </w:r>
      <w:r>
        <w:tab/>
        <w:t>must state the period by which the duration of the COVID</w:t>
      </w:r>
      <w:r>
        <w:noBreakHyphen/>
        <w:t>19 declaration is extended; and</w:t>
      </w:r>
    </w:p>
    <w:p>
      <w:pPr>
        <w:pStyle w:val="Indenta"/>
      </w:pPr>
      <w:r>
        <w:lastRenderedPageBreak/>
        <w:tab/>
        <w:t>(c)</w:t>
      </w:r>
      <w:r>
        <w:tab/>
        <w:t>remains in force until the end of the period stated under paragraph (b) unless the COVID</w:t>
      </w:r>
      <w:r>
        <w:noBreakHyphen/>
        <w:t>19 declaration is sooner revoked under section 77F.</w:t>
      </w:r>
    </w:p>
    <w:p>
      <w:pPr>
        <w:pStyle w:val="Subsection"/>
      </w:pPr>
      <w:r>
        <w:tab/>
        <w:t>(4)</w:t>
      </w:r>
      <w:r>
        <w:tab/>
        <w:t>The period by which the duration of a COVID</w:t>
      </w:r>
      <w:r>
        <w:noBreakHyphen/>
        <w:t>19 declaration is extended must not exceed 3 months.</w:t>
      </w:r>
    </w:p>
    <w:p>
      <w:pPr>
        <w:pStyle w:val="Subsection"/>
      </w:pPr>
      <w:r>
        <w:tab/>
        <w:t>(5)</w:t>
      </w:r>
      <w:r>
        <w:tab/>
        <w:t>A declaration extending the duration of a COVID</w:t>
      </w:r>
      <w:r>
        <w:noBreakHyphen/>
        <w:t>19 declaration has effect on and from the time it is made.</w:t>
      </w:r>
    </w:p>
    <w:p>
      <w:pPr>
        <w:pStyle w:val="Footnotesection"/>
      </w:pPr>
      <w:bookmarkStart w:id="219" w:name="_Toc117777783"/>
      <w:r>
        <w:tab/>
        <w:t>[Section 77E inserted: No. 33 of 2022 s. 7.]</w:t>
      </w:r>
    </w:p>
    <w:p>
      <w:pPr>
        <w:pStyle w:val="Heading5"/>
      </w:pPr>
      <w:bookmarkStart w:id="220" w:name="_Toc118300075"/>
      <w:r>
        <w:rPr>
          <w:rStyle w:val="CharSectno"/>
        </w:rPr>
        <w:t>77F</w:t>
      </w:r>
      <w:r>
        <w:t>.</w:t>
      </w:r>
      <w:r>
        <w:tab/>
        <w:t>Revocation of COVID</w:t>
      </w:r>
      <w:r>
        <w:noBreakHyphen/>
        <w:t>19 declaration</w:t>
      </w:r>
      <w:bookmarkEnd w:id="219"/>
      <w:bookmarkEnd w:id="220"/>
    </w:p>
    <w:p>
      <w:pPr>
        <w:pStyle w:val="Subsection"/>
      </w:pPr>
      <w:r>
        <w:tab/>
        <w:t>(1)</w:t>
      </w:r>
      <w:r>
        <w:tab/>
        <w:t>The State Emergency Coordinator may revoke a COVID</w:t>
      </w:r>
      <w:r>
        <w:noBreakHyphen/>
        <w:t>19 declaration at any time.</w:t>
      </w:r>
    </w:p>
    <w:p>
      <w:pPr>
        <w:pStyle w:val="Subsection"/>
      </w:pPr>
      <w:r>
        <w:tab/>
        <w:t>(2)</w:t>
      </w:r>
      <w:r>
        <w:tab/>
        <w:t>The State Emergency Coordinator must revoke a COVID</w:t>
      </w:r>
      <w:r>
        <w:noBreakHyphen/>
        <w:t>19 declaration as soon as the State Emergency Coordinator is satisfied that it is no longer necessary for the powers under Division 4 to be exercised in relation to COVID</w:t>
      </w:r>
      <w:r>
        <w:noBreakHyphen/>
        <w:t>19 management in the declaration area.</w:t>
      </w:r>
    </w:p>
    <w:p>
      <w:pPr>
        <w:pStyle w:val="Subsection"/>
      </w:pPr>
      <w:r>
        <w:tab/>
        <w:t>(3)</w:t>
      </w:r>
      <w:r>
        <w:tab/>
        <w:t>The revocation must be made by declaration in writing and must include the time when, and date on which, it is made.</w:t>
      </w:r>
    </w:p>
    <w:p>
      <w:pPr>
        <w:pStyle w:val="Subsection"/>
      </w:pPr>
      <w:r>
        <w:tab/>
        <w:t>(4)</w:t>
      </w:r>
      <w:r>
        <w:tab/>
        <w:t>The revocation declaration has effect on and from the time it is made, or any later time that is specified in the revocation declaration.</w:t>
      </w:r>
    </w:p>
    <w:p>
      <w:pPr>
        <w:pStyle w:val="Subsection"/>
      </w:pPr>
      <w:r>
        <w:tab/>
        <w:t>(5)</w:t>
      </w:r>
      <w:r>
        <w:tab/>
        <w:t>Despite any other written law, the revocation of a COVID</w:t>
      </w:r>
      <w:r>
        <w:noBreakHyphen/>
        <w:t xml:space="preserve">19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Footnotesection"/>
      </w:pPr>
      <w:bookmarkStart w:id="221" w:name="_Toc117777784"/>
      <w:r>
        <w:tab/>
        <w:t>[Section 77F inserted: No. 33 of 2022 s. 7.]</w:t>
      </w:r>
    </w:p>
    <w:p>
      <w:pPr>
        <w:pStyle w:val="Heading5"/>
      </w:pPr>
      <w:bookmarkStart w:id="222" w:name="_Toc118300076"/>
      <w:r>
        <w:rPr>
          <w:rStyle w:val="CharSectno"/>
        </w:rPr>
        <w:lastRenderedPageBreak/>
        <w:t>77G</w:t>
      </w:r>
      <w:r>
        <w:t>.</w:t>
      </w:r>
      <w:r>
        <w:tab/>
        <w:t>Consultation with and advice from Chief Health Officer</w:t>
      </w:r>
      <w:bookmarkEnd w:id="221"/>
      <w:bookmarkEnd w:id="222"/>
    </w:p>
    <w:p>
      <w:pPr>
        <w:pStyle w:val="Subsection"/>
      </w:pPr>
      <w:r>
        <w:tab/>
        <w:t>(1)</w:t>
      </w:r>
      <w:r>
        <w:tab/>
        <w:t>A COVID</w:t>
      </w:r>
      <w:r>
        <w:noBreakHyphen/>
        <w:t xml:space="preserve">19 declaration, or a declaration under section 77E or 77F, cannot be made unless — </w:t>
      </w:r>
    </w:p>
    <w:p>
      <w:pPr>
        <w:pStyle w:val="Indenta"/>
      </w:pPr>
      <w:r>
        <w:tab/>
        <w:t>(a)</w:t>
      </w:r>
      <w:r>
        <w:tab/>
        <w:t>the State Emergency Coordinator has consulted the Chief Health Officer; and</w:t>
      </w:r>
    </w:p>
    <w:p>
      <w:pPr>
        <w:pStyle w:val="Indenta"/>
      </w:pPr>
      <w:r>
        <w:tab/>
        <w:t>(b)</w:t>
      </w:r>
      <w:r>
        <w:tab/>
        <w:t>the Chief Health Officer has provided written advice to the State Emergency Coordinator as to whether the declaration should be made; and</w:t>
      </w:r>
    </w:p>
    <w:p>
      <w:pPr>
        <w:pStyle w:val="Indenta"/>
      </w:pPr>
      <w:r>
        <w:tab/>
        <w:t>(c)</w:t>
      </w:r>
      <w:r>
        <w:tab/>
        <w:t>the State Emergency Coordinator has considered the advice.</w:t>
      </w:r>
    </w:p>
    <w:p>
      <w:pPr>
        <w:pStyle w:val="Subsection"/>
      </w:pPr>
      <w:r>
        <w:tab/>
        <w:t>(2)</w:t>
      </w:r>
      <w:r>
        <w:tab/>
        <w:t>Subject to subsection (3), advice provided by the Chief Health Officer under subsection (1)(b) must set out detailed reasons for the advice.</w:t>
      </w:r>
    </w:p>
    <w:p>
      <w:pPr>
        <w:pStyle w:val="Subsection"/>
      </w:pPr>
      <w:r>
        <w:tab/>
        <w:t>(3)</w:t>
      </w:r>
      <w:r>
        <w:tab/>
        <w:t>If the State Emergency Coordinator requests the Chief Health Officer to provide advice under subsection (1)(b) urgently, the advice provided under subsection (1)(b) may be in summary form and is not required to set out detailed reasons for the advice.</w:t>
      </w:r>
    </w:p>
    <w:p>
      <w:pPr>
        <w:pStyle w:val="Subsection"/>
      </w:pPr>
      <w:r>
        <w:tab/>
        <w:t>(4)</w:t>
      </w:r>
      <w:r>
        <w:tab/>
        <w:t>If the Chief Health Officer provides advice under subsection (1)(b) in summary form, the Chief Health Officer must, within 7 days after providing that advice, provide the State Emergency Coordinator with a further written statement setting out detailed reasons for that advice.</w:t>
      </w:r>
    </w:p>
    <w:p>
      <w:pPr>
        <w:pStyle w:val="Subsection"/>
      </w:pPr>
      <w:r>
        <w:tab/>
        <w:t>(5)</w:t>
      </w:r>
      <w:r>
        <w:tab/>
        <w:t>A failure to comply with this section does not affect the validity of the declaration.</w:t>
      </w:r>
    </w:p>
    <w:p>
      <w:pPr>
        <w:pStyle w:val="Footnotesection"/>
      </w:pPr>
      <w:bookmarkStart w:id="223" w:name="_Toc117777785"/>
      <w:r>
        <w:tab/>
        <w:t>[Section 77G inserted: No. 33 of 2022 s. 7.]</w:t>
      </w:r>
    </w:p>
    <w:p>
      <w:pPr>
        <w:pStyle w:val="Heading5"/>
      </w:pPr>
      <w:bookmarkStart w:id="224" w:name="_Toc118300077"/>
      <w:r>
        <w:rPr>
          <w:rStyle w:val="CharSectno"/>
        </w:rPr>
        <w:lastRenderedPageBreak/>
        <w:t>77H</w:t>
      </w:r>
      <w:r>
        <w:t>.</w:t>
      </w:r>
      <w:r>
        <w:tab/>
        <w:t>Publication of notice of declaration and advice</w:t>
      </w:r>
      <w:bookmarkEnd w:id="223"/>
      <w:bookmarkEnd w:id="224"/>
    </w:p>
    <w:p>
      <w:pPr>
        <w:pStyle w:val="Subsection"/>
        <w:keepNext/>
      </w:pPr>
      <w:r>
        <w:tab/>
        <w:t>(1)</w:t>
      </w:r>
      <w:r>
        <w:tab/>
        <w:t>The State Emergency Coordinator must ensure that notice of a COVID</w:t>
      </w:r>
      <w:r>
        <w:noBreakHyphen/>
        <w:t xml:space="preserve">19 declaration, or a declaration under section 77E or 77F, is — </w:t>
      </w:r>
    </w:p>
    <w:p>
      <w:pPr>
        <w:pStyle w:val="Indenta"/>
      </w:pPr>
      <w:r>
        <w:tab/>
        <w:t>(a)</w:t>
      </w:r>
      <w:r>
        <w:tab/>
        <w:t>published for general information as soon as is practicable after the declaration is made, in any manner that the State Emergency Coordinator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 xml:space="preserve">The State Emergency Coordinator must also ensure that the following are published in any manner that the State Emergency Coordinator considers to be appropriate having regard to the circumstances and what is practicable — </w:t>
      </w:r>
    </w:p>
    <w:p>
      <w:pPr>
        <w:pStyle w:val="Indenta"/>
      </w:pPr>
      <w:r>
        <w:tab/>
        <w:t>(a)</w:t>
      </w:r>
      <w:r>
        <w:tab/>
        <w:t>the advice provided by the Chief Health Officer under section 77G(1)(b) in relation to the declaration;</w:t>
      </w:r>
    </w:p>
    <w:p>
      <w:pPr>
        <w:pStyle w:val="Indenta"/>
      </w:pPr>
      <w:r>
        <w:tab/>
        <w:t>(b)</w:t>
      </w:r>
      <w:r>
        <w:tab/>
        <w:t>any further statement of reasons for that advice provided by the Chief Health Officer under section 77G(4).</w:t>
      </w:r>
    </w:p>
    <w:p>
      <w:pPr>
        <w:pStyle w:val="Subsection"/>
      </w:pPr>
      <w:r>
        <w:tab/>
        <w:t>(3)</w:t>
      </w:r>
      <w:r>
        <w:tab/>
        <w:t>The advice referred to in subsection (2)(a) must be published as soon as is practicable after the declaration is made.</w:t>
      </w:r>
    </w:p>
    <w:p>
      <w:pPr>
        <w:pStyle w:val="Subsection"/>
      </w:pPr>
      <w:r>
        <w:tab/>
        <w:t>(4)</w:t>
      </w:r>
      <w:r>
        <w:tab/>
        <w:t>Any statement referred to in subsection (2)(b) must be published as soon as is practicable after it is provided to the State Emergency Coordinator.</w:t>
      </w:r>
    </w:p>
    <w:p>
      <w:pPr>
        <w:pStyle w:val="Subsection"/>
      </w:pPr>
      <w:r>
        <w:tab/>
        <w:t>(5)</w:t>
      </w:r>
      <w:r>
        <w:tab/>
        <w:t>A failure to publish a document in accordance with this section does not affect the validity of the declaration.</w:t>
      </w:r>
    </w:p>
    <w:p>
      <w:pPr>
        <w:pStyle w:val="Footnotesection"/>
      </w:pPr>
      <w:bookmarkStart w:id="225" w:name="_Toc117777786"/>
      <w:r>
        <w:tab/>
        <w:t>[Section 77H inserted: No. 33 of 2022 s. 7.]</w:t>
      </w:r>
    </w:p>
    <w:p>
      <w:pPr>
        <w:pStyle w:val="Heading3"/>
      </w:pPr>
      <w:bookmarkStart w:id="226" w:name="_Toc117779406"/>
      <w:bookmarkStart w:id="227" w:name="_Toc117845328"/>
      <w:bookmarkStart w:id="228" w:name="_Toc118299714"/>
      <w:bookmarkStart w:id="229" w:name="_Toc118300078"/>
      <w:r>
        <w:rPr>
          <w:rStyle w:val="CharDivNo"/>
        </w:rPr>
        <w:lastRenderedPageBreak/>
        <w:t>Division 3</w:t>
      </w:r>
      <w:r>
        <w:t> — </w:t>
      </w:r>
      <w:r>
        <w:rPr>
          <w:rStyle w:val="CharDivText"/>
        </w:rPr>
        <w:t>Authorised COVID</w:t>
      </w:r>
      <w:r>
        <w:rPr>
          <w:rStyle w:val="CharDivText"/>
        </w:rPr>
        <w:noBreakHyphen/>
        <w:t>19 officers</w:t>
      </w:r>
      <w:bookmarkEnd w:id="225"/>
      <w:bookmarkEnd w:id="226"/>
      <w:bookmarkEnd w:id="227"/>
      <w:bookmarkEnd w:id="228"/>
      <w:bookmarkEnd w:id="229"/>
    </w:p>
    <w:p>
      <w:pPr>
        <w:pStyle w:val="Footnoteheading"/>
        <w:keepNext/>
      </w:pPr>
      <w:bookmarkStart w:id="230" w:name="_Toc117777787"/>
      <w:r>
        <w:tab/>
        <w:t>[Heading inserted: No. 33 of 2022 s. 7.]</w:t>
      </w:r>
    </w:p>
    <w:p>
      <w:pPr>
        <w:pStyle w:val="Heading5"/>
      </w:pPr>
      <w:bookmarkStart w:id="231" w:name="_Toc118300079"/>
      <w:r>
        <w:rPr>
          <w:rStyle w:val="CharSectno"/>
        </w:rPr>
        <w:t>77I</w:t>
      </w:r>
      <w:r>
        <w:t>.</w:t>
      </w:r>
      <w:r>
        <w:tab/>
        <w:t>Authorised COVID</w:t>
      </w:r>
      <w:r>
        <w:noBreakHyphen/>
        <w:t>19 officers</w:t>
      </w:r>
      <w:bookmarkEnd w:id="230"/>
      <w:bookmarkEnd w:id="231"/>
    </w:p>
    <w:p>
      <w:pPr>
        <w:pStyle w:val="Subsection"/>
      </w:pPr>
      <w:r>
        <w:tab/>
        <w:t>(1)</w:t>
      </w:r>
      <w:r>
        <w:tab/>
        <w:t>The State Emergency Coordinator may authorise persons to act as authorised COVID</w:t>
      </w:r>
      <w:r>
        <w:noBreakHyphen/>
        <w:t>19 officers while a COVID</w:t>
      </w:r>
      <w:r>
        <w:noBreakHyphen/>
        <w:t>19 declaration is in force.</w:t>
      </w:r>
    </w:p>
    <w:p>
      <w:pPr>
        <w:pStyle w:val="Subsection"/>
      </w:pPr>
      <w:r>
        <w:tab/>
        <w:t>(2)</w:t>
      </w:r>
      <w:r>
        <w:tab/>
        <w:t xml:space="preserve">An authorisation under subsection (1) must specify — </w:t>
      </w:r>
    </w:p>
    <w:p>
      <w:pPr>
        <w:pStyle w:val="Indenta"/>
      </w:pPr>
      <w:r>
        <w:tab/>
        <w:t>(a)</w:t>
      </w:r>
      <w:r>
        <w:tab/>
        <w:t>whether it applies to any COVID</w:t>
      </w:r>
      <w:r>
        <w:noBreakHyphen/>
        <w:t>19 declaration or is limited to 1 or more particular COVID</w:t>
      </w:r>
      <w:r>
        <w:noBreakHyphen/>
        <w:t>19 declarations; and</w:t>
      </w:r>
    </w:p>
    <w:p>
      <w:pPr>
        <w:pStyle w:val="Indenta"/>
      </w:pPr>
      <w:r>
        <w:tab/>
        <w:t>(b)</w:t>
      </w:r>
      <w:r>
        <w:tab/>
        <w:t>the particular, or a particular class of,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must be put in writing as soon as is practicable.</w:t>
      </w:r>
    </w:p>
    <w:p>
      <w:pPr>
        <w:pStyle w:val="Subsection"/>
      </w:pPr>
      <w:r>
        <w:tab/>
        <w:t>(4)</w:t>
      </w:r>
      <w:r>
        <w:tab/>
        <w:t>A failure to put an authorisation in writing under subsection (3) does not invalidate the authorisation or anything done under the authorisation.</w:t>
      </w:r>
    </w:p>
    <w:p>
      <w:pPr>
        <w:pStyle w:val="Subsection"/>
      </w:pPr>
      <w:r>
        <w:tab/>
        <w:t>(5)</w:t>
      </w:r>
      <w:r>
        <w:tab/>
        <w:t>An authorised COVID</w:t>
      </w:r>
      <w:r>
        <w:noBreakHyphen/>
        <w:t>19 officer may exercise a power under this Part only subject to the terms and conditions on which the person is authorised under this section.</w:t>
      </w:r>
    </w:p>
    <w:p>
      <w:pPr>
        <w:pStyle w:val="Subsection"/>
      </w:pPr>
      <w:r>
        <w:tab/>
        <w:t>(6)</w:t>
      </w:r>
      <w:r>
        <w:tab/>
        <w:t>An authorised COVID</w:t>
      </w:r>
      <w:r>
        <w:noBreakHyphen/>
        <w:t>19 officer must comply with directions of the State Emergency Coordinator when exercising a power under this Part.</w:t>
      </w:r>
    </w:p>
    <w:p>
      <w:pPr>
        <w:pStyle w:val="Footnotesection"/>
      </w:pPr>
      <w:bookmarkStart w:id="232" w:name="_Toc117777788"/>
      <w:r>
        <w:tab/>
        <w:t>[Section 77I inserted: No. 33 of 2022 s. 7.]</w:t>
      </w:r>
    </w:p>
    <w:p>
      <w:pPr>
        <w:pStyle w:val="Heading3"/>
      </w:pPr>
      <w:bookmarkStart w:id="233" w:name="_Toc117779408"/>
      <w:bookmarkStart w:id="234" w:name="_Toc117845330"/>
      <w:bookmarkStart w:id="235" w:name="_Toc118299716"/>
      <w:bookmarkStart w:id="236" w:name="_Toc118300080"/>
      <w:r>
        <w:rPr>
          <w:rStyle w:val="CharDivNo"/>
        </w:rPr>
        <w:lastRenderedPageBreak/>
        <w:t>Division 4</w:t>
      </w:r>
      <w:r>
        <w:t> — </w:t>
      </w:r>
      <w:r>
        <w:rPr>
          <w:rStyle w:val="CharDivText"/>
        </w:rPr>
        <w:t>Powers during COVID</w:t>
      </w:r>
      <w:r>
        <w:rPr>
          <w:rStyle w:val="CharDivText"/>
        </w:rPr>
        <w:noBreakHyphen/>
        <w:t>19 declaration</w:t>
      </w:r>
      <w:bookmarkEnd w:id="232"/>
      <w:bookmarkEnd w:id="233"/>
      <w:bookmarkEnd w:id="234"/>
      <w:bookmarkEnd w:id="235"/>
      <w:bookmarkEnd w:id="236"/>
    </w:p>
    <w:p>
      <w:pPr>
        <w:pStyle w:val="Footnoteheading"/>
        <w:keepNext/>
      </w:pPr>
      <w:bookmarkStart w:id="237" w:name="_Toc117777789"/>
      <w:r>
        <w:tab/>
        <w:t>[Heading inserted: No. 33 of 2022 s. 7.]</w:t>
      </w:r>
    </w:p>
    <w:p>
      <w:pPr>
        <w:pStyle w:val="Heading5"/>
      </w:pPr>
      <w:bookmarkStart w:id="238" w:name="_Toc118300081"/>
      <w:r>
        <w:rPr>
          <w:rStyle w:val="CharSectno"/>
        </w:rPr>
        <w:t>77J</w:t>
      </w:r>
      <w:r>
        <w:t>.</w:t>
      </w:r>
      <w:r>
        <w:tab/>
        <w:t>Matters that may be taken into account and consultation</w:t>
      </w:r>
      <w:bookmarkEnd w:id="237"/>
      <w:bookmarkEnd w:id="238"/>
    </w:p>
    <w:p>
      <w:pPr>
        <w:pStyle w:val="Subsection"/>
      </w:pPr>
      <w:r>
        <w:tab/>
        <w:t>(1)</w:t>
      </w:r>
      <w:r>
        <w:tab/>
        <w:t>In exercising a power under this Division, the State Emergency Coordinator may, without limitation, take into account public health, social and economic considerations.</w:t>
      </w:r>
    </w:p>
    <w:p>
      <w:pPr>
        <w:pStyle w:val="Subsection"/>
      </w:pPr>
      <w:r>
        <w:tab/>
        <w:t>(2)</w:t>
      </w:r>
      <w:r>
        <w:tab/>
        <w:t>Before exercising a power under this Division, an authorised COVID</w:t>
      </w:r>
      <w:r>
        <w:noBreakHyphen/>
        <w:t xml:space="preserve">19 officer may consult with any of the following — </w:t>
      </w:r>
    </w:p>
    <w:p>
      <w:pPr>
        <w:pStyle w:val="Indenta"/>
      </w:pPr>
      <w:r>
        <w:tab/>
        <w:t>(a)</w:t>
      </w:r>
      <w:r>
        <w:tab/>
        <w:t>the Chief Health Officer;</w:t>
      </w:r>
    </w:p>
    <w:p>
      <w:pPr>
        <w:pStyle w:val="Indenta"/>
      </w:pPr>
      <w:r>
        <w:tab/>
        <w:t>(b)</w:t>
      </w:r>
      <w:r>
        <w:tab/>
        <w:t xml:space="preserve">the chief executive officer of the department of the Public Service principally assisting in the administration of the </w:t>
      </w:r>
      <w:r>
        <w:rPr>
          <w:i/>
        </w:rPr>
        <w:t>Public Health Act 2016</w:t>
      </w:r>
      <w:r>
        <w:t>;</w:t>
      </w:r>
    </w:p>
    <w:p>
      <w:pPr>
        <w:pStyle w:val="Indenta"/>
      </w:pPr>
      <w:r>
        <w:tab/>
        <w:t>(c)</w:t>
      </w:r>
      <w:r>
        <w:tab/>
        <w:t>any other person the authorised COVID</w:t>
      </w:r>
      <w:r>
        <w:noBreakHyphen/>
        <w:t>19 officer considers that it is appropriate to consult.</w:t>
      </w:r>
    </w:p>
    <w:p>
      <w:pPr>
        <w:pStyle w:val="Footnotesection"/>
      </w:pPr>
      <w:bookmarkStart w:id="239" w:name="_Toc117777790"/>
      <w:r>
        <w:tab/>
        <w:t>[Section 77J inserted: No. 33 of 2022 s. 7.]</w:t>
      </w:r>
    </w:p>
    <w:p>
      <w:pPr>
        <w:pStyle w:val="Heading5"/>
      </w:pPr>
      <w:bookmarkStart w:id="240" w:name="_Toc118300082"/>
      <w:r>
        <w:rPr>
          <w:rStyle w:val="CharSectno"/>
        </w:rPr>
        <w:t>77K</w:t>
      </w:r>
      <w:r>
        <w:t>.</w:t>
      </w:r>
      <w:r>
        <w:tab/>
        <w:t>Obtaining identifying particulars</w:t>
      </w:r>
      <w:bookmarkEnd w:id="239"/>
      <w:bookmarkEnd w:id="240"/>
    </w:p>
    <w:p>
      <w:pPr>
        <w:pStyle w:val="Subsection"/>
      </w:pPr>
      <w:r>
        <w:tab/>
        <w:t>(1)</w:t>
      </w:r>
      <w:r>
        <w:tab/>
        <w:t>The office of authorised COVID</w:t>
      </w:r>
      <w:r>
        <w:noBreakHyphen/>
        <w:t xml:space="preserve">19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while a COVID</w:t>
      </w:r>
      <w:r>
        <w:noBreakHyphen/>
        <w:t>19 declaration is in force.</w:t>
      </w:r>
    </w:p>
    <w:p>
      <w:pPr>
        <w:pStyle w:val="Subsection"/>
      </w:pPr>
      <w:r>
        <w:tab/>
        <w:t>(2)</w:t>
      </w:r>
      <w:r>
        <w:tab/>
        <w:t>Without limiting subsection (1), an authorised COVID</w:t>
      </w:r>
      <w:r>
        <w:noBreakHyphen/>
        <w:t>19 officer may, where reasonably required for the purposes of COVID</w:t>
      </w:r>
      <w:r>
        <w:noBreakHyphen/>
        <w:t>19 management while a COVID</w:t>
      </w:r>
      <w:r>
        <w:noBreakHyphen/>
        <w:t>19 declaration is in force, request a person to give the officer any or all of the person’s personal details.</w:t>
      </w:r>
    </w:p>
    <w:p>
      <w:pPr>
        <w:pStyle w:val="Subsection"/>
      </w:pPr>
      <w:r>
        <w:tab/>
        <w:t>(3)</w:t>
      </w:r>
      <w:r>
        <w:tab/>
        <w:t>If, while a COVID</w:t>
      </w:r>
      <w:r>
        <w:noBreakHyphen/>
        <w:t>19 declaration is in force, an authorised COVID</w:t>
      </w:r>
      <w:r>
        <w:noBreakHyphen/>
        <w:t xml:space="preserve">19 officer reasonably suspects that a personal detail given by a person in response to a request under subsection (2) </w:t>
      </w:r>
      <w:r>
        <w:lastRenderedPageBreak/>
        <w:t>is false, the officer may request the person to produce evidence of the correctness of the detail.</w:t>
      </w:r>
    </w:p>
    <w:p>
      <w:pPr>
        <w:pStyle w:val="Footnotesection"/>
      </w:pPr>
      <w:bookmarkStart w:id="241" w:name="_Toc117777791"/>
      <w:r>
        <w:tab/>
        <w:t>[Section 77K inserted: No. 33 of 2022 s. 7.]</w:t>
      </w:r>
    </w:p>
    <w:p>
      <w:pPr>
        <w:pStyle w:val="Heading5"/>
      </w:pPr>
      <w:bookmarkStart w:id="242" w:name="_Toc118300083"/>
      <w:r>
        <w:rPr>
          <w:rStyle w:val="CharSectno"/>
        </w:rPr>
        <w:t>77L</w:t>
      </w:r>
      <w:r>
        <w:t>.</w:t>
      </w:r>
      <w:r>
        <w:tab/>
        <w:t>Powers concerning movement and evacuation</w:t>
      </w:r>
      <w:bookmarkEnd w:id="241"/>
      <w:bookmarkEnd w:id="242"/>
    </w:p>
    <w:p>
      <w:pPr>
        <w:pStyle w:val="Subsection"/>
      </w:pPr>
      <w:r>
        <w:tab/>
      </w:r>
      <w:r>
        <w:tab/>
        <w:t>For the purposes of COVID</w:t>
      </w:r>
      <w:r>
        <w:noBreakHyphen/>
        <w:t>19 management while a COVID</w:t>
      </w:r>
      <w:r>
        <w:noBreakHyphen/>
        <w:t>19 declaration is in force, an authorised COVID</w:t>
      </w:r>
      <w:r>
        <w:noBreakHyphen/>
        <w:t xml:space="preserve">19 officer may do all or any of the following — </w:t>
      </w:r>
    </w:p>
    <w:p>
      <w:pPr>
        <w:pStyle w:val="Indenta"/>
      </w:pPr>
      <w:r>
        <w:tab/>
        <w:t>(a)</w:t>
      </w:r>
      <w:r>
        <w:tab/>
        <w:t>direct or, by direction, prohibit, the movement of persons and vehicles within, into, out of or around the declaration area or any part of the declaration area;</w:t>
      </w:r>
    </w:p>
    <w:p>
      <w:pPr>
        <w:pStyle w:val="Indenta"/>
      </w:pPr>
      <w:r>
        <w:tab/>
        <w:t>(b)</w:t>
      </w:r>
      <w:r>
        <w:tab/>
        <w:t>direct the evacuation and removal of persons from the declaration area or any part of the declaration area;</w:t>
      </w:r>
    </w:p>
    <w:p>
      <w:pPr>
        <w:pStyle w:val="Indenta"/>
      </w:pPr>
      <w:r>
        <w:tab/>
        <w:t>(c)</w:t>
      </w:r>
      <w:r>
        <w:tab/>
        <w:t>close any road, access route or area of water in or leading to the declaration area;</w:t>
      </w:r>
    </w:p>
    <w:p>
      <w:pPr>
        <w:pStyle w:val="Indenta"/>
      </w:pPr>
      <w:r>
        <w:tab/>
        <w:t>(d)</w:t>
      </w:r>
      <w:r>
        <w:tab/>
        <w:t>direct that any road, access route or area of water in or leading to the declaration area be closed.</w:t>
      </w:r>
    </w:p>
    <w:p>
      <w:pPr>
        <w:pStyle w:val="Footnotesection"/>
      </w:pPr>
      <w:bookmarkStart w:id="243" w:name="_Toc117777792"/>
      <w:r>
        <w:tab/>
        <w:t>[Section 77L inserted: No. 33 of 2022 s. 7.]</w:t>
      </w:r>
    </w:p>
    <w:p>
      <w:pPr>
        <w:pStyle w:val="Heading5"/>
      </w:pPr>
      <w:bookmarkStart w:id="244" w:name="_Toc118300084"/>
      <w:r>
        <w:rPr>
          <w:rStyle w:val="CharSectno"/>
        </w:rPr>
        <w:t>77M</w:t>
      </w:r>
      <w:r>
        <w:t>.</w:t>
      </w:r>
      <w:r>
        <w:tab/>
        <w:t>Powers to control and use property and related powers</w:t>
      </w:r>
      <w:bookmarkEnd w:id="243"/>
      <w:bookmarkEnd w:id="244"/>
    </w:p>
    <w:p>
      <w:pPr>
        <w:pStyle w:val="Subsection"/>
      </w:pPr>
      <w:r>
        <w:tab/>
        <w:t>(1)</w:t>
      </w:r>
      <w:r>
        <w:tab/>
        <w:t>For the purposes of COVID</w:t>
      </w:r>
      <w:r>
        <w:noBreakHyphen/>
        <w:t>19 management while a COVID</w:t>
      </w:r>
      <w:r>
        <w:noBreakHyphen/>
        <w:t>19 declaration is in force, an authorised COVID</w:t>
      </w:r>
      <w:r>
        <w:noBreakHyphen/>
        <w:t>19 officer may take control of or make use of any place, vehicle or other thing.</w:t>
      </w:r>
    </w:p>
    <w:p>
      <w:pPr>
        <w:pStyle w:val="Subsection"/>
      </w:pPr>
      <w:r>
        <w:tab/>
        <w:t>(2)</w:t>
      </w:r>
      <w:r>
        <w:tab/>
        <w:t>The place, vehicle or other thing may be in, or outside, the declaration area.</w:t>
      </w:r>
    </w:p>
    <w:p>
      <w:pPr>
        <w:pStyle w:val="Subsection"/>
      </w:pPr>
      <w:r>
        <w:tab/>
        <w:t>(3)</w:t>
      </w:r>
      <w:r>
        <w:tab/>
        <w:t>For the purposes of exercising a power under subsection (1), an authorised COVID</w:t>
      </w:r>
      <w:r>
        <w:noBreakHyphen/>
        <w:t>19 officer may enter, or if necessary break into and enter, any place or vehicle.</w:t>
      </w:r>
    </w:p>
    <w:p>
      <w:pPr>
        <w:pStyle w:val="Subsection"/>
      </w:pPr>
      <w:r>
        <w:tab/>
        <w:t>(4)</w:t>
      </w:r>
      <w:r>
        <w:tab/>
        <w:t>An authorised COVID</w:t>
      </w:r>
      <w:r>
        <w:noBreakHyphen/>
        <w:t>19 officer may direct the owner or occupier, or the person apparently in charge, of a place, vehicle or other thing to give the authorised COVID</w:t>
      </w:r>
      <w:r>
        <w:noBreakHyphen/>
        <w:t>19 officer reasonable assistance to exercise the officer’s powers under this section.</w:t>
      </w:r>
    </w:p>
    <w:p>
      <w:pPr>
        <w:pStyle w:val="Subsection"/>
      </w:pPr>
      <w:r>
        <w:lastRenderedPageBreak/>
        <w:tab/>
        <w:t>(5)</w:t>
      </w:r>
      <w:r>
        <w:tab/>
        <w:t>An authorised COVID</w:t>
      </w:r>
      <w:r>
        <w:noBreakHyphen/>
        <w:t>19 officer may exercise the powers under this section without a warrant or the consent of the owner or occupier, or the person apparently in charge, of the place, vehicle or other thing.</w:t>
      </w:r>
    </w:p>
    <w:p>
      <w:pPr>
        <w:pStyle w:val="Subsection"/>
      </w:pPr>
      <w:r>
        <w:tab/>
        <w:t>(6)</w:t>
      </w:r>
      <w:r>
        <w:tab/>
        <w:t>If an authorised COVID</w:t>
      </w:r>
      <w:r>
        <w:noBreakHyphen/>
        <w:t>19 officer takes control of or makes use of any place, vehicle or other thing under this section, the authorised COVID</w:t>
      </w:r>
      <w:r>
        <w:noBreakHyphen/>
        <w:t xml:space="preserve">19 officer must ensure that, as soon as is reasonably practicable in the circumstances and no later than 7 days after the place, vehicle or thing is taken control of or made use of, a notice is given to the owner or occupier, or the person formerly in charge, of the place, vehicle or thing stating — </w:t>
      </w:r>
    </w:p>
    <w:p>
      <w:pPr>
        <w:pStyle w:val="Indenta"/>
      </w:pPr>
      <w:r>
        <w:tab/>
        <w:t>(a)</w:t>
      </w:r>
      <w:r>
        <w:tab/>
        <w:t>that the place, vehicle or thing has been taken control of or made use of under this section; and</w:t>
      </w:r>
    </w:p>
    <w:p>
      <w:pPr>
        <w:pStyle w:val="Indenta"/>
      </w:pPr>
      <w:r>
        <w:tab/>
        <w:t>(b)</w:t>
      </w:r>
      <w:r>
        <w:tab/>
        <w:t>the name of the authorised COVID</w:t>
      </w:r>
      <w:r>
        <w:noBreakHyphen/>
        <w:t>19 officer who has taken control of or made use of the place, vehicle or thing.</w:t>
      </w:r>
    </w:p>
    <w:p>
      <w:pPr>
        <w:pStyle w:val="Footnotesection"/>
      </w:pPr>
      <w:bookmarkStart w:id="245" w:name="_Toc117777793"/>
      <w:r>
        <w:tab/>
        <w:t>[Section 77M inserted: No. 33 of 2022 s. 7.]</w:t>
      </w:r>
    </w:p>
    <w:p>
      <w:pPr>
        <w:pStyle w:val="Heading5"/>
      </w:pPr>
      <w:bookmarkStart w:id="246" w:name="_Toc118300085"/>
      <w:r>
        <w:rPr>
          <w:rStyle w:val="CharSectno"/>
        </w:rPr>
        <w:t>77N</w:t>
      </w:r>
      <w:r>
        <w:t>.</w:t>
      </w:r>
      <w:r>
        <w:tab/>
        <w:t>Powers of officers in relation to persons exposed to SARS</w:t>
      </w:r>
      <w:r>
        <w:noBreakHyphen/>
        <w:t>CoV</w:t>
      </w:r>
      <w:r>
        <w:noBreakHyphen/>
        <w:t>2 virus</w:t>
      </w:r>
      <w:bookmarkEnd w:id="245"/>
      <w:bookmarkEnd w:id="246"/>
    </w:p>
    <w:p>
      <w:pPr>
        <w:pStyle w:val="Subsection"/>
      </w:pPr>
      <w:r>
        <w:tab/>
        <w:t>(1)</w:t>
      </w:r>
      <w:r>
        <w:tab/>
        <w:t>While a COVID</w:t>
      </w:r>
      <w:r>
        <w:noBreakHyphen/>
        <w:t>19 declaration is in force, for the purpose of limiting the spread of the SARS</w:t>
      </w:r>
      <w:r>
        <w:noBreakHyphen/>
        <w:t>CoV</w:t>
      </w:r>
      <w:r>
        <w:noBreakHyphen/>
        <w:t>2 virus, an authorised COVID</w:t>
      </w:r>
      <w:r>
        <w:noBreakHyphen/>
        <w:t>19 officer may direct any person who has been exposed, or any class of person who may have been exposed, to the SARS</w:t>
      </w:r>
      <w:r>
        <w:noBreakHyphen/>
        <w:t>CoV</w:t>
      </w:r>
      <w:r>
        <w:noBreakHyphen/>
        <w:t xml:space="preserve">2 virus to do all or any of the following — </w:t>
      </w:r>
    </w:p>
    <w:p>
      <w:pPr>
        <w:pStyle w:val="Indenta"/>
      </w:pPr>
      <w:r>
        <w:tab/>
        <w:t>(a)</w:t>
      </w:r>
      <w:r>
        <w:tab/>
        <w:t>to remain in an area specified by the officer for such period as is specified by the officer;</w:t>
      </w:r>
    </w:p>
    <w:p>
      <w:pPr>
        <w:pStyle w:val="Indenta"/>
      </w:pPr>
      <w:r>
        <w:tab/>
        <w:t>(b)</w:t>
      </w:r>
      <w:r>
        <w:tab/>
        <w:t>to remain quarantined from other persons for such period, and in such reasonable manner, as is specified by the officer;</w:t>
      </w:r>
    </w:p>
    <w:p>
      <w:pPr>
        <w:pStyle w:val="Indenta"/>
      </w:pPr>
      <w:r>
        <w:tab/>
        <w:t>(c)</w:t>
      </w:r>
      <w:r>
        <w:tab/>
        <w:t>to submit to infection prevention and control procedures within such reasonable period, and in such reasonable manner, as is specified by the officer.</w:t>
      </w:r>
    </w:p>
    <w:p>
      <w:pPr>
        <w:pStyle w:val="Subsection"/>
      </w:pPr>
      <w:r>
        <w:lastRenderedPageBreak/>
        <w:tab/>
        <w:t>(2)</w:t>
      </w:r>
      <w:r>
        <w:tab/>
        <w:t xml:space="preserve">The period specified under subsection (1)(a) or (b) must not be more than 24 hours unless — </w:t>
      </w:r>
    </w:p>
    <w:p>
      <w:pPr>
        <w:pStyle w:val="Indenta"/>
      </w:pPr>
      <w:r>
        <w:tab/>
        <w:t>(a)</w:t>
      </w:r>
      <w:r>
        <w:tab/>
        <w:t>the State Emergency Coordinator gives the direction; or</w:t>
      </w:r>
    </w:p>
    <w:p>
      <w:pPr>
        <w:pStyle w:val="Indenta"/>
      </w:pPr>
      <w:r>
        <w:tab/>
        <w:t>(b)</w:t>
      </w:r>
      <w:r>
        <w:tab/>
        <w:t>the State Emergency Coordinator has given authorisation for a longer period to be specified.</w:t>
      </w:r>
    </w:p>
    <w:p>
      <w:pPr>
        <w:pStyle w:val="Footnotesection"/>
      </w:pPr>
      <w:bookmarkStart w:id="247" w:name="_Toc117777794"/>
      <w:r>
        <w:tab/>
        <w:t>[Section 77N inserted: No. 33 of 2022 s. 7.]</w:t>
      </w:r>
    </w:p>
    <w:p>
      <w:pPr>
        <w:pStyle w:val="Heading5"/>
      </w:pPr>
      <w:bookmarkStart w:id="248" w:name="_Toc118300086"/>
      <w:r>
        <w:rPr>
          <w:rStyle w:val="CharSectno"/>
        </w:rPr>
        <w:t>77O</w:t>
      </w:r>
      <w:r>
        <w:t>.</w:t>
      </w:r>
      <w:r>
        <w:tab/>
        <w:t>Powers of police to direct closure of places and concerning movement and evacuation</w:t>
      </w:r>
      <w:bookmarkEnd w:id="247"/>
      <w:bookmarkEnd w:id="248"/>
    </w:p>
    <w:p>
      <w:pPr>
        <w:pStyle w:val="Subsection"/>
      </w:pPr>
      <w:r>
        <w:tab/>
        <w:t>(1)</w:t>
      </w:r>
      <w:r>
        <w:tab/>
        <w:t>For the purposes of COVID</w:t>
      </w:r>
      <w:r>
        <w:noBreakHyphen/>
        <w:t>19 management while a COVID</w:t>
      </w:r>
      <w:r>
        <w:noBreakHyphen/>
        <w:t>19 declaration is in force, a police officer may direct the owner, occupier or the person apparently in charge of any place of business, worship or entertainment in the declaration area to close that place to the public for the period specified in the direction.</w:t>
      </w:r>
    </w:p>
    <w:p>
      <w:pPr>
        <w:pStyle w:val="Subsection"/>
      </w:pPr>
      <w:r>
        <w:tab/>
        <w:t>(2)</w:t>
      </w:r>
      <w:r>
        <w:tab/>
        <w:t>A direction under subsection (1) may be given in relation to a class of place.</w:t>
      </w:r>
    </w:p>
    <w:p>
      <w:pPr>
        <w:pStyle w:val="Subsection"/>
      </w:pPr>
      <w:r>
        <w:tab/>
        <w:t>(3)</w:t>
      </w:r>
      <w:r>
        <w:tab/>
        <w:t>Subject to subsection (4), while a COVID</w:t>
      </w:r>
      <w:r>
        <w:noBreakHyphen/>
        <w:t>19 declaration is in force a police officer may exercise any of the powers of an authorised COVID</w:t>
      </w:r>
      <w:r>
        <w:noBreakHyphen/>
        <w:t>19 officer under section 77L.</w:t>
      </w:r>
    </w:p>
    <w:p>
      <w:pPr>
        <w:pStyle w:val="Subsection"/>
      </w:pPr>
      <w:r>
        <w:tab/>
        <w:t>(4)</w:t>
      </w:r>
      <w:r>
        <w:tab/>
        <w:t xml:space="preserve">A police officer must not exercise a power under subsection (3) in a manner that is contrary to or in conflict with — </w:t>
      </w:r>
    </w:p>
    <w:p>
      <w:pPr>
        <w:pStyle w:val="Indenta"/>
      </w:pPr>
      <w:r>
        <w:tab/>
        <w:t>(a)</w:t>
      </w:r>
      <w:r>
        <w:tab/>
        <w:t>a direction given to the police officer by the State Emergency Coordinator; or</w:t>
      </w:r>
    </w:p>
    <w:p>
      <w:pPr>
        <w:pStyle w:val="Indenta"/>
      </w:pPr>
      <w:r>
        <w:tab/>
        <w:t>(b)</w:t>
      </w:r>
      <w:r>
        <w:tab/>
        <w:t>the exercise of a power by an authorised COVID</w:t>
      </w:r>
      <w:r>
        <w:noBreakHyphen/>
        <w:t>19 officer under section 77L.</w:t>
      </w:r>
    </w:p>
    <w:p>
      <w:pPr>
        <w:pStyle w:val="Subsection"/>
      </w:pPr>
      <w:r>
        <w:tab/>
        <w:t>(5)</w:t>
      </w:r>
      <w:r>
        <w:tab/>
        <w:t>When exercising powers under this section a police officer has all the immunities of an authorised COVID</w:t>
      </w:r>
      <w:r>
        <w:noBreakHyphen/>
        <w:t>19 officer.</w:t>
      </w:r>
    </w:p>
    <w:p>
      <w:pPr>
        <w:pStyle w:val="Footnotesection"/>
      </w:pPr>
      <w:bookmarkStart w:id="249" w:name="_Toc117777795"/>
      <w:r>
        <w:tab/>
        <w:t>[Section 77O inserted: No. 33 of 2022 s. 7.]</w:t>
      </w:r>
    </w:p>
    <w:p>
      <w:pPr>
        <w:pStyle w:val="Heading5"/>
      </w:pPr>
      <w:bookmarkStart w:id="250" w:name="_Toc118300087"/>
      <w:r>
        <w:rPr>
          <w:rStyle w:val="CharSectno"/>
        </w:rPr>
        <w:lastRenderedPageBreak/>
        <w:t>77P</w:t>
      </w:r>
      <w:r>
        <w:t>.</w:t>
      </w:r>
      <w:r>
        <w:tab/>
        <w:t>Exchange of information</w:t>
      </w:r>
      <w:bookmarkEnd w:id="249"/>
      <w:bookmarkEnd w:id="250"/>
    </w:p>
    <w:p>
      <w:pPr>
        <w:pStyle w:val="Subsection"/>
        <w:keepNext/>
      </w:pPr>
      <w:r>
        <w:tab/>
        <w:t>(1)</w:t>
      </w:r>
      <w:r>
        <w:tab/>
        <w:t xml:space="preserve">In this section — </w:t>
      </w:r>
    </w:p>
    <w:p>
      <w:pPr>
        <w:pStyle w:val="Defstart"/>
      </w:pPr>
      <w:r>
        <w:tab/>
      </w:r>
      <w:r>
        <w:rPr>
          <w:rStyle w:val="CharDefText"/>
        </w:rPr>
        <w:t>relevant information</w:t>
      </w:r>
      <w:r>
        <w:t xml:space="preserve"> means the following — </w:t>
      </w:r>
    </w:p>
    <w:p>
      <w:pPr>
        <w:pStyle w:val="Defpara"/>
      </w:pPr>
      <w:r>
        <w:tab/>
        <w:t>(a)</w:t>
      </w:r>
      <w:r>
        <w:tab/>
        <w:t>the personal details of a person;</w:t>
      </w:r>
    </w:p>
    <w:p>
      <w:pPr>
        <w:pStyle w:val="Defpara"/>
      </w:pPr>
      <w:r>
        <w:tab/>
        <w:t>(b)</w:t>
      </w:r>
      <w:r>
        <w:tab/>
        <w:t>information about the whereabouts of a person;</w:t>
      </w:r>
    </w:p>
    <w:p>
      <w:pPr>
        <w:pStyle w:val="Defpara"/>
      </w:pPr>
      <w:r>
        <w:tab/>
        <w:t>(c)</w:t>
      </w:r>
      <w:r>
        <w:tab/>
        <w:t>information about the state of health of a person;</w:t>
      </w:r>
    </w:p>
    <w:p>
      <w:pPr>
        <w:pStyle w:val="Defpara"/>
      </w:pPr>
      <w:r>
        <w:tab/>
        <w:t>(d)</w:t>
      </w:r>
      <w:r>
        <w:tab/>
        <w:t>information about any recent travel undertaken by a person;</w:t>
      </w:r>
    </w:p>
    <w:p>
      <w:pPr>
        <w:pStyle w:val="Defpara"/>
      </w:pPr>
      <w:r>
        <w:tab/>
        <w:t>(e)</w:t>
      </w:r>
      <w:r>
        <w:tab/>
        <w:t>information about persons with whom a person has been in close contact;</w:t>
      </w:r>
    </w:p>
    <w:p>
      <w:pPr>
        <w:pStyle w:val="Defpara"/>
      </w:pPr>
      <w:r>
        <w:tab/>
        <w:t>(f)</w:t>
      </w:r>
      <w:r>
        <w:tab/>
        <w:t>information of a kind prescribed by the regulations;</w:t>
      </w:r>
    </w:p>
    <w:p>
      <w:pPr>
        <w:pStyle w:val="Defstart"/>
      </w:pPr>
      <w:r>
        <w:rPr>
          <w:b/>
        </w:rPr>
        <w:tab/>
      </w:r>
      <w:r>
        <w:rPr>
          <w:rStyle w:val="CharDefText"/>
        </w:rPr>
        <w:t>welfare services</w:t>
      </w:r>
      <w:r>
        <w:t xml:space="preserve"> means the provision of the following for persons affected by COVID</w:t>
      </w:r>
      <w:r>
        <w:noBreakHyphen/>
        <w:t xml:space="preserve">19 — </w:t>
      </w:r>
    </w:p>
    <w:p>
      <w:pPr>
        <w:pStyle w:val="Defpara"/>
      </w:pPr>
      <w:r>
        <w:tab/>
        <w:t>(a)</w:t>
      </w:r>
      <w:r>
        <w:tab/>
        <w:t>accommodation;</w:t>
      </w:r>
    </w:p>
    <w:p>
      <w:pPr>
        <w:pStyle w:val="Defpara"/>
      </w:pPr>
      <w:r>
        <w:tab/>
        <w:t>(b)</w:t>
      </w:r>
      <w:r>
        <w:tab/>
        <w:t>catering;</w:t>
      </w:r>
    </w:p>
    <w:p>
      <w:pPr>
        <w:pStyle w:val="Defpara"/>
      </w:pPr>
      <w:r>
        <w:tab/>
        <w:t>(c)</w:t>
      </w:r>
      <w:r>
        <w:tab/>
        <w:t>clothing and personal requisites;</w:t>
      </w:r>
    </w:p>
    <w:p>
      <w:pPr>
        <w:pStyle w:val="Defpara"/>
      </w:pPr>
      <w:r>
        <w:tab/>
        <w:t>(d)</w:t>
      </w:r>
      <w:r>
        <w:tab/>
        <w:t>financial assistance.</w:t>
      </w:r>
    </w:p>
    <w:p>
      <w:pPr>
        <w:pStyle w:val="Subsection"/>
      </w:pPr>
      <w:r>
        <w:tab/>
        <w:t>(2)</w:t>
      </w:r>
      <w:r>
        <w:tab/>
        <w:t>For the purposes of COVID</w:t>
      </w:r>
      <w:r>
        <w:noBreakHyphen/>
        <w:t>19 management while a COVID</w:t>
      </w:r>
      <w:r>
        <w:noBreakHyphen/>
        <w:t xml:space="preserve">19 declaration is in force — </w:t>
      </w:r>
    </w:p>
    <w:p>
      <w:pPr>
        <w:pStyle w:val="Indenta"/>
      </w:pPr>
      <w:r>
        <w:tab/>
        <w:t>(a)</w:t>
      </w:r>
      <w:r>
        <w:tab/>
        <w:t>an authorised COVID</w:t>
      </w:r>
      <w:r>
        <w:noBreakHyphen/>
        <w:t xml:space="preserve">19 officer may disclose relevant information — </w:t>
      </w:r>
    </w:p>
    <w:p>
      <w:pPr>
        <w:pStyle w:val="Indenti"/>
      </w:pPr>
      <w:r>
        <w:tab/>
        <w:t>(i)</w:t>
      </w:r>
      <w:r>
        <w:tab/>
        <w:t>to an emergency management agency; and</w:t>
      </w:r>
    </w:p>
    <w:p>
      <w:pPr>
        <w:pStyle w:val="Indenti"/>
      </w:pPr>
      <w:r>
        <w:tab/>
        <w:t>(ii)</w:t>
      </w:r>
      <w:r>
        <w:tab/>
        <w:t>if the regulations so provide, to a person or entity engaged by an emergency management agency to provide welfare services, in accordance with those regulations;</w:t>
      </w:r>
    </w:p>
    <w:p>
      <w:pPr>
        <w:pStyle w:val="Indenta"/>
      </w:pPr>
      <w:r>
        <w:tab/>
      </w:r>
      <w:r>
        <w:tab/>
        <w:t>and</w:t>
      </w:r>
    </w:p>
    <w:p>
      <w:pPr>
        <w:pStyle w:val="Indenta"/>
      </w:pPr>
      <w:r>
        <w:tab/>
        <w:t>(b)</w:t>
      </w:r>
      <w:r>
        <w:tab/>
        <w:t>if the regulations so provide, an agency, person or entity to whom relevant information is disclosed under paragraph (a) may further disclose the information in accordance with those regulations.</w:t>
      </w:r>
    </w:p>
    <w:p>
      <w:pPr>
        <w:pStyle w:val="Subsection"/>
      </w:pPr>
      <w:r>
        <w:lastRenderedPageBreak/>
        <w:tab/>
        <w:t>(3)</w:t>
      </w:r>
      <w:r>
        <w:tab/>
        <w:t>For the purposes of COVID</w:t>
      </w:r>
      <w:r>
        <w:noBreakHyphen/>
        <w:t>19 management while a COVID</w:t>
      </w:r>
      <w:r>
        <w:noBreakHyphen/>
        <w:t>19 declaration is in force, an authorised COVID</w:t>
      </w:r>
      <w:r>
        <w:noBreakHyphen/>
        <w:t>19 officer may request an emergency management agency that holds relevant information to disclose the information to the authorised COVID</w:t>
      </w:r>
      <w:r>
        <w:noBreakHyphen/>
        <w:t>19 officer.</w:t>
      </w:r>
    </w:p>
    <w:p>
      <w:pPr>
        <w:pStyle w:val="Subsection"/>
      </w:pPr>
      <w:r>
        <w:tab/>
        <w:t>(4)</w:t>
      </w:r>
      <w:r>
        <w:tab/>
        <w:t>An emergency management agency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SEMC must establish procedures for the disclosure of information under subsection (2)(a)(i).</w:t>
      </w:r>
    </w:p>
    <w:p>
      <w:pPr>
        <w:pStyle w:val="Subsection"/>
      </w:pPr>
      <w:r>
        <w:tab/>
        <w:t>(7)</w:t>
      </w:r>
      <w:r>
        <w:tab/>
        <w:t xml:space="preserve">The regulations may include provisions about — </w:t>
      </w:r>
    </w:p>
    <w:p>
      <w:pPr>
        <w:pStyle w:val="Indenta"/>
      </w:pPr>
      <w:r>
        <w:tab/>
        <w:t>(a)</w:t>
      </w:r>
      <w:r>
        <w:tab/>
        <w:t>the circumstances in which information may be disclosed under this section; and</w:t>
      </w:r>
    </w:p>
    <w:p>
      <w:pPr>
        <w:pStyle w:val="Indenta"/>
      </w:pPr>
      <w:r>
        <w:tab/>
        <w:t>(b)</w:t>
      </w:r>
      <w:r>
        <w:tab/>
        <w:t>the agencies, persons and entities to whom information may be disclosed under this section; and</w:t>
      </w:r>
    </w:p>
    <w:p>
      <w:pPr>
        <w:pStyle w:val="Indenta"/>
      </w:pPr>
      <w:r>
        <w:tab/>
        <w:t>(c)</w:t>
      </w:r>
      <w:r>
        <w:tab/>
        <w:t>the conditions subject to which information may be disclosed under this section; and</w:t>
      </w:r>
    </w:p>
    <w:p>
      <w:pPr>
        <w:pStyle w:val="Indenta"/>
      </w:pPr>
      <w:r>
        <w:tab/>
        <w:t>(d)</w:t>
      </w:r>
      <w:r>
        <w:tab/>
        <w:t>the receipt and storage of information disclosed under this section; and</w:t>
      </w:r>
    </w:p>
    <w:p>
      <w:pPr>
        <w:pStyle w:val="Indenta"/>
      </w:pPr>
      <w:r>
        <w:tab/>
        <w:t>(e)</w:t>
      </w:r>
      <w:r>
        <w:tab/>
        <w:t>the restriction of access to such information.</w:t>
      </w:r>
    </w:p>
    <w:p>
      <w:pPr>
        <w:pStyle w:val="Footnotesection"/>
      </w:pPr>
      <w:bookmarkStart w:id="251" w:name="_Toc117777796"/>
      <w:r>
        <w:tab/>
        <w:t>[Section 77P inserted: No. 33 of 2022 s. 7.]</w:t>
      </w:r>
    </w:p>
    <w:p>
      <w:pPr>
        <w:pStyle w:val="Heading5"/>
      </w:pPr>
      <w:bookmarkStart w:id="252" w:name="_Toc118300088"/>
      <w:r>
        <w:rPr>
          <w:rStyle w:val="CharSectno"/>
        </w:rPr>
        <w:lastRenderedPageBreak/>
        <w:t>77Q</w:t>
      </w:r>
      <w:r>
        <w:t>.</w:t>
      </w:r>
      <w:r>
        <w:tab/>
        <w:t>General powers during COVID</w:t>
      </w:r>
      <w:r>
        <w:noBreakHyphen/>
        <w:t>19 declaration</w:t>
      </w:r>
      <w:bookmarkEnd w:id="251"/>
      <w:bookmarkEnd w:id="252"/>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relevant information as defined in section 77P(1); or</w:t>
      </w:r>
    </w:p>
    <w:p>
      <w:pPr>
        <w:pStyle w:val="Defpara"/>
      </w:pPr>
      <w:r>
        <w:tab/>
        <w:t>(b)</w:t>
      </w:r>
      <w:r>
        <w:tab/>
        <w:t>information of a kind specified by the State Emergency Coordinator as relevant to COVID</w:t>
      </w:r>
      <w:r>
        <w:noBreakHyphen/>
        <w:t>19 management.</w:t>
      </w:r>
    </w:p>
    <w:p>
      <w:pPr>
        <w:pStyle w:val="Subsection"/>
      </w:pPr>
      <w:r>
        <w:tab/>
        <w:t>(2)</w:t>
      </w:r>
      <w:r>
        <w:tab/>
        <w:t>While a COVID</w:t>
      </w:r>
      <w:r>
        <w:noBreakHyphen/>
        <w:t>19 declaration is in force, an authorised COVID</w:t>
      </w:r>
      <w:r>
        <w:noBreakHyphen/>
        <w:t>19 officer may take, or direct a person or a class of person to take, any action that the officer considers is reasonably necessary to prevent, control or abate risks associated with COVID</w:t>
      </w:r>
      <w:r>
        <w:noBreakHyphen/>
        <w:t>19.</w:t>
      </w:r>
    </w:p>
    <w:p>
      <w:pPr>
        <w:pStyle w:val="Subsection"/>
      </w:pPr>
      <w:r>
        <w:tab/>
        <w:t>(3)</w:t>
      </w:r>
      <w:r>
        <w:tab/>
        <w:t>For the purposes of COVID</w:t>
      </w:r>
      <w:r>
        <w:noBreakHyphen/>
        <w:t>19 management while a COVID</w:t>
      </w:r>
      <w:r>
        <w:noBreakHyphen/>
        <w:t>19 declaration is in force, an authorised COVID</w:t>
      </w:r>
      <w:r>
        <w:noBreakHyphen/>
        <w:t xml:space="preserve">19 officer may direct a person to — </w:t>
      </w:r>
    </w:p>
    <w:p>
      <w:pPr>
        <w:pStyle w:val="Indenta"/>
      </w:pPr>
      <w:r>
        <w:tab/>
        <w:t>(a)</w:t>
      </w:r>
      <w:r>
        <w:tab/>
        <w:t>give to the officer relevant information about the person or any other person closely associated with the person; or</w:t>
      </w:r>
    </w:p>
    <w:p>
      <w:pPr>
        <w:pStyle w:val="Indenta"/>
      </w:pPr>
      <w:r>
        <w:tab/>
        <w:t>(b)</w:t>
      </w:r>
      <w:r>
        <w:tab/>
        <w:t>answer questions intended to elicit relevant information about the person or any other person closely associated with the person.</w:t>
      </w:r>
    </w:p>
    <w:p>
      <w:pPr>
        <w:pStyle w:val="Subsection"/>
      </w:pPr>
      <w:r>
        <w:tab/>
        <w:t>(4)</w:t>
      </w:r>
      <w:r>
        <w:tab/>
        <w:t>A person is not excused from complying with a direction given to the person under subsection (3) on the ground that giving the information or answering the question might tend to incriminate the person or expose the person to a criminal penalty.</w:t>
      </w:r>
    </w:p>
    <w:p>
      <w:pPr>
        <w:pStyle w:val="Subsection"/>
      </w:pPr>
      <w:r>
        <w:tab/>
        <w:t>(5)</w:t>
      </w:r>
      <w:r>
        <w:tab/>
        <w:t>However, any information or answer given by a person in compliance with a direction given to the person under subsection (3) is not admissible in evidence in any criminal proceedings against the person other than proceedings for an offence under section 89.</w:t>
      </w:r>
    </w:p>
    <w:p>
      <w:pPr>
        <w:pStyle w:val="Subsection"/>
        <w:keepNext/>
      </w:pPr>
      <w:r>
        <w:lastRenderedPageBreak/>
        <w:tab/>
        <w:t>(6)</w:t>
      </w:r>
      <w:r>
        <w:tab/>
        <w:t>The powers conferred by this section are in addition to the powers conferred by sections 77K to 77P and nothing in those sections or in Part 6 limits the powers conferred by this section.</w:t>
      </w:r>
    </w:p>
    <w:p>
      <w:pPr>
        <w:pStyle w:val="Footnotesection"/>
      </w:pPr>
      <w:bookmarkStart w:id="253" w:name="_Toc117777797"/>
      <w:r>
        <w:tab/>
        <w:t>[Section 77Q inserted: No. 33 of 2022 s. 7.]</w:t>
      </w:r>
    </w:p>
    <w:p>
      <w:pPr>
        <w:pStyle w:val="Heading5"/>
      </w:pPr>
      <w:bookmarkStart w:id="254" w:name="_Toc118300089"/>
      <w:r>
        <w:rPr>
          <w:rStyle w:val="CharSectno"/>
        </w:rPr>
        <w:t>77R</w:t>
      </w:r>
      <w:r>
        <w:t>.</w:t>
      </w:r>
      <w:r>
        <w:tab/>
        <w:t>Powers under this Division cannot be exercised to effect interstate border closure</w:t>
      </w:r>
      <w:bookmarkEnd w:id="253"/>
      <w:bookmarkEnd w:id="254"/>
    </w:p>
    <w:p>
      <w:pPr>
        <w:pStyle w:val="Subsection"/>
      </w:pPr>
      <w:r>
        <w:tab/>
        <w:t>(1)</w:t>
      </w:r>
      <w:r>
        <w:tab/>
        <w:t>A power under this Division cannot be exercised —</w:t>
      </w:r>
    </w:p>
    <w:p>
      <w:pPr>
        <w:pStyle w:val="Indenta"/>
      </w:pPr>
      <w:r>
        <w:tab/>
        <w:t>(a)</w:t>
      </w:r>
      <w:r>
        <w:tab/>
        <w:t>to prohibit or prevent persons from entering the State from any other State or any Territory; or</w:t>
      </w:r>
    </w:p>
    <w:p>
      <w:pPr>
        <w:pStyle w:val="Indenta"/>
      </w:pPr>
      <w:r>
        <w:tab/>
        <w:t>(b)</w:t>
      </w:r>
      <w:r>
        <w:tab/>
        <w:t>to require persons to make an application, or obtain a pass or permit, to enter the State from any other State or any Territory.</w:t>
      </w:r>
    </w:p>
    <w:p>
      <w:pPr>
        <w:pStyle w:val="Subsection"/>
      </w:pPr>
      <w:r>
        <w:tab/>
        <w:t>(2)</w:t>
      </w:r>
      <w:r>
        <w:tab/>
        <w:t>Subsection (1) applies whether or not the exercise of the power is subject to exceptions or applies only to a class of persons entering from the other State or Territory (for example, to persons entering from a particular area of the other State or Territory).</w:t>
      </w:r>
    </w:p>
    <w:p>
      <w:pPr>
        <w:pStyle w:val="Subsection"/>
      </w:pPr>
      <w:r>
        <w:tab/>
        <w:t>(3)</w:t>
      </w:r>
      <w:r>
        <w:tab/>
        <w:t>Nothing in this section affects the powers that can be exercised under Part 6 during an emergency situation or state of emergency.</w:t>
      </w:r>
    </w:p>
    <w:p>
      <w:pPr>
        <w:pStyle w:val="Footnotesection"/>
      </w:pPr>
      <w:bookmarkStart w:id="255" w:name="_Toc117777798"/>
      <w:r>
        <w:tab/>
        <w:t>[Section 77R inserted: No. 33 of 2022 s. 7.]</w:t>
      </w:r>
    </w:p>
    <w:p>
      <w:pPr>
        <w:pStyle w:val="Heading3"/>
      </w:pPr>
      <w:bookmarkStart w:id="256" w:name="_Toc117779418"/>
      <w:bookmarkStart w:id="257" w:name="_Toc117845340"/>
      <w:bookmarkStart w:id="258" w:name="_Toc118299726"/>
      <w:bookmarkStart w:id="259" w:name="_Toc118300090"/>
      <w:r>
        <w:rPr>
          <w:rStyle w:val="CharDivNo"/>
        </w:rPr>
        <w:t>Division 5</w:t>
      </w:r>
      <w:r>
        <w:t> — </w:t>
      </w:r>
      <w:r>
        <w:rPr>
          <w:rStyle w:val="CharDivText"/>
        </w:rPr>
        <w:t>Miscellaneous</w:t>
      </w:r>
      <w:bookmarkEnd w:id="255"/>
      <w:bookmarkEnd w:id="256"/>
      <w:bookmarkEnd w:id="257"/>
      <w:bookmarkEnd w:id="258"/>
      <w:bookmarkEnd w:id="259"/>
    </w:p>
    <w:p>
      <w:pPr>
        <w:pStyle w:val="Footnoteheading"/>
        <w:keepNext/>
      </w:pPr>
      <w:bookmarkStart w:id="260" w:name="_Toc117777799"/>
      <w:r>
        <w:tab/>
        <w:t>[Heading inserted: No. 33 of 2022 s. 7.]</w:t>
      </w:r>
    </w:p>
    <w:p>
      <w:pPr>
        <w:pStyle w:val="Heading5"/>
      </w:pPr>
      <w:bookmarkStart w:id="261" w:name="_Toc118300091"/>
      <w:r>
        <w:rPr>
          <w:rStyle w:val="CharSectno"/>
        </w:rPr>
        <w:t>77S</w:t>
      </w:r>
      <w:r>
        <w:t>.</w:t>
      </w:r>
      <w:r>
        <w:tab/>
        <w:t>General provisions regarding powers</w:t>
      </w:r>
      <w:bookmarkEnd w:id="260"/>
      <w:bookmarkEnd w:id="261"/>
    </w:p>
    <w:p>
      <w:pPr>
        <w:pStyle w:val="Subsection"/>
      </w:pPr>
      <w:r>
        <w:tab/>
        <w:t>(1)</w:t>
      </w:r>
      <w:r>
        <w:tab/>
        <w:t xml:space="preserve">In this section — </w:t>
      </w:r>
    </w:p>
    <w:p>
      <w:pPr>
        <w:pStyle w:val="Defstart"/>
      </w:pPr>
      <w:r>
        <w:rPr>
          <w:b/>
        </w:rPr>
        <w:tab/>
      </w:r>
      <w:r>
        <w:rPr>
          <w:rStyle w:val="CharDefText"/>
        </w:rPr>
        <w:t>officer</w:t>
      </w:r>
      <w:r>
        <w:t xml:space="preserve"> means an authorised COVID</w:t>
      </w:r>
      <w:r>
        <w:noBreakHyphen/>
        <w:t>19 officer or a police officer.</w:t>
      </w:r>
    </w:p>
    <w:p>
      <w:pPr>
        <w:pStyle w:val="Subsection"/>
      </w:pPr>
      <w:r>
        <w:tab/>
        <w:t>(2)</w:t>
      </w:r>
      <w:r>
        <w:tab/>
        <w:t xml:space="preserve">If a person does not comply with a direction under this Part, an officer may do all such things as are reasonably necessary to </w:t>
      </w:r>
      <w:r>
        <w:lastRenderedPageBreak/>
        <w:t>ensure compliance with the direction, using such force as is reasonable in the circumstances.</w:t>
      </w:r>
    </w:p>
    <w:p>
      <w:pPr>
        <w:pStyle w:val="Subsection"/>
      </w:pPr>
      <w:r>
        <w:tab/>
        <w:t>(3)</w:t>
      </w:r>
      <w:r>
        <w:tab/>
        <w:t>An officer may exercise a power under this Part with the help, and using the force, that is reasonable in the circumstances.</w:t>
      </w:r>
    </w:p>
    <w:p>
      <w:pPr>
        <w:pStyle w:val="Subsection"/>
      </w:pPr>
      <w:r>
        <w:tab/>
        <w:t>(4)</w:t>
      </w:r>
      <w:r>
        <w:tab/>
        <w:t>The powers of an officer under this Part are in addition to, and not in derogation from, the powers the person may have under another written law or other law.</w:t>
      </w:r>
    </w:p>
    <w:p>
      <w:pPr>
        <w:pStyle w:val="Footnotesection"/>
      </w:pPr>
      <w:bookmarkStart w:id="262" w:name="_Toc117777800"/>
      <w:r>
        <w:tab/>
        <w:t>[Section 77S inserted: No. 33 of 2022 s. 7.]</w:t>
      </w:r>
    </w:p>
    <w:p>
      <w:pPr>
        <w:pStyle w:val="Heading5"/>
      </w:pPr>
      <w:bookmarkStart w:id="263" w:name="_Toc118300092"/>
      <w:r>
        <w:rPr>
          <w:rStyle w:val="CharSectno"/>
        </w:rPr>
        <w:t>77T</w:t>
      </w:r>
      <w:r>
        <w:t>.</w:t>
      </w:r>
      <w:r>
        <w:tab/>
        <w:t>General provisions regarding directions</w:t>
      </w:r>
      <w:bookmarkEnd w:id="262"/>
      <w:bookmarkEnd w:id="263"/>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(3)</w:t>
      </w:r>
      <w:r>
        <w:tab/>
        <w:t xml:space="preserve">A direction under section 77L, 77N, 77O or 77Q(2) that is given in relation to a class of person, place or thing — </w:t>
      </w:r>
    </w:p>
    <w:p>
      <w:pPr>
        <w:pStyle w:val="Indenta"/>
      </w:pPr>
      <w:r>
        <w:tab/>
        <w:t>(a)</w:t>
      </w:r>
      <w:r>
        <w:tab/>
        <w:t>need not be given directly to the persons to whom it applies; and</w:t>
      </w:r>
    </w:p>
    <w:p>
      <w:pPr>
        <w:pStyle w:val="Indenta"/>
      </w:pPr>
      <w:r>
        <w:tab/>
        <w:t>(b)</w:t>
      </w:r>
      <w:r>
        <w:tab/>
        <w:t xml:space="preserve">despite the </w:t>
      </w:r>
      <w:r>
        <w:rPr>
          <w:i/>
        </w:rPr>
        <w:t>Interpretation Act 1984</w:t>
      </w:r>
      <w:r>
        <w:t xml:space="preserve"> section 41 (to the extent to which it applies), need not be published in the </w:t>
      </w:r>
      <w:r>
        <w:rPr>
          <w:i/>
        </w:rPr>
        <w:t>Gazette</w:t>
      </w:r>
      <w:r>
        <w:t>; and</w:t>
      </w:r>
    </w:p>
    <w:p>
      <w:pPr>
        <w:pStyle w:val="Indenta"/>
      </w:pPr>
      <w:r>
        <w:tab/>
        <w:t>(c)</w:t>
      </w:r>
      <w:r>
        <w:tab/>
        <w:t>must be published in the manner that the State Emergency Coordinator considers suitable in the circumstances.</w:t>
      </w:r>
    </w:p>
    <w:p>
      <w:pPr>
        <w:pStyle w:val="Subsection"/>
      </w:pPr>
      <w:r>
        <w:tab/>
        <w:t>(4)</w:t>
      </w:r>
      <w:r>
        <w:tab/>
        <w:t>Failure to comply with subsection (2) or (3)(c) does not invalidate the direction.</w:t>
      </w:r>
    </w:p>
    <w:p>
      <w:pPr>
        <w:pStyle w:val="Footnotesection"/>
      </w:pPr>
      <w:bookmarkStart w:id="264" w:name="_Toc117777801"/>
      <w:r>
        <w:tab/>
        <w:t>[Section 77T inserted: No. 33 of 2022 s. 7.]</w:t>
      </w:r>
    </w:p>
    <w:p>
      <w:pPr>
        <w:pStyle w:val="Heading5"/>
      </w:pPr>
      <w:bookmarkStart w:id="265" w:name="_Toc118300093"/>
      <w:r>
        <w:rPr>
          <w:rStyle w:val="CharSectno"/>
        </w:rPr>
        <w:lastRenderedPageBreak/>
        <w:t>77U</w:t>
      </w:r>
      <w:r>
        <w:t>.</w:t>
      </w:r>
      <w:r>
        <w:tab/>
        <w:t>Establishment of State Emergency Coordination Group for COVID</w:t>
      </w:r>
      <w:r>
        <w:noBreakHyphen/>
        <w:t>19</w:t>
      </w:r>
      <w:bookmarkEnd w:id="264"/>
      <w:bookmarkEnd w:id="265"/>
    </w:p>
    <w:p>
      <w:pPr>
        <w:pStyle w:val="Subsection"/>
      </w:pPr>
      <w:r>
        <w:tab/>
        <w:t>(1)</w:t>
      </w:r>
      <w:r>
        <w:tab/>
        <w:t>If a COVID</w:t>
      </w:r>
      <w:r>
        <w:noBreakHyphen/>
        <w:t>19 declaration is in force, the State Emergency Coordinator may establish a State Emergency Coordination Group in relation to COVID</w:t>
      </w:r>
      <w:r>
        <w:noBreakHyphen/>
        <w:t>19.</w:t>
      </w:r>
    </w:p>
    <w:p>
      <w:pPr>
        <w:pStyle w:val="Subsection"/>
      </w:pPr>
      <w:r>
        <w:tab/>
        <w:t>(2)</w:t>
      </w:r>
      <w:r>
        <w:tab/>
        <w:t xml:space="preserve">A reference in this Act to the </w:t>
      </w:r>
      <w:r>
        <w:rPr>
          <w:rStyle w:val="CharDefText"/>
        </w:rPr>
        <w:t>State Emergency Coordination Group</w:t>
      </w:r>
      <w:r>
        <w:t xml:space="preserve"> includes a reference to a State Emergency Coordination Group established under subsection (1).</w:t>
      </w:r>
    </w:p>
    <w:p>
      <w:pPr>
        <w:pStyle w:val="Subsection"/>
      </w:pPr>
      <w:r>
        <w:tab/>
        <w:t>(3)</w:t>
      </w:r>
      <w:r>
        <w:tab/>
        <w:t xml:space="preserve">Despite section 26(3)(e), a State Emergency Coordination Group established under subsection (1) — </w:t>
      </w:r>
    </w:p>
    <w:p>
      <w:pPr>
        <w:pStyle w:val="Indenta"/>
      </w:pPr>
      <w:r>
        <w:tab/>
        <w:t>(a)</w:t>
      </w:r>
      <w:r>
        <w:tab/>
        <w:t>is not required to include the person referred to in that section; and</w:t>
      </w:r>
    </w:p>
    <w:p>
      <w:pPr>
        <w:pStyle w:val="Indenta"/>
      </w:pPr>
      <w:r>
        <w:tab/>
        <w:t>(b)</w:t>
      </w:r>
      <w:r>
        <w:tab/>
        <w:t>must instead include a person nominated by the State Emergency Coordinator as a representative of all local governments in the State.</w:t>
      </w:r>
    </w:p>
    <w:p>
      <w:pPr>
        <w:pStyle w:val="Subsection"/>
      </w:pPr>
      <w:r>
        <w:tab/>
        <w:t>(4)</w:t>
      </w:r>
      <w:r>
        <w:tab/>
        <w:t>A State Emergency Coordination Group established under subsection (1) continues until the day determined under section 26(6), even if the COVID</w:t>
      </w:r>
      <w:r>
        <w:noBreakHyphen/>
        <w:t>19 declaration referred to in subsection (1) ceases to be in force.</w:t>
      </w:r>
    </w:p>
    <w:p>
      <w:pPr>
        <w:pStyle w:val="Subsection"/>
      </w:pPr>
      <w:r>
        <w:tab/>
        <w:t>(5)</w:t>
      </w:r>
      <w:r>
        <w:tab/>
        <w:t>During any period when a COVID</w:t>
      </w:r>
      <w:r>
        <w:noBreakHyphen/>
        <w:t>19 declaration is in force, a State Emergency Coordination Group established under subsection (1) may exercise functions under section 27 as if the references in section 27(a) and (b) to emergency management were references to COVID</w:t>
      </w:r>
      <w:r>
        <w:noBreakHyphen/>
        <w:t>19 management.</w:t>
      </w:r>
    </w:p>
    <w:p>
      <w:pPr>
        <w:pStyle w:val="Subsection"/>
      </w:pPr>
      <w:r>
        <w:tab/>
        <w:t>(6)</w:t>
      </w:r>
      <w:r>
        <w:tab/>
        <w:t>If a state of emergency in relation to COVID</w:t>
      </w:r>
      <w:r>
        <w:noBreakHyphen/>
        <w:t xml:space="preserve">19 is declared at a time when there is a State Emergency Coordination Group established under subsection (1) — </w:t>
      </w:r>
    </w:p>
    <w:p>
      <w:pPr>
        <w:pStyle w:val="Indenta"/>
      </w:pPr>
      <w:r>
        <w:tab/>
        <w:t>(a)</w:t>
      </w:r>
      <w:r>
        <w:tab/>
        <w:t>section 26(1) does not operate to establish another State Emergency Coordination Group; and</w:t>
      </w:r>
    </w:p>
    <w:p>
      <w:pPr>
        <w:pStyle w:val="Indenta"/>
      </w:pPr>
      <w:r>
        <w:tab/>
        <w:t>(b)</w:t>
      </w:r>
      <w:r>
        <w:tab/>
        <w:t>the State Emergency Coordination Group established under subsection (1) may exercise functions under section 27 in relation to that state of emergency.</w:t>
      </w:r>
    </w:p>
    <w:p>
      <w:pPr>
        <w:pStyle w:val="Subsection"/>
      </w:pPr>
      <w:r>
        <w:lastRenderedPageBreak/>
        <w:tab/>
        <w:t>(7)</w:t>
      </w:r>
      <w:r>
        <w:tab/>
        <w:t>Nothing in this section prevents the membership of a State Emergency Coordination Group established under subsection (1) from changing in accordance with this Act.</w:t>
      </w:r>
    </w:p>
    <w:p>
      <w:pPr>
        <w:pStyle w:val="Footnotesection"/>
      </w:pPr>
      <w:bookmarkStart w:id="266" w:name="_Toc117777802"/>
      <w:r>
        <w:tab/>
        <w:t>[Section 77U inserted: No. 33 of 2022 s. 7.]</w:t>
      </w:r>
    </w:p>
    <w:p>
      <w:pPr>
        <w:pStyle w:val="Heading5"/>
      </w:pPr>
      <w:bookmarkStart w:id="267" w:name="_Toc118300094"/>
      <w:r>
        <w:rPr>
          <w:rStyle w:val="CharSectno"/>
        </w:rPr>
        <w:t>77V</w:t>
      </w:r>
      <w:r>
        <w:t>.</w:t>
      </w:r>
      <w:r>
        <w:tab/>
        <w:t>Continuation of State Disaster Council for COVID</w:t>
      </w:r>
      <w:r>
        <w:noBreakHyphen/>
        <w:t>19</w:t>
      </w:r>
      <w:bookmarkEnd w:id="266"/>
      <w:bookmarkEnd w:id="267"/>
    </w:p>
    <w:p>
      <w:pPr>
        <w:pStyle w:val="Subsection"/>
      </w:pPr>
      <w:r>
        <w:tab/>
        <w:t>(1)</w:t>
      </w:r>
      <w:r>
        <w:tab/>
        <w:t xml:space="preserve">In this section — </w:t>
      </w:r>
    </w:p>
    <w:p>
      <w:pPr>
        <w:pStyle w:val="Defstart"/>
      </w:pPr>
      <w:r>
        <w:tab/>
      </w:r>
      <w:r>
        <w:rPr>
          <w:rStyle w:val="CharDefText"/>
        </w:rPr>
        <w:t>2020 COVID</w:t>
      </w:r>
      <w:r>
        <w:rPr>
          <w:rStyle w:val="CharDefText"/>
        </w:rPr>
        <w:noBreakHyphen/>
        <w:t>19 state of emergency declaration</w:t>
      </w:r>
      <w:r>
        <w:t xml:space="preserve"> means the state of emergency declaration in relation to COVID</w:t>
      </w:r>
      <w:r>
        <w:noBreakHyphen/>
        <w:t>19 that came into effect on 16 March 2020.</w:t>
      </w:r>
    </w:p>
    <w:p>
      <w:pPr>
        <w:pStyle w:val="Subsection"/>
      </w:pPr>
      <w:r>
        <w:tab/>
        <w:t>(2)</w:t>
      </w:r>
      <w:r>
        <w:tab/>
        <w:t>The State Disaster Council established for the state of emergency declared by the 2020 COVID</w:t>
      </w:r>
      <w:r>
        <w:noBreakHyphen/>
        <w:t>19 state of emergency declaration continues until the day determined under section 63(8), even if that declaration ceases to be in force.</w:t>
      </w:r>
    </w:p>
    <w:p>
      <w:pPr>
        <w:pStyle w:val="Subsection"/>
      </w:pPr>
      <w:r>
        <w:tab/>
        <w:t>(3)</w:t>
      </w:r>
      <w:r>
        <w:tab/>
        <w:t>During any period when a COVID</w:t>
      </w:r>
      <w:r>
        <w:noBreakHyphen/>
        <w:t>19 declaration is in force, the State Disaster Council referred to in subsection (2) may exercise functions under section 64 as if a reference in that section to the state of emergency were a reference to COVID</w:t>
      </w:r>
      <w:r>
        <w:noBreakHyphen/>
        <w:t>19 management.</w:t>
      </w:r>
    </w:p>
    <w:p>
      <w:pPr>
        <w:pStyle w:val="Subsection"/>
      </w:pPr>
      <w:r>
        <w:tab/>
        <w:t>(4)</w:t>
      </w:r>
      <w:r>
        <w:tab/>
        <w:t>If a further state of emergency in relation to COVID</w:t>
      </w:r>
      <w:r>
        <w:noBreakHyphen/>
        <w:t xml:space="preserve">19 is declared at a time when the State Disaster Council referred to in subsection (2) continues to be established — </w:t>
      </w:r>
    </w:p>
    <w:p>
      <w:pPr>
        <w:pStyle w:val="Indenta"/>
      </w:pPr>
      <w:r>
        <w:tab/>
        <w:t>(a)</w:t>
      </w:r>
      <w:r>
        <w:tab/>
        <w:t>section 63(1) does not operate to establish another State Disaster Council; and</w:t>
      </w:r>
    </w:p>
    <w:p>
      <w:pPr>
        <w:pStyle w:val="Indenta"/>
      </w:pPr>
      <w:r>
        <w:tab/>
        <w:t>(b)</w:t>
      </w:r>
      <w:r>
        <w:tab/>
        <w:t>the State Disaster Council referred to in subsection (2) may exercise functions under section 64 in relation to that state of emergency.</w:t>
      </w:r>
    </w:p>
    <w:p>
      <w:pPr>
        <w:pStyle w:val="Subsection"/>
      </w:pPr>
      <w:r>
        <w:tab/>
        <w:t>(5)</w:t>
      </w:r>
      <w:r>
        <w:tab/>
        <w:t>Nothing in this section prevents the membership of the State Disaster Council referred to in subsection (2) from changing in accordance with this Act.</w:t>
      </w:r>
    </w:p>
    <w:p>
      <w:pPr>
        <w:pStyle w:val="Footnotesection"/>
      </w:pPr>
      <w:bookmarkStart w:id="268" w:name="_Toc117777803"/>
      <w:r>
        <w:tab/>
        <w:t>[Section 77V inserted: No. 33 of 2022 s. 7.]</w:t>
      </w:r>
    </w:p>
    <w:p>
      <w:pPr>
        <w:pStyle w:val="Heading5"/>
      </w:pPr>
      <w:bookmarkStart w:id="269" w:name="_Toc118300095"/>
      <w:r>
        <w:rPr>
          <w:rStyle w:val="CharSectno"/>
        </w:rPr>
        <w:lastRenderedPageBreak/>
        <w:t>77W</w:t>
      </w:r>
      <w:r>
        <w:t>.</w:t>
      </w:r>
      <w:r>
        <w:tab/>
        <w:t>Modification of State and local arrangements</w:t>
      </w:r>
      <w:bookmarkEnd w:id="268"/>
      <w:bookmarkEnd w:id="269"/>
    </w:p>
    <w:p>
      <w:pPr>
        <w:pStyle w:val="Subsection"/>
      </w:pPr>
      <w:r>
        <w:tab/>
        <w:t>(1)</w:t>
      </w:r>
      <w:r>
        <w:tab/>
        <w:t xml:space="preserve">While this Part is in operation — </w:t>
      </w:r>
    </w:p>
    <w:p>
      <w:pPr>
        <w:pStyle w:val="Indenta"/>
      </w:pPr>
      <w:r>
        <w:tab/>
        <w:t>(a)</w:t>
      </w:r>
      <w:r>
        <w:tab/>
        <w:t>the following may, but are not required to, include provision in relation to COVID</w:t>
      </w:r>
      <w:r>
        <w:noBreakHyphen/>
        <w:t xml:space="preserve">19 management — </w:t>
      </w:r>
    </w:p>
    <w:p>
      <w:pPr>
        <w:pStyle w:val="Indenti"/>
      </w:pPr>
      <w:r>
        <w:tab/>
        <w:t>(i)</w:t>
      </w:r>
      <w:r>
        <w:tab/>
        <w:t>State emergency management policies;</w:t>
      </w:r>
    </w:p>
    <w:p>
      <w:pPr>
        <w:pStyle w:val="Indenti"/>
      </w:pPr>
      <w:r>
        <w:tab/>
        <w:t>(ii)</w:t>
      </w:r>
      <w:r>
        <w:tab/>
        <w:t>State emergency management plans;</w:t>
      </w:r>
    </w:p>
    <w:p>
      <w:pPr>
        <w:pStyle w:val="Indenti"/>
      </w:pPr>
      <w:r>
        <w:tab/>
        <w:t>(iii)</w:t>
      </w:r>
      <w:r>
        <w:tab/>
        <w:t>emergency management arrangements for an emergency management district;</w:t>
      </w:r>
    </w:p>
    <w:p>
      <w:pPr>
        <w:pStyle w:val="Indenti"/>
      </w:pPr>
      <w:r>
        <w:tab/>
        <w:t>(iv)</w:t>
      </w:r>
      <w:r>
        <w:tab/>
        <w:t>local emergency management arrangements (as defined in section 41(1));</w:t>
      </w:r>
    </w:p>
    <w:p>
      <w:pPr>
        <w:pStyle w:val="Indenta"/>
      </w:pPr>
      <w:r>
        <w:tab/>
      </w:r>
      <w:r>
        <w:tab/>
        <w:t>and</w:t>
      </w:r>
    </w:p>
    <w:p>
      <w:pPr>
        <w:pStyle w:val="Indenta"/>
      </w:pPr>
      <w:r>
        <w:tab/>
        <w:t>(b)</w:t>
      </w:r>
      <w:r>
        <w:tab/>
        <w:t>the SEMC, a district emergency coordinator, a district emergency management committee, a local emergency coordinator, a local emergency management committee or a local government (as the case requires) may carry out functions under Part 2 or 3 in relation to those policies, plans and arrangements accordingly.</w:t>
      </w:r>
    </w:p>
    <w:p>
      <w:pPr>
        <w:pStyle w:val="Subsection"/>
      </w:pPr>
      <w:r>
        <w:tab/>
        <w:t>(2)</w:t>
      </w:r>
      <w:r>
        <w:tab/>
        <w:t xml:space="preserve">While this Part is in operation, without limiting any other functions conferred by this Act — </w:t>
      </w:r>
    </w:p>
    <w:p>
      <w:pPr>
        <w:pStyle w:val="Indenta"/>
      </w:pPr>
      <w:r>
        <w:tab/>
        <w:t>(a)</w:t>
      </w:r>
      <w:r>
        <w:tab/>
        <w:t>a district emergency coordinator may carry out COVID</w:t>
      </w:r>
      <w:r>
        <w:noBreakHyphen/>
        <w:t>19 management functions in accordance with the directions of the State Emergency Coordinator; and</w:t>
      </w:r>
    </w:p>
    <w:p>
      <w:pPr>
        <w:pStyle w:val="Indenta"/>
      </w:pPr>
      <w:r>
        <w:tab/>
        <w:t>(b)</w:t>
      </w:r>
      <w:r>
        <w:tab/>
        <w:t>a local emergency coordinator or local emergency management committee may carry out COVID</w:t>
      </w:r>
      <w:r>
        <w:noBreakHyphen/>
        <w:t>19 management activities in accordance with the directions of the State Emergency Coordinator; and</w:t>
      </w:r>
    </w:p>
    <w:p>
      <w:pPr>
        <w:pStyle w:val="Indenta"/>
      </w:pPr>
      <w:r>
        <w:tab/>
        <w:t>(c)</w:t>
      </w:r>
      <w:r>
        <w:tab/>
        <w:t>a local emergency coordinator may assist hazard management agencies in the provision of a coordinated response to COVID</w:t>
      </w:r>
      <w:r>
        <w:noBreakHyphen/>
        <w:t>19 while a COVID</w:t>
      </w:r>
      <w:r>
        <w:noBreakHyphen/>
        <w:t>19 declaration is in force.</w:t>
      </w:r>
    </w:p>
    <w:p>
      <w:pPr>
        <w:pStyle w:val="Footnotesection"/>
      </w:pPr>
      <w:bookmarkStart w:id="270" w:name="_Toc117777804"/>
      <w:r>
        <w:tab/>
        <w:t>[Section 77W inserted: No. 33 of 2022 s. 7.]</w:t>
      </w:r>
    </w:p>
    <w:p>
      <w:pPr>
        <w:pStyle w:val="Heading5"/>
      </w:pPr>
      <w:bookmarkStart w:id="271" w:name="_Toc118300096"/>
      <w:r>
        <w:rPr>
          <w:rStyle w:val="CharSectno"/>
        </w:rPr>
        <w:lastRenderedPageBreak/>
        <w:t>77X</w:t>
      </w:r>
      <w:r>
        <w:t>.</w:t>
      </w:r>
      <w:r>
        <w:tab/>
        <w:t>Modification of other provisions of this Act</w:t>
      </w:r>
      <w:bookmarkEnd w:id="270"/>
      <w:bookmarkEnd w:id="271"/>
    </w:p>
    <w:p>
      <w:pPr>
        <w:pStyle w:val="Subsection"/>
      </w:pPr>
      <w:r>
        <w:tab/>
        <w:t>(1)</w:t>
      </w:r>
      <w:r>
        <w:tab/>
        <w:t xml:space="preserve">While this Part is in operation, the following provisions of this Act are modified as follows — </w:t>
      </w:r>
    </w:p>
    <w:p>
      <w:pPr>
        <w:pStyle w:val="Indenta"/>
      </w:pPr>
      <w:r>
        <w:tab/>
        <w:t>(a)</w:t>
      </w:r>
      <w:r>
        <w:tab/>
        <w:t xml:space="preserve">section 11 is to be read as if — </w:t>
      </w:r>
    </w:p>
    <w:p>
      <w:pPr>
        <w:pStyle w:val="Indenti"/>
      </w:pPr>
      <w:r>
        <w:tab/>
        <w:t>(i)</w:t>
      </w:r>
      <w:r>
        <w:tab/>
        <w:t>a reference to an emergency included a reference to COVID</w:t>
      </w:r>
      <w:r>
        <w:noBreakHyphen/>
        <w:t>19; and</w:t>
      </w:r>
    </w:p>
    <w:p>
      <w:pPr>
        <w:pStyle w:val="Indenti"/>
      </w:pPr>
      <w:r>
        <w:tab/>
        <w:t>(ii)</w:t>
      </w:r>
      <w:r>
        <w:tab/>
        <w:t>a reference to a state of emergency included a reference to a period when a COVID</w:t>
      </w:r>
      <w:r>
        <w:noBreakHyphen/>
        <w:t>19 declaration is in force; and</w:t>
      </w:r>
    </w:p>
    <w:p>
      <w:pPr>
        <w:pStyle w:val="Indenti"/>
      </w:pPr>
      <w:r>
        <w:tab/>
        <w:t>(iii)</w:t>
      </w:r>
      <w:r>
        <w:tab/>
        <w:t>a reference to emergency management activities included a reference to COVID</w:t>
      </w:r>
      <w:r>
        <w:noBreakHyphen/>
        <w:t>19 management activities;</w:t>
      </w:r>
    </w:p>
    <w:p>
      <w:pPr>
        <w:pStyle w:val="Indenta"/>
      </w:pPr>
      <w:r>
        <w:tab/>
        <w:t>(b)</w:t>
      </w:r>
      <w:r>
        <w:tab/>
        <w:t xml:space="preserve">sections 62, 85, 88 and 89 and the definition of </w:t>
      </w:r>
      <w:r>
        <w:rPr>
          <w:b/>
          <w:i/>
        </w:rPr>
        <w:t>official</w:t>
      </w:r>
      <w:r>
        <w:t xml:space="preserve"> in section 100(6) are to be read as if a reference to an authorised officer included a reference to an authorised COVID</w:t>
      </w:r>
      <w:r>
        <w:noBreakHyphen/>
        <w:t>19 officer;</w:t>
      </w:r>
    </w:p>
    <w:p>
      <w:pPr>
        <w:pStyle w:val="Indenta"/>
      </w:pPr>
      <w:r>
        <w:tab/>
        <w:t>(c)</w:t>
      </w:r>
      <w:r>
        <w:tab/>
        <w:t>sections 78(1) and 79(1) are to be read as if a reference to a power under section 46, 47, 48, 69 or 75(1)(f) included a reference to a power under section 77M;</w:t>
      </w:r>
    </w:p>
    <w:p>
      <w:pPr>
        <w:pStyle w:val="Indenta"/>
      </w:pPr>
      <w:r>
        <w:tab/>
        <w:t>(d)</w:t>
      </w:r>
      <w:r>
        <w:tab/>
        <w:t>section 84(1)(a) is to be read as if a reference to an emergency included a reference to COVID</w:t>
      </w:r>
      <w:r>
        <w:noBreakHyphen/>
        <w:t>19;</w:t>
      </w:r>
    </w:p>
    <w:p>
      <w:pPr>
        <w:pStyle w:val="Indenta"/>
      </w:pPr>
      <w:r>
        <w:tab/>
        <w:t>(e)</w:t>
      </w:r>
      <w:r>
        <w:tab/>
        <w:t>section 86(1) is to be read as if a reference to a direction under section 47, 67, 70, 71, 72A or 75(1)(i) included a reference to a direction under section 77L, 77M(4), 77N, 77O or 77Q;</w:t>
      </w:r>
    </w:p>
    <w:p>
      <w:pPr>
        <w:pStyle w:val="Indenta"/>
      </w:pPr>
      <w:r>
        <w:tab/>
        <w:t>(f)</w:t>
      </w:r>
      <w:r>
        <w:tab/>
        <w:t>section 96(1)(a) is to be read as if a reference to emergency management during an emergency situation or a state of emergency included a reference to COVID</w:t>
      </w:r>
      <w:r>
        <w:noBreakHyphen/>
        <w:t>19 management while a COVID</w:t>
      </w:r>
      <w:r>
        <w:noBreakHyphen/>
        <w:t>19 declaration is in force;</w:t>
      </w:r>
    </w:p>
    <w:p>
      <w:pPr>
        <w:pStyle w:val="Indenta"/>
        <w:keepNext/>
      </w:pPr>
      <w:r>
        <w:lastRenderedPageBreak/>
        <w:tab/>
        <w:t>(g)</w:t>
      </w:r>
      <w:r>
        <w:tab/>
        <w:t xml:space="preserve">section 99(1) and (2) are to be read as if — </w:t>
      </w:r>
    </w:p>
    <w:p>
      <w:pPr>
        <w:pStyle w:val="Indenti"/>
      </w:pPr>
      <w:r>
        <w:tab/>
        <w:t>(i)</w:t>
      </w:r>
      <w:r>
        <w:tab/>
        <w:t>a reference to a state of emergency declaration included a reference to a COVID</w:t>
      </w:r>
      <w:r>
        <w:noBreakHyphen/>
        <w:t>19 declaration; and</w:t>
      </w:r>
    </w:p>
    <w:p>
      <w:pPr>
        <w:pStyle w:val="Indenti"/>
      </w:pPr>
      <w:r>
        <w:tab/>
        <w:t>(ii)</w:t>
      </w:r>
      <w:r>
        <w:tab/>
        <w:t>a reference to an emergency area included a reference to a declaration area in relation to a COVID</w:t>
      </w:r>
      <w:r>
        <w:noBreakHyphen/>
        <w:t>19 declaration; and</w:t>
      </w:r>
    </w:p>
    <w:p>
      <w:pPr>
        <w:pStyle w:val="Indenti"/>
      </w:pPr>
      <w:r>
        <w:tab/>
        <w:t>(iii)</w:t>
      </w:r>
      <w:r>
        <w:tab/>
        <w:t>a reference to an authorised officer included a reference to an authorised COVID</w:t>
      </w:r>
      <w:r>
        <w:noBreakHyphen/>
        <w:t>19 officer; and</w:t>
      </w:r>
    </w:p>
    <w:p>
      <w:pPr>
        <w:pStyle w:val="Indenti"/>
      </w:pPr>
      <w:r>
        <w:tab/>
        <w:t>(iv)</w:t>
      </w:r>
      <w:r>
        <w:tab/>
        <w:t>a reference to a police officer authorised to act under section 71 included a reference to a police officer authorised to act under section 77O;</w:t>
      </w:r>
    </w:p>
    <w:p>
      <w:pPr>
        <w:pStyle w:val="Indenta"/>
      </w:pPr>
      <w:r>
        <w:tab/>
        <w:t>(h)</w:t>
      </w:r>
      <w:r>
        <w:tab/>
        <w:t xml:space="preserve">the definition of </w:t>
      </w:r>
      <w:r>
        <w:rPr>
          <w:b/>
          <w:i/>
        </w:rPr>
        <w:t>prescribed emergency activity</w:t>
      </w:r>
      <w:r>
        <w:t xml:space="preserve"> in section 101(1) is to be read as if a reference to emergency management included a reference to COVID</w:t>
      </w:r>
      <w:r>
        <w:noBreakHyphen/>
        <w:t>19 management.</w:t>
      </w:r>
    </w:p>
    <w:p>
      <w:pPr>
        <w:pStyle w:val="Subsection"/>
      </w:pPr>
      <w:r>
        <w:tab/>
        <w:t>(2)</w:t>
      </w:r>
      <w:r>
        <w:tab/>
        <w:t>In determining whether an employee carries out an emergency management response for the purposes of Part 9, section 91(2) applies during a period when a COVID</w:t>
      </w:r>
      <w:r>
        <w:noBreakHyphen/>
        <w:t>19 declaration is in force as if COVID</w:t>
      </w:r>
      <w:r>
        <w:noBreakHyphen/>
        <w:t>19 were an emergency.</w:t>
      </w:r>
    </w:p>
    <w:p>
      <w:pPr>
        <w:pStyle w:val="Footnotesection"/>
      </w:pPr>
      <w:r>
        <w:tab/>
        <w:t>[Section 77X inserted: No. 33 of 2022 s. 7.]</w:t>
      </w:r>
    </w:p>
    <w:p>
      <w:pPr>
        <w:pStyle w:val="Heading2"/>
      </w:pPr>
      <w:bookmarkStart w:id="272" w:name="_Toc117779425"/>
      <w:bookmarkStart w:id="273" w:name="_Toc117845347"/>
      <w:bookmarkStart w:id="274" w:name="_Toc118299733"/>
      <w:bookmarkStart w:id="275" w:name="_Toc118300097"/>
      <w:r>
        <w:rPr>
          <w:rStyle w:val="CharPartNo"/>
        </w:rPr>
        <w:lastRenderedPageBreak/>
        <w:t>Part 7</w:t>
      </w:r>
      <w:r>
        <w:t> — </w:t>
      </w:r>
      <w:r>
        <w:rPr>
          <w:rStyle w:val="CharPartText"/>
        </w:rPr>
        <w:t>Compensation and insurance</w:t>
      </w:r>
      <w:bookmarkEnd w:id="198"/>
      <w:bookmarkEnd w:id="272"/>
      <w:bookmarkEnd w:id="273"/>
      <w:bookmarkEnd w:id="274"/>
      <w:bookmarkEnd w:id="275"/>
    </w:p>
    <w:p>
      <w:pPr>
        <w:pStyle w:val="Heading3"/>
      </w:pPr>
      <w:bookmarkStart w:id="276" w:name="_Toc117777711"/>
      <w:bookmarkStart w:id="277" w:name="_Toc117779426"/>
      <w:bookmarkStart w:id="278" w:name="_Toc117845348"/>
      <w:bookmarkStart w:id="279" w:name="_Toc118299734"/>
      <w:bookmarkStart w:id="280" w:name="_Toc118300098"/>
      <w:r>
        <w:rPr>
          <w:rStyle w:val="CharDivNo"/>
        </w:rPr>
        <w:t>Division 1</w:t>
      </w:r>
      <w:r>
        <w:t> — </w:t>
      </w:r>
      <w:r>
        <w:rPr>
          <w:rStyle w:val="CharDivText"/>
        </w:rPr>
        <w:t>Compensation</w:t>
      </w:r>
      <w:bookmarkEnd w:id="276"/>
      <w:bookmarkEnd w:id="277"/>
      <w:bookmarkEnd w:id="278"/>
      <w:bookmarkEnd w:id="279"/>
      <w:bookmarkEnd w:id="280"/>
    </w:p>
    <w:p>
      <w:pPr>
        <w:pStyle w:val="Heading5"/>
      </w:pPr>
      <w:bookmarkStart w:id="281" w:name="_Toc118300099"/>
      <w:r>
        <w:rPr>
          <w:rStyle w:val="CharSectno"/>
        </w:rPr>
        <w:t>78</w:t>
      </w:r>
      <w:r>
        <w:t>.</w:t>
      </w:r>
      <w:r>
        <w:tab/>
        <w:t>Entitlement to compensation</w:t>
      </w:r>
      <w:bookmarkEnd w:id="281"/>
    </w:p>
    <w:p>
      <w:pPr>
        <w:pStyle w:val="Subsection"/>
      </w:pPr>
      <w:r>
        <w:tab/>
        <w:t>(1)</w:t>
      </w:r>
      <w:r>
        <w:tab/>
        <w:t>Subject to this Division, a person who suffers loss or damage because of the exercise, or purported exercise, of a power under section 46, 47, 48, 69 or 75(1)(f) is entitled to be paid just and reasonable compensation for the loss or damage.</w:t>
      </w:r>
    </w:p>
    <w:p>
      <w:pPr>
        <w:pStyle w:val="Subsection"/>
      </w:pPr>
      <w:r>
        <w:tab/>
        <w:t>(2)</w:t>
      </w:r>
      <w:r>
        <w:tab/>
        <w:t xml:space="preserve">Compensation is not payable to the person for loss or damage to the extent that — </w:t>
      </w:r>
    </w:p>
    <w:p>
      <w:pPr>
        <w:pStyle w:val="Indenta"/>
      </w:pPr>
      <w:r>
        <w:tab/>
        <w:t>(a)</w:t>
      </w:r>
      <w:r>
        <w:tab/>
        <w:t>an amount for the loss or damage is recovered or recoverable by the person under a policy of insurance; or</w:t>
      </w:r>
    </w:p>
    <w:p>
      <w:pPr>
        <w:pStyle w:val="Indenta"/>
      </w:pPr>
      <w:r>
        <w:tab/>
        <w:t>(b)</w:t>
      </w:r>
      <w:r>
        <w:tab/>
        <w:t>the conduct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Footnotesection"/>
      </w:pPr>
      <w:r>
        <w:tab/>
        <w:t>[Section 78: modified by section 77X(1).]</w:t>
      </w:r>
    </w:p>
    <w:p>
      <w:pPr>
        <w:pStyle w:val="Heading5"/>
      </w:pPr>
      <w:bookmarkStart w:id="282" w:name="_Toc118300100"/>
      <w:r>
        <w:rPr>
          <w:rStyle w:val="CharSectno"/>
        </w:rPr>
        <w:t>79</w:t>
      </w:r>
      <w:r>
        <w:t>.</w:t>
      </w:r>
      <w:r>
        <w:tab/>
        <w:t>Applying for compensation</w:t>
      </w:r>
      <w:bookmarkEnd w:id="282"/>
    </w:p>
    <w:p>
      <w:pPr>
        <w:pStyle w:val="Subsection"/>
      </w:pPr>
      <w:r>
        <w:tab/>
        <w:t>(1)</w:t>
      </w:r>
      <w:r>
        <w:tab/>
        <w:t>A person who suffers loss or damage because of the exercise, or purported exercise, of a power under section 46, 47, 48, 69 or 75(1)(f) may apply to the Minister for compensation for the loss or damage.</w:t>
      </w:r>
    </w:p>
    <w:p>
      <w:pPr>
        <w:pStyle w:val="Subsection"/>
      </w:pPr>
      <w:r>
        <w:tab/>
        <w:t>(2)</w:t>
      </w:r>
      <w:r>
        <w:tab/>
        <w:t>The application is to be made in writing within 90 days after the person suffers the loss or damage.</w:t>
      </w:r>
    </w:p>
    <w:p>
      <w:pPr>
        <w:pStyle w:val="Subsection"/>
      </w:pPr>
      <w:r>
        <w:tab/>
        <w:t>(3)</w:t>
      </w:r>
      <w:r>
        <w:tab/>
        <w:t xml:space="preserve">The application is to — </w:t>
      </w:r>
    </w:p>
    <w:p>
      <w:pPr>
        <w:pStyle w:val="Indenta"/>
      </w:pPr>
      <w:r>
        <w:tab/>
        <w:t>(a)</w:t>
      </w:r>
      <w:r>
        <w:tab/>
        <w:t>state details of the person’s loss or damage; and</w:t>
      </w:r>
    </w:p>
    <w:p>
      <w:pPr>
        <w:pStyle w:val="Indenta"/>
      </w:pPr>
      <w:r>
        <w:tab/>
        <w:t>(b)</w:t>
      </w:r>
      <w:r>
        <w:tab/>
        <w:t>state the amount of compensation claimed and the grounds for the amount claimed; and</w:t>
      </w:r>
    </w:p>
    <w:p>
      <w:pPr>
        <w:pStyle w:val="Indenta"/>
      </w:pPr>
      <w:r>
        <w:lastRenderedPageBreak/>
        <w:tab/>
        <w:t>(c)</w:t>
      </w:r>
      <w:r>
        <w:tab/>
        <w:t>be accompanied by such further information as is prescribed by the regulations.</w:t>
      </w:r>
    </w:p>
    <w:p>
      <w:pPr>
        <w:pStyle w:val="Subsection"/>
      </w:pPr>
      <w:r>
        <w:tab/>
        <w:t>(4)</w:t>
      </w:r>
      <w:r>
        <w:tab/>
        <w:t>The applicant is to provide any other relevant information required by notice given under section 80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Footnotesection"/>
      </w:pPr>
      <w:r>
        <w:tab/>
        <w:t>[Section 79: modified by section 77X(1).]</w:t>
      </w:r>
    </w:p>
    <w:p>
      <w:pPr>
        <w:pStyle w:val="Heading5"/>
      </w:pPr>
      <w:bookmarkStart w:id="283" w:name="_Toc118300101"/>
      <w:r>
        <w:rPr>
          <w:rStyle w:val="CharSectno"/>
        </w:rPr>
        <w:t>80</w:t>
      </w:r>
      <w:r>
        <w:t>.</w:t>
      </w:r>
      <w:r>
        <w:tab/>
        <w:t>Lapsing of application</w:t>
      </w:r>
      <w:bookmarkEnd w:id="283"/>
    </w:p>
    <w:p>
      <w:pPr>
        <w:pStyle w:val="Subsection"/>
      </w:pPr>
      <w:r>
        <w:tab/>
        <w:t>(1)</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 and</w:t>
      </w:r>
    </w:p>
    <w:p>
      <w:pPr>
        <w:pStyle w:val="Indenta"/>
      </w:pPr>
      <w:r>
        <w:tab/>
        <w:t>(b)</w:t>
      </w:r>
      <w:r>
        <w:tab/>
        <w:t>the time by which the information is to be given to the Minister; and</w:t>
      </w:r>
    </w:p>
    <w:p>
      <w:pPr>
        <w:pStyle w:val="Indenta"/>
      </w:pPr>
      <w:r>
        <w:tab/>
        <w:t>(c)</w:t>
      </w:r>
      <w:r>
        <w:tab/>
        <w:t>that, if the information is not given to the Minister by the stated time, the application will lapse.</w:t>
      </w:r>
    </w:p>
    <w:p>
      <w:pPr>
        <w:pStyle w:val="Subsection"/>
      </w:pPr>
      <w:r>
        <w:tab/>
        <w:t>(2)</w:t>
      </w:r>
      <w:r>
        <w:tab/>
        <w:t>The stated time is to be reasonable and, in any case, at least 21 days after the notice is given.</w:t>
      </w:r>
    </w:p>
    <w:p>
      <w:pPr>
        <w:pStyle w:val="Subsection"/>
      </w:pPr>
      <w:r>
        <w:tab/>
        <w:t>(3)</w:t>
      </w:r>
      <w:r>
        <w:tab/>
        <w:t>The Minister may give the applicant a further notice extending or further extending the time if the Minister is satisfied that it would be reasonable in all the circumstances to give the extension.</w:t>
      </w:r>
    </w:p>
    <w:p>
      <w:pPr>
        <w:pStyle w:val="Subsection"/>
      </w:pPr>
      <w:r>
        <w:tab/>
        <w:t>(4)</w:t>
      </w:r>
      <w:r>
        <w:tab/>
        <w:t>A notice may be given under subsection (3) even if the time to which it relates has lapsed.</w:t>
      </w:r>
    </w:p>
    <w:p>
      <w:pPr>
        <w:pStyle w:val="Subsection"/>
      </w:pPr>
      <w:r>
        <w:tab/>
        <w:t>(5)</w:t>
      </w:r>
      <w:r>
        <w:tab/>
        <w:t>If the applicant does not comply with the requirement within the stated time or any extension, the application lapses.</w:t>
      </w:r>
    </w:p>
    <w:p>
      <w:pPr>
        <w:pStyle w:val="Subsection"/>
      </w:pPr>
      <w:r>
        <w:lastRenderedPageBreak/>
        <w:tab/>
        <w:t>(6)</w:t>
      </w:r>
      <w:r>
        <w:tab/>
        <w:t xml:space="preserve">In this section — </w:t>
      </w:r>
    </w:p>
    <w:p>
      <w:pPr>
        <w:pStyle w:val="Defstart"/>
      </w:pPr>
      <w:r>
        <w:rPr>
          <w:b/>
        </w:rPr>
        <w:tab/>
      </w:r>
      <w:r>
        <w:rPr>
          <w:rStyle w:val="CharDefText"/>
        </w:rPr>
        <w:t>information</w:t>
      </w:r>
      <w:r>
        <w:t xml:space="preserve"> includes a record relating to information.</w:t>
      </w:r>
    </w:p>
    <w:p>
      <w:pPr>
        <w:pStyle w:val="Heading5"/>
      </w:pPr>
      <w:bookmarkStart w:id="284" w:name="_Toc118300102"/>
      <w:r>
        <w:rPr>
          <w:rStyle w:val="CharSectno"/>
        </w:rPr>
        <w:t>81</w:t>
      </w:r>
      <w:r>
        <w:t>.</w:t>
      </w:r>
      <w:r>
        <w:tab/>
        <w:t>Notice of decision</w:t>
      </w:r>
      <w:bookmarkEnd w:id="284"/>
    </w:p>
    <w:p>
      <w:pPr>
        <w:pStyle w:val="Subsection"/>
        <w:spacing w:before="100"/>
      </w:pPr>
      <w:r>
        <w:tab/>
      </w:r>
      <w:r>
        <w:tab/>
        <w:t xml:space="preserve">As soon as is practicable after deciding the application the Minister is to give the applicant a written notice stating — </w:t>
      </w:r>
    </w:p>
    <w:p>
      <w:pPr>
        <w:pStyle w:val="Indenta"/>
      </w:pPr>
      <w:r>
        <w:tab/>
        <w:t>(a)</w:t>
      </w:r>
      <w:r>
        <w:tab/>
        <w:t>the decision and the reasons for it;</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 that the applicant may apply for a review of the decision, and how the applicant may apply for the review;</w:t>
      </w:r>
    </w:p>
    <w:p>
      <w:pPr>
        <w:pStyle w:val="Indenta"/>
      </w:pPr>
      <w:r>
        <w:tab/>
        <w:t>(c)</w:t>
      </w:r>
      <w:r>
        <w:tab/>
        <w:t>if the Minister decides not to pay compensation — that the applicant may apply for a review of the decision, and how the applicant may apply for the review.</w:t>
      </w:r>
    </w:p>
    <w:p>
      <w:pPr>
        <w:pStyle w:val="Heading5"/>
        <w:spacing w:before="120"/>
      </w:pPr>
      <w:bookmarkStart w:id="285" w:name="_Toc118300103"/>
      <w:r>
        <w:rPr>
          <w:rStyle w:val="CharSectno"/>
        </w:rPr>
        <w:t>82</w:t>
      </w:r>
      <w:r>
        <w:t>.</w:t>
      </w:r>
      <w:r>
        <w:tab/>
        <w:t>Funding of compensation</w:t>
      </w:r>
      <w:bookmarkEnd w:id="285"/>
    </w:p>
    <w:p>
      <w:pPr>
        <w:pStyle w:val="Subsection"/>
        <w:spacing w:before="100"/>
      </w:pPr>
      <w:r>
        <w:tab/>
      </w:r>
      <w:r>
        <w:tab/>
        <w:t xml:space="preserve">The </w:t>
      </w:r>
      <w:r>
        <w:rPr>
          <w:snapToGrid w:val="0"/>
        </w:rPr>
        <w:t>Consolidated Account</w:t>
      </w:r>
      <w:r>
        <w:t xml:space="preserve"> is charged with the payment of any compensation payable under this Part and any expenses incurred in the administration of this Part, and is appropriated accordingly.</w:t>
      </w:r>
    </w:p>
    <w:p>
      <w:pPr>
        <w:pStyle w:val="Footnotesection"/>
      </w:pPr>
      <w:r>
        <w:tab/>
        <w:t>[Section 82 amended: No. 77 of 2006 s. 4.]</w:t>
      </w:r>
    </w:p>
    <w:p>
      <w:pPr>
        <w:pStyle w:val="Heading3"/>
        <w:spacing w:before="160"/>
      </w:pPr>
      <w:bookmarkStart w:id="286" w:name="_Toc117777717"/>
      <w:bookmarkStart w:id="287" w:name="_Toc117779432"/>
      <w:bookmarkStart w:id="288" w:name="_Toc117845354"/>
      <w:bookmarkStart w:id="289" w:name="_Toc118299740"/>
      <w:bookmarkStart w:id="290" w:name="_Toc118300104"/>
      <w:r>
        <w:rPr>
          <w:rStyle w:val="CharDivNo"/>
        </w:rPr>
        <w:t>Division 2</w:t>
      </w:r>
      <w:r>
        <w:t> — </w:t>
      </w:r>
      <w:r>
        <w:rPr>
          <w:rStyle w:val="CharDivText"/>
        </w:rPr>
        <w:t>Review</w:t>
      </w:r>
      <w:bookmarkEnd w:id="286"/>
      <w:bookmarkEnd w:id="287"/>
      <w:bookmarkEnd w:id="288"/>
      <w:bookmarkEnd w:id="289"/>
      <w:bookmarkEnd w:id="290"/>
    </w:p>
    <w:p>
      <w:pPr>
        <w:pStyle w:val="Heading5"/>
        <w:spacing w:before="120"/>
      </w:pPr>
      <w:bookmarkStart w:id="291" w:name="_Toc118300105"/>
      <w:r>
        <w:rPr>
          <w:rStyle w:val="CharSectno"/>
        </w:rPr>
        <w:t>83</w:t>
      </w:r>
      <w:r>
        <w:t>.</w:t>
      </w:r>
      <w:r>
        <w:tab/>
        <w:t>Review of compensation decision</w:t>
      </w:r>
      <w:bookmarkEnd w:id="291"/>
    </w:p>
    <w:p>
      <w:pPr>
        <w:pStyle w:val="Subsection"/>
        <w:spacing w:before="100"/>
      </w:pPr>
      <w:r>
        <w:tab/>
      </w:r>
      <w:r>
        <w:tab/>
        <w:t>An applicant who is dissatisfied with a decision of the Minister to refuse to pay compensation or about the amount of compensation may apply to the State Administrative Tribunal for a review of the decision.</w:t>
      </w:r>
    </w:p>
    <w:p>
      <w:pPr>
        <w:pStyle w:val="Heading3"/>
        <w:spacing w:before="160"/>
      </w:pPr>
      <w:bookmarkStart w:id="292" w:name="_Toc117777719"/>
      <w:bookmarkStart w:id="293" w:name="_Toc117779434"/>
      <w:bookmarkStart w:id="294" w:name="_Toc117845356"/>
      <w:bookmarkStart w:id="295" w:name="_Toc118299742"/>
      <w:bookmarkStart w:id="296" w:name="_Toc118300106"/>
      <w:r>
        <w:rPr>
          <w:rStyle w:val="CharDivNo"/>
        </w:rPr>
        <w:lastRenderedPageBreak/>
        <w:t>Division 3</w:t>
      </w:r>
      <w:r>
        <w:t> — </w:t>
      </w:r>
      <w:r>
        <w:rPr>
          <w:rStyle w:val="CharDivText"/>
        </w:rPr>
        <w:t>Policies of insurance</w:t>
      </w:r>
      <w:bookmarkEnd w:id="292"/>
      <w:bookmarkEnd w:id="293"/>
      <w:bookmarkEnd w:id="294"/>
      <w:bookmarkEnd w:id="295"/>
      <w:bookmarkEnd w:id="296"/>
    </w:p>
    <w:p>
      <w:pPr>
        <w:pStyle w:val="Heading5"/>
        <w:spacing w:before="120"/>
      </w:pPr>
      <w:bookmarkStart w:id="297" w:name="_Toc118300107"/>
      <w:r>
        <w:rPr>
          <w:rStyle w:val="CharSectno"/>
        </w:rPr>
        <w:t>84</w:t>
      </w:r>
      <w:r>
        <w:t>.</w:t>
      </w:r>
      <w:r>
        <w:tab/>
        <w:t>Extension of policy of insurance</w:t>
      </w:r>
      <w:bookmarkEnd w:id="297"/>
    </w:p>
    <w:p>
      <w:pPr>
        <w:pStyle w:val="Subsection"/>
        <w:keepNext/>
      </w:pPr>
      <w:r>
        <w:tab/>
        <w:t>(1)</w:t>
      </w:r>
      <w:r>
        <w:tab/>
        <w:t xml:space="preserve">This section applies to a policy of insurance for damage to property if — </w:t>
      </w:r>
    </w:p>
    <w:p>
      <w:pPr>
        <w:pStyle w:val="Indenta"/>
      </w:pPr>
      <w:r>
        <w:tab/>
        <w:t>(a)</w:t>
      </w:r>
      <w:r>
        <w:tab/>
        <w:t>damage is caused to the property because of the exercise of a power, or performance of a function, under this Act by a person, in good faith, in relation to an emergency; and</w:t>
      </w:r>
    </w:p>
    <w:p>
      <w:pPr>
        <w:pStyle w:val="Indenta"/>
      </w:pPr>
      <w:r>
        <w:tab/>
        <w:t>(b)</w:t>
      </w:r>
      <w:r>
        <w:tab/>
        <w:t xml:space="preserve">the power is exercised, or the function is performed, for the purpose of protecting — </w:t>
      </w:r>
    </w:p>
    <w:p>
      <w:pPr>
        <w:pStyle w:val="Indenti"/>
      </w:pPr>
      <w:r>
        <w:tab/>
        <w:t>(i)</w:t>
      </w:r>
      <w:r>
        <w:tab/>
        <w:t>the property from damage; or</w:t>
      </w:r>
    </w:p>
    <w:p>
      <w:pPr>
        <w:pStyle w:val="Indenti"/>
      </w:pPr>
      <w:r>
        <w:tab/>
        <w:t>(ii)</w:t>
      </w:r>
      <w:r>
        <w:tab/>
        <w:t>a person or an animal from death or injury.</w:t>
      </w:r>
    </w:p>
    <w:p>
      <w:pPr>
        <w:pStyle w:val="Subsection"/>
      </w:pPr>
      <w:r>
        <w:tab/>
        <w:t>(2)</w:t>
      </w:r>
      <w:r>
        <w:tab/>
        <w:t>For the purposes of the policy of insurance, the damage is, by the operation of this section, to be taken to be damage caused by the happening of an event for which the policy provides insurance cover.</w:t>
      </w:r>
    </w:p>
    <w:p>
      <w:pPr>
        <w:pStyle w:val="Subsection"/>
      </w:pPr>
      <w:r>
        <w:tab/>
        <w:t>(3)</w:t>
      </w:r>
      <w:r>
        <w:tab/>
        <w:t>A term of a policy of insurance that purports to vary or exclude the operation of subsection (2) is void.</w:t>
      </w:r>
    </w:p>
    <w:p>
      <w:pPr>
        <w:pStyle w:val="Footnotesection"/>
      </w:pPr>
      <w:bookmarkStart w:id="298" w:name="_Toc117777721"/>
      <w:bookmarkStart w:id="299" w:name="_Toc117779436"/>
      <w:bookmarkStart w:id="300" w:name="_Toc117845358"/>
      <w:r>
        <w:tab/>
        <w:t>[Section 84: modified by section 77X(1).]</w:t>
      </w:r>
    </w:p>
    <w:p>
      <w:pPr>
        <w:pStyle w:val="Heading2"/>
      </w:pPr>
      <w:bookmarkStart w:id="301" w:name="_Toc118299744"/>
      <w:bookmarkStart w:id="302" w:name="_Toc118300108"/>
      <w:r>
        <w:rPr>
          <w:rStyle w:val="CharPartNo"/>
        </w:rPr>
        <w:lastRenderedPageBreak/>
        <w:t>Part 8</w:t>
      </w:r>
      <w:r>
        <w:rPr>
          <w:rStyle w:val="CharDivNo"/>
        </w:rPr>
        <w:t> </w:t>
      </w:r>
      <w:r>
        <w:t>—</w:t>
      </w:r>
      <w:r>
        <w:rPr>
          <w:rStyle w:val="CharDivText"/>
        </w:rPr>
        <w:t> </w:t>
      </w:r>
      <w:r>
        <w:rPr>
          <w:rStyle w:val="CharPartText"/>
        </w:rPr>
        <w:t>Offences</w:t>
      </w:r>
      <w:bookmarkEnd w:id="298"/>
      <w:bookmarkEnd w:id="299"/>
      <w:bookmarkEnd w:id="300"/>
      <w:bookmarkEnd w:id="301"/>
      <w:bookmarkEnd w:id="302"/>
    </w:p>
    <w:p>
      <w:pPr>
        <w:pStyle w:val="Heading5"/>
        <w:spacing w:before="180"/>
      </w:pPr>
      <w:bookmarkStart w:id="303" w:name="_Toc118300109"/>
      <w:r>
        <w:rPr>
          <w:rStyle w:val="CharSectno"/>
        </w:rPr>
        <w:t>85</w:t>
      </w:r>
      <w:r>
        <w:t>.</w:t>
      </w:r>
      <w:r>
        <w:tab/>
        <w:t>Obstruction of a hazard management officer or authorised officer</w:t>
      </w:r>
      <w:bookmarkEnd w:id="303"/>
    </w:p>
    <w:p>
      <w:pPr>
        <w:pStyle w:val="Subsection"/>
        <w:spacing w:before="120"/>
      </w:pPr>
      <w:r>
        <w:tab/>
      </w:r>
      <w:r>
        <w:tab/>
        <w:t>A person must not obstruct or hinder a hazard management officer or an authorised officer in the exercise of a power under this Act.</w:t>
      </w:r>
    </w:p>
    <w:p>
      <w:pPr>
        <w:pStyle w:val="Penstart"/>
      </w:pPr>
      <w:r>
        <w:tab/>
        <w:t>Penalty: a fine of $50 000.</w:t>
      </w:r>
    </w:p>
    <w:p>
      <w:pPr>
        <w:pStyle w:val="Footnotesection"/>
      </w:pPr>
      <w:r>
        <w:tab/>
        <w:t>[Section 85: modified by section 77X(1).]</w:t>
      </w:r>
    </w:p>
    <w:p>
      <w:pPr>
        <w:pStyle w:val="Heading5"/>
        <w:spacing w:before="180"/>
      </w:pPr>
      <w:bookmarkStart w:id="304" w:name="_Toc118300110"/>
      <w:r>
        <w:rPr>
          <w:rStyle w:val="CharSectno"/>
        </w:rPr>
        <w:t>86</w:t>
      </w:r>
      <w:r>
        <w:t>.</w:t>
      </w:r>
      <w:r>
        <w:tab/>
        <w:t>Failure to comply with direction</w:t>
      </w:r>
      <w:bookmarkEnd w:id="304"/>
    </w:p>
    <w:p>
      <w:pPr>
        <w:pStyle w:val="Subsection"/>
        <w:spacing w:before="120"/>
      </w:pPr>
      <w:r>
        <w:tab/>
        <w:t>(1)</w:t>
      </w:r>
      <w:r>
        <w:tab/>
        <w:t>A person given a direction under section 47, 67, 70, 71, 72A or 75(1)(i) must comply with the direction.</w:t>
      </w:r>
    </w:p>
    <w:p>
      <w:pPr>
        <w:pStyle w:val="Penstart"/>
      </w:pPr>
      <w:r>
        <w:tab/>
        <w:t>Penalty:</w:t>
      </w:r>
    </w:p>
    <w:p>
      <w:pPr>
        <w:pStyle w:val="Penpara"/>
      </w:pPr>
      <w:r>
        <w:tab/>
        <w:t>(a)</w:t>
      </w:r>
      <w:r>
        <w:tab/>
        <w:t>imprisonment for 12 months or 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spacing w:before="120"/>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It is a defence to a charge of an offence under subsection (1) for the person to prove that the person had a reasonable excuse for failing to comply with the direction.</w:t>
      </w:r>
    </w:p>
    <w:p>
      <w:pPr>
        <w:pStyle w:val="Footnotesection"/>
      </w:pPr>
      <w:r>
        <w:tab/>
        <w:t>[Section 86 amended: No. 11 of 2020 s. 13.]</w:t>
      </w:r>
    </w:p>
    <w:p>
      <w:pPr>
        <w:pStyle w:val="Footnotesection"/>
      </w:pPr>
      <w:r>
        <w:tab/>
        <w:t>[Section 86: modified by section 77X(1).]</w:t>
      </w:r>
    </w:p>
    <w:p>
      <w:pPr>
        <w:pStyle w:val="Heading5"/>
        <w:spacing w:before="180"/>
      </w:pPr>
      <w:bookmarkStart w:id="305" w:name="_Toc118300111"/>
      <w:r>
        <w:rPr>
          <w:rStyle w:val="CharSectno"/>
        </w:rPr>
        <w:t>87</w:t>
      </w:r>
      <w:r>
        <w:t>.</w:t>
      </w:r>
      <w:r>
        <w:tab/>
        <w:t>Failure to give help</w:t>
      </w:r>
      <w:bookmarkEnd w:id="305"/>
    </w:p>
    <w:p>
      <w:pPr>
        <w:pStyle w:val="Subsection"/>
        <w:spacing w:before="120"/>
      </w:pPr>
      <w:r>
        <w:tab/>
      </w:r>
      <w:r>
        <w:tab/>
        <w:t>A person required to give reasonable help under section 75(1)(o) must comply with the requirement.</w:t>
      </w:r>
    </w:p>
    <w:p>
      <w:pPr>
        <w:pStyle w:val="Penstart"/>
      </w:pPr>
      <w:r>
        <w:tab/>
        <w:t>Penalty: a fine of $50 000.</w:t>
      </w:r>
    </w:p>
    <w:p>
      <w:pPr>
        <w:pStyle w:val="Heading5"/>
        <w:spacing w:before="180"/>
      </w:pPr>
      <w:bookmarkStart w:id="306" w:name="_Toc118300112"/>
      <w:r>
        <w:rPr>
          <w:rStyle w:val="CharSectno"/>
        </w:rPr>
        <w:lastRenderedPageBreak/>
        <w:t>88</w:t>
      </w:r>
      <w:r>
        <w:t>.</w:t>
      </w:r>
      <w:r>
        <w:tab/>
        <w:t>Impersonation of hazard management officer or authorised officer</w:t>
      </w:r>
      <w:bookmarkEnd w:id="306"/>
    </w:p>
    <w:p>
      <w:pPr>
        <w:pStyle w:val="Subsection"/>
        <w:spacing w:before="120"/>
      </w:pPr>
      <w:r>
        <w:tab/>
      </w:r>
      <w:r>
        <w:tab/>
        <w:t>A person must not falsely represent, by words or conduct, that the person is a hazard management officer or an authorised officer.</w:t>
      </w:r>
    </w:p>
    <w:p>
      <w:pPr>
        <w:pStyle w:val="Penstart"/>
        <w:spacing w:before="60"/>
      </w:pPr>
      <w:r>
        <w:tab/>
        <w:t>Penalty: a fine of $50 000.</w:t>
      </w:r>
    </w:p>
    <w:p>
      <w:pPr>
        <w:pStyle w:val="Footnotesection"/>
      </w:pPr>
      <w:r>
        <w:tab/>
        <w:t>[Section 88: modified by section 77X(1).]</w:t>
      </w:r>
    </w:p>
    <w:p>
      <w:pPr>
        <w:pStyle w:val="Heading5"/>
      </w:pPr>
      <w:bookmarkStart w:id="307" w:name="_Toc118300113"/>
      <w:r>
        <w:rPr>
          <w:rStyle w:val="CharSectno"/>
        </w:rPr>
        <w:t>89</w:t>
      </w:r>
      <w:r>
        <w:t>.</w:t>
      </w:r>
      <w:r>
        <w:tab/>
        <w:t>False or misleading information</w:t>
      </w:r>
      <w:bookmarkEnd w:id="307"/>
    </w:p>
    <w:p>
      <w:pPr>
        <w:pStyle w:val="Subsection"/>
      </w:pPr>
      <w:r>
        <w:tab/>
      </w:r>
      <w:r>
        <w:tab/>
        <w:t>A person must not give information that the person knows to be false or misleading in a material particular to a hazard management officer or an authorised officer exercising a power under this Act or to a person helping a hazard management officer or an authorised officer to exercise a power under this Act.</w:t>
      </w:r>
    </w:p>
    <w:p>
      <w:pPr>
        <w:pStyle w:val="Penstart"/>
      </w:pPr>
      <w:r>
        <w:tab/>
        <w:t>Penalty: a fine of $50 000.</w:t>
      </w:r>
    </w:p>
    <w:p>
      <w:pPr>
        <w:pStyle w:val="Footnotesection"/>
      </w:pPr>
      <w:r>
        <w:tab/>
        <w:t>[Section 89: modified by section 77X(1).]</w:t>
      </w:r>
    </w:p>
    <w:p>
      <w:pPr>
        <w:pStyle w:val="Heading5"/>
      </w:pPr>
      <w:bookmarkStart w:id="308" w:name="_Toc118300114"/>
      <w:r>
        <w:rPr>
          <w:rStyle w:val="CharSectno"/>
        </w:rPr>
        <w:t>90</w:t>
      </w:r>
      <w:r>
        <w:t>.</w:t>
      </w:r>
      <w:r>
        <w:tab/>
        <w:t>False compensation claim</w:t>
      </w:r>
      <w:bookmarkEnd w:id="308"/>
    </w:p>
    <w:p>
      <w:pPr>
        <w:pStyle w:val="Subsection"/>
      </w:pPr>
      <w:r>
        <w:tab/>
      </w:r>
      <w:r>
        <w:tab/>
        <w:t>A person must not, in or in relation to a claim for compensation under Part 7, make a statement that the person knows to be false or misleading in a material particular to, or otherwise mislead, the Minister or any other person.</w:t>
      </w:r>
    </w:p>
    <w:p>
      <w:pPr>
        <w:pStyle w:val="Penstart"/>
      </w:pPr>
      <w:r>
        <w:tab/>
        <w:t>Penalty: a fine of $50 000.</w:t>
      </w:r>
    </w:p>
    <w:p>
      <w:pPr>
        <w:pStyle w:val="Heading2"/>
      </w:pPr>
      <w:bookmarkStart w:id="309" w:name="_Toc117777728"/>
      <w:bookmarkStart w:id="310" w:name="_Toc117779443"/>
      <w:bookmarkStart w:id="311" w:name="_Toc117845365"/>
      <w:bookmarkStart w:id="312" w:name="_Toc118299751"/>
      <w:bookmarkStart w:id="313" w:name="_Toc118300115"/>
      <w:r>
        <w:rPr>
          <w:rStyle w:val="CharPartNo"/>
        </w:rPr>
        <w:lastRenderedPageBreak/>
        <w:t>Part 9</w:t>
      </w:r>
      <w:r>
        <w:rPr>
          <w:rStyle w:val="CharDivNo"/>
        </w:rPr>
        <w:t> </w:t>
      </w:r>
      <w:r>
        <w:t>—</w:t>
      </w:r>
      <w:r>
        <w:rPr>
          <w:rStyle w:val="CharDivText"/>
        </w:rPr>
        <w:t> </w:t>
      </w:r>
      <w:r>
        <w:rPr>
          <w:rStyle w:val="CharPartText"/>
        </w:rPr>
        <w:t>Employment protection</w:t>
      </w:r>
      <w:bookmarkEnd w:id="309"/>
      <w:bookmarkEnd w:id="310"/>
      <w:bookmarkEnd w:id="311"/>
      <w:bookmarkEnd w:id="312"/>
      <w:bookmarkEnd w:id="313"/>
    </w:p>
    <w:p>
      <w:pPr>
        <w:pStyle w:val="Heading5"/>
      </w:pPr>
      <w:bookmarkStart w:id="314" w:name="_Toc118300116"/>
      <w:r>
        <w:rPr>
          <w:rStyle w:val="CharSectno"/>
        </w:rPr>
        <w:t>91</w:t>
      </w:r>
      <w:r>
        <w:t>.</w:t>
      </w:r>
      <w:r>
        <w:tab/>
        <w:t>Terms used</w:t>
      </w:r>
      <w:bookmarkEnd w:id="314"/>
    </w:p>
    <w:p>
      <w:pPr>
        <w:pStyle w:val="Subsection"/>
      </w:pPr>
      <w:r>
        <w:tab/>
        <w:t>(1)</w:t>
      </w:r>
      <w:r>
        <w:tab/>
        <w:t xml:space="preserve">In this Part — </w:t>
      </w:r>
    </w:p>
    <w:p>
      <w:pPr>
        <w:pStyle w:val="Defstart"/>
      </w:pPr>
      <w:r>
        <w:rPr>
          <w:b/>
        </w:rPr>
        <w:tab/>
      </w:r>
      <w:r>
        <w:rPr>
          <w:rStyle w:val="CharDefText"/>
        </w:rPr>
        <w:t>employee</w:t>
      </w:r>
      <w:r>
        <w:t xml:space="preserve"> has the meaning given to that term in the </w:t>
      </w:r>
      <w:r>
        <w:rPr>
          <w:i/>
        </w:rPr>
        <w:t>Industrial Relations Act 1979</w:t>
      </w:r>
      <w:r>
        <w:t>;</w:t>
      </w:r>
    </w:p>
    <w:p>
      <w:pPr>
        <w:pStyle w:val="Defstart"/>
      </w:pPr>
      <w:r>
        <w:rPr>
          <w:b/>
        </w:rPr>
        <w:tab/>
      </w:r>
      <w:r>
        <w:rPr>
          <w:rStyle w:val="CharDefText"/>
        </w:rPr>
        <w:t>employer</w:t>
      </w:r>
      <w:r>
        <w:t xml:space="preserve"> has the meaning given to that term in the </w:t>
      </w:r>
      <w:r>
        <w:rPr>
          <w:i/>
        </w:rPr>
        <w:t>Industrial Relations Act 1979</w:t>
      </w:r>
      <w:r>
        <w:t>.</w:t>
      </w:r>
    </w:p>
    <w:p>
      <w:pPr>
        <w:pStyle w:val="Subsection"/>
      </w:pPr>
      <w:r>
        <w:tab/>
        <w:t>(2)</w:t>
      </w:r>
      <w:r>
        <w:tab/>
        <w:t xml:space="preserve">For the purposes of this Part — </w:t>
      </w:r>
    </w:p>
    <w:p>
      <w:pPr>
        <w:pStyle w:val="Indenta"/>
      </w:pPr>
      <w:r>
        <w:tab/>
        <w:t>(a)</w:t>
      </w:r>
      <w:r>
        <w:tab/>
        <w:t xml:space="preserve">an employee carries out an emergency management response if — </w:t>
      </w:r>
    </w:p>
    <w:p>
      <w:pPr>
        <w:pStyle w:val="Indenti"/>
      </w:pPr>
      <w:r>
        <w:tab/>
        <w:t>(i)</w:t>
      </w:r>
      <w:r>
        <w:tab/>
        <w:t>the employee undertakes an activity that involves responding to an emergency; and</w:t>
      </w:r>
    </w:p>
    <w:p>
      <w:pPr>
        <w:pStyle w:val="Indenti"/>
      </w:pPr>
      <w:r>
        <w:tab/>
        <w:t>(ii)</w:t>
      </w:r>
      <w:r>
        <w:tab/>
        <w:t>the employee carries out the activity on a voluntary basis; and</w:t>
      </w:r>
    </w:p>
    <w:p>
      <w:pPr>
        <w:pStyle w:val="Indenti"/>
      </w:pPr>
      <w:r>
        <w:tab/>
        <w:t>(iii)</w:t>
      </w:r>
      <w:r>
        <w:tab/>
        <w:t>the employee is a member of, or has a member</w:t>
      </w:r>
      <w:r>
        <w:noBreakHyphen/>
        <w:t>like association with, an emergency management agency; and</w:t>
      </w:r>
    </w:p>
    <w:p>
      <w:pPr>
        <w:pStyle w:val="Indenti"/>
      </w:pPr>
      <w:r>
        <w:tab/>
        <w:t>(iv)</w:t>
      </w:r>
      <w:r>
        <w:tab/>
        <w:t>the employee was requested by or on behalf of the emergency management agency to carry out the activity or no such request was made, but it would be reasonable to expect that, if the circumstances had permitted the making of such a request, it is likely that such a request would have been made;</w:t>
      </w:r>
    </w:p>
    <w:p>
      <w:pPr>
        <w:pStyle w:val="Indenta"/>
      </w:pPr>
      <w:r>
        <w:tab/>
      </w:r>
      <w:r>
        <w:tab/>
        <w:t>and</w:t>
      </w:r>
    </w:p>
    <w:p>
      <w:pPr>
        <w:pStyle w:val="Indenta"/>
      </w:pPr>
      <w:r>
        <w:tab/>
        <w:t>(b)</w:t>
      </w:r>
      <w:r>
        <w:tab/>
        <w:t>an employee does not carry out an emergency management response if the activity involves prevention of, preparedness for, or recovery from, an emergency.</w:t>
      </w:r>
    </w:p>
    <w:p>
      <w:pPr>
        <w:pStyle w:val="Subsection"/>
        <w:spacing w:before="100"/>
      </w:pPr>
      <w:r>
        <w:tab/>
        <w:t>(3)</w:t>
      </w:r>
      <w:r>
        <w:tab/>
        <w:t xml:space="preserve">For the purposes of subsection (2)(a)(ii) an employee carries out an activity on a voluntary basis even if the employee directly or indirectly takes or agrees to take — </w:t>
      </w:r>
    </w:p>
    <w:p>
      <w:pPr>
        <w:pStyle w:val="Indenta"/>
      </w:pPr>
      <w:r>
        <w:tab/>
        <w:t>(a)</w:t>
      </w:r>
      <w:r>
        <w:tab/>
        <w:t>an honorarium; or</w:t>
      </w:r>
    </w:p>
    <w:p>
      <w:pPr>
        <w:pStyle w:val="Indenta"/>
      </w:pPr>
      <w:r>
        <w:lastRenderedPageBreak/>
        <w:tab/>
        <w:t>(b)</w:t>
      </w:r>
      <w:r>
        <w:tab/>
        <w:t>a gratuity; or</w:t>
      </w:r>
    </w:p>
    <w:p>
      <w:pPr>
        <w:pStyle w:val="Indenta"/>
      </w:pPr>
      <w:r>
        <w:tab/>
        <w:t>(c)</w:t>
      </w:r>
      <w:r>
        <w:tab/>
        <w:t>a similar payment,</w:t>
      </w:r>
    </w:p>
    <w:p>
      <w:pPr>
        <w:pStyle w:val="Subsection"/>
      </w:pPr>
      <w:r>
        <w:tab/>
      </w:r>
      <w:r>
        <w:tab/>
        <w:t>wholly or partly for carrying out the activity.</w:t>
      </w:r>
    </w:p>
    <w:p>
      <w:pPr>
        <w:pStyle w:val="Heading5"/>
      </w:pPr>
      <w:bookmarkStart w:id="315" w:name="_Toc118300117"/>
      <w:r>
        <w:rPr>
          <w:rStyle w:val="CharSectno"/>
        </w:rPr>
        <w:t>92</w:t>
      </w:r>
      <w:r>
        <w:t>.</w:t>
      </w:r>
      <w:r>
        <w:tab/>
        <w:t>Protection of employment rights</w:t>
      </w:r>
      <w:bookmarkEnd w:id="315"/>
    </w:p>
    <w:p>
      <w:pPr>
        <w:pStyle w:val="Subsection"/>
      </w:pPr>
      <w:r>
        <w:tab/>
        <w:t>(1)</w:t>
      </w:r>
      <w:r>
        <w:tab/>
        <w:t>For the purpose of calculating the entitlement of an employee to long service leave, sick leave, recreational leave or other benefits to which the employee is entitled, the continuity of service of the employee is to be taken not to have been broken only by the employee’s absence from the employment because the employee was carrying out an emergency management response.</w:t>
      </w:r>
    </w:p>
    <w:p>
      <w:pPr>
        <w:pStyle w:val="Subsection"/>
      </w:pPr>
      <w:r>
        <w:tab/>
        <w:t>(2)</w:t>
      </w:r>
      <w:r>
        <w:tab/>
        <w:t>An employee who is absent from the employee’s employment because the employee is carrying out an emergency management response is entitled to be paid by the person’s employer remuneration for the period of the employee’s absence calculated at the employee’s ordinary rate of remuneration, determined in accordance with the regulations, on the time that the employee would ordinarily have worked had the employee worked his or her scheduled work time.</w:t>
      </w:r>
    </w:p>
    <w:p>
      <w:pPr>
        <w:pStyle w:val="Heading5"/>
      </w:pPr>
      <w:bookmarkStart w:id="316" w:name="_Toc118300118"/>
      <w:r>
        <w:rPr>
          <w:rStyle w:val="CharSectno"/>
        </w:rPr>
        <w:t>93</w:t>
      </w:r>
      <w:r>
        <w:t>.</w:t>
      </w:r>
      <w:r>
        <w:tab/>
        <w:t>Victimisation because of emergency management response</w:t>
      </w:r>
      <w:bookmarkEnd w:id="316"/>
    </w:p>
    <w:p>
      <w:pPr>
        <w:pStyle w:val="Subsection"/>
      </w:pPr>
      <w:r>
        <w:rPr>
          <w:snapToGrid w:val="0"/>
        </w:rPr>
        <w:tab/>
        <w:t>(1)</w:t>
      </w:r>
      <w:r>
        <w:rPr>
          <w:snapToGrid w:val="0"/>
        </w:rPr>
        <w:tab/>
        <w:t xml:space="preserve">An employer must not victimise an employee of the employer for the reason that, or reasons that include the reason that, the employee was </w:t>
      </w:r>
      <w:r>
        <w:t>temporarily absent from employment because the employee was carrying out an emergency management response.</w:t>
      </w:r>
    </w:p>
    <w:p>
      <w:pPr>
        <w:pStyle w:val="Subsection"/>
      </w:pPr>
      <w:r>
        <w:tab/>
        <w:t>(2)</w:t>
      </w:r>
      <w:r>
        <w:tab/>
        <w:t xml:space="preserve">It is a defence for the employer to show that — </w:t>
      </w:r>
    </w:p>
    <w:p>
      <w:pPr>
        <w:pStyle w:val="Indenta"/>
      </w:pPr>
      <w:r>
        <w:tab/>
        <w:t>(a)</w:t>
      </w:r>
      <w:r>
        <w:tab/>
        <w:t>the absence was not reasonable having regard to all the circumstances; or</w:t>
      </w:r>
    </w:p>
    <w:p>
      <w:pPr>
        <w:pStyle w:val="Indenta"/>
      </w:pPr>
      <w:r>
        <w:tab/>
        <w:t>(b)</w:t>
      </w:r>
      <w:r>
        <w:tab/>
        <w:t>that the victimisation did not occur for the reason, or for reasons that include the reason, referred to in subsection (1).</w:t>
      </w:r>
    </w:p>
    <w:p>
      <w:pPr>
        <w:pStyle w:val="Subsection"/>
      </w:pPr>
      <w:r>
        <w:lastRenderedPageBreak/>
        <w:tab/>
        <w:t>(3)</w:t>
      </w:r>
      <w:r>
        <w:tab/>
        <w:t xml:space="preserve">An employer victimises an employee if the employer — </w:t>
      </w:r>
    </w:p>
    <w:p>
      <w:pPr>
        <w:pStyle w:val="Indenta"/>
      </w:pPr>
      <w:r>
        <w:tab/>
        <w:t>(a)</w:t>
      </w:r>
      <w:r>
        <w:tab/>
        <w:t>dismisses the employee from employment with the employer; or</w:t>
      </w:r>
    </w:p>
    <w:p>
      <w:pPr>
        <w:pStyle w:val="Indenta"/>
      </w:pPr>
      <w:r>
        <w:tab/>
        <w:t>(b)</w:t>
      </w:r>
      <w:r>
        <w:tab/>
        <w:t>alters the employee’s position in his or her employment with the employer, to the employee’s disadvantage; or</w:t>
      </w:r>
    </w:p>
    <w:p>
      <w:pPr>
        <w:pStyle w:val="Indenta"/>
      </w:pPr>
      <w:r>
        <w:tab/>
        <w:t>(c)</w:t>
      </w:r>
      <w:r>
        <w:tab/>
        <w:t>refuses to promote or transfer the employee; or</w:t>
      </w:r>
    </w:p>
    <w:p>
      <w:pPr>
        <w:pStyle w:val="Indenta"/>
      </w:pPr>
      <w:r>
        <w:tab/>
        <w:t>(d)</w:t>
      </w:r>
      <w:r>
        <w:tab/>
        <w:t>does not provide the entitlements referred to in section 92; or</w:t>
      </w:r>
    </w:p>
    <w:p>
      <w:pPr>
        <w:pStyle w:val="Indenta"/>
      </w:pPr>
      <w:r>
        <w:tab/>
        <w:t>(e)</w:t>
      </w:r>
      <w:r>
        <w:tab/>
        <w:t>otherwise injures the employee in his or her employment with the employer.</w:t>
      </w:r>
    </w:p>
    <w:p>
      <w:pPr>
        <w:pStyle w:val="Heading5"/>
      </w:pPr>
      <w:bookmarkStart w:id="317" w:name="_Toc118300119"/>
      <w:r>
        <w:rPr>
          <w:rStyle w:val="CharSectno"/>
        </w:rPr>
        <w:t>94</w:t>
      </w:r>
      <w:r>
        <w:t>.</w:t>
      </w:r>
      <w:r>
        <w:tab/>
        <w:t>Civil penalty for breach of section 93</w:t>
      </w:r>
      <w:bookmarkEnd w:id="317"/>
    </w:p>
    <w:p>
      <w:pPr>
        <w:pStyle w:val="Subsection"/>
      </w:pPr>
      <w:r>
        <w:tab/>
        <w:t>(1)</w:t>
      </w:r>
      <w:r>
        <w:tab/>
        <w:t xml:space="preserve">In this section — </w:t>
      </w:r>
    </w:p>
    <w:p>
      <w:pPr>
        <w:pStyle w:val="Defstart"/>
      </w:pPr>
      <w:r>
        <w:rPr>
          <w:b/>
        </w:rPr>
        <w:tab/>
      </w:r>
      <w:r>
        <w:rPr>
          <w:rStyle w:val="CharDefText"/>
        </w:rPr>
        <w:t>association</w:t>
      </w:r>
      <w:r>
        <w:t xml:space="preserve"> has the meaning given to that term in the </w:t>
      </w:r>
      <w:r>
        <w:rPr>
          <w:i/>
        </w:rPr>
        <w:t>Industrial Relations Act 1979</w:t>
      </w:r>
      <w:r>
        <w:t>;</w:t>
      </w:r>
    </w:p>
    <w:p>
      <w:pPr>
        <w:pStyle w:val="Defstart"/>
      </w:pPr>
      <w:r>
        <w:rPr>
          <w:b/>
        </w:rPr>
        <w:tab/>
      </w:r>
      <w:r>
        <w:rPr>
          <w:rStyle w:val="CharDefText"/>
        </w:rPr>
        <w:t>court</w:t>
      </w:r>
      <w:r>
        <w:t xml:space="preserve"> means the Magistrates Court;</w:t>
      </w:r>
    </w:p>
    <w:p>
      <w:pPr>
        <w:pStyle w:val="Defstart"/>
      </w:pPr>
      <w:r>
        <w:rPr>
          <w:b/>
        </w:rPr>
        <w:tab/>
      </w:r>
      <w:r>
        <w:rPr>
          <w:rStyle w:val="CharDefText"/>
        </w:rPr>
        <w:t>organisation</w:t>
      </w:r>
      <w:r>
        <w:t xml:space="preserve"> has the meaning given to that term in the </w:t>
      </w:r>
      <w:r>
        <w:rPr>
          <w:i/>
        </w:rPr>
        <w:t>Industrial Relations Act 1979</w:t>
      </w:r>
      <w:r>
        <w:t>.</w:t>
      </w:r>
    </w:p>
    <w:p>
      <w:pPr>
        <w:pStyle w:val="Subsection"/>
      </w:pPr>
      <w:r>
        <w:tab/>
        <w:t>(2)</w:t>
      </w:r>
      <w:r>
        <w:tab/>
        <w:t xml:space="preserve">The following persons may apply to the court for an order under this section in respect of a contravention of section 93(1) — </w:t>
      </w:r>
    </w:p>
    <w:p>
      <w:pPr>
        <w:pStyle w:val="Indenta"/>
      </w:pPr>
      <w:r>
        <w:tab/>
        <w:t>(a)</w:t>
      </w:r>
      <w:r>
        <w:tab/>
        <w:t>the person directly affected by the contravention;</w:t>
      </w:r>
    </w:p>
    <w:p>
      <w:pPr>
        <w:pStyle w:val="Indenta"/>
      </w:pPr>
      <w:r>
        <w:tab/>
        <w:t>(b)</w:t>
      </w:r>
      <w:r>
        <w:tab/>
        <w:t>an organisation or an association of which that person is a member.</w:t>
      </w:r>
    </w:p>
    <w:p>
      <w:pPr>
        <w:pStyle w:val="Subsection"/>
      </w:pPr>
      <w:r>
        <w:tab/>
        <w:t>(3)</w:t>
      </w:r>
      <w:r>
        <w:tab/>
        <w:t xml:space="preserve">If the court is satisfied that the employer has contravened section 93(1), the court may order the employer — </w:t>
      </w:r>
    </w:p>
    <w:p>
      <w:pPr>
        <w:pStyle w:val="Indenta"/>
      </w:pPr>
      <w:r>
        <w:tab/>
        <w:t>(a)</w:t>
      </w:r>
      <w:r>
        <w:tab/>
        <w:t>to reinstate the person if he or she was dismissed from employment; or</w:t>
      </w:r>
    </w:p>
    <w:p>
      <w:pPr>
        <w:pStyle w:val="Indenta"/>
      </w:pPr>
      <w:r>
        <w:tab/>
        <w:t>(b)</w:t>
      </w:r>
      <w:r>
        <w:tab/>
        <w:t>subject to subsection (6), to pay to the person compensation for any loss or injury suffered as a result of the contravention; or</w:t>
      </w:r>
    </w:p>
    <w:p>
      <w:pPr>
        <w:pStyle w:val="Indenta"/>
        <w:keepNext/>
      </w:pPr>
      <w:r>
        <w:lastRenderedPageBreak/>
        <w:tab/>
        <w:t>(c)</w:t>
      </w:r>
      <w:r>
        <w:tab/>
        <w:t>to pay to the Treasurer an amount not exceeding $50 000,</w:t>
      </w:r>
    </w:p>
    <w:p>
      <w:pPr>
        <w:pStyle w:val="Subsection"/>
      </w:pPr>
      <w:r>
        <w:tab/>
      </w:r>
      <w:r>
        <w:tab/>
        <w:t>or do any one or more of those things.</w:t>
      </w:r>
    </w:p>
    <w:p>
      <w:pPr>
        <w:pStyle w:val="Subsection"/>
      </w:pPr>
      <w:r>
        <w:tab/>
        <w:t>(4)</w:t>
      </w:r>
      <w:r>
        <w:tab/>
        <w:t>The standard of proof to be applied in determining whether there has been a contravention of section 93(1) is the standard observed in civil proceedings.</w:t>
      </w:r>
    </w:p>
    <w:p>
      <w:pPr>
        <w:pStyle w:val="Subsection"/>
      </w:pPr>
      <w:r>
        <w:tab/>
        <w:t>(5)</w:t>
      </w:r>
      <w:r>
        <w:tab/>
        <w:t>A person is not entitled to compensation both under this section and otherwise for the same dismissal, loss or injury.</w:t>
      </w:r>
    </w:p>
    <w:p>
      <w:pPr>
        <w:pStyle w:val="Subsection"/>
      </w:pPr>
      <w:r>
        <w:tab/>
        <w:t>(6)</w:t>
      </w:r>
      <w:r>
        <w:tab/>
        <w:t xml:space="preserve">The court does not have jurisdiction under subsection (3)(b)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(7)</w:t>
      </w:r>
      <w:r>
        <w:tab/>
        <w:t>For the purposes of subsection (6)(a) the court may calculate the amount on the basis of an average rate of remuneration received during any relevant period of employment.</w:t>
      </w:r>
    </w:p>
    <w:p>
      <w:pPr>
        <w:pStyle w:val="Subsection"/>
      </w:pPr>
      <w:r>
        <w:tab/>
        <w:t>(8)</w:t>
      </w:r>
      <w:r>
        <w:tab/>
        <w:t xml:space="preserve">A person must comply with an order made against him or her under this section. </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Heading2"/>
      </w:pPr>
      <w:bookmarkStart w:id="318" w:name="_Toc117777733"/>
      <w:bookmarkStart w:id="319" w:name="_Toc117779448"/>
      <w:bookmarkStart w:id="320" w:name="_Toc117845370"/>
      <w:bookmarkStart w:id="321" w:name="_Toc118299756"/>
      <w:bookmarkStart w:id="322" w:name="_Toc118300120"/>
      <w:r>
        <w:rPr>
          <w:rStyle w:val="CharPartNo"/>
        </w:rPr>
        <w:lastRenderedPageBreak/>
        <w:t>Part 10</w:t>
      </w:r>
      <w:r>
        <w:rPr>
          <w:rStyle w:val="CharDivNo"/>
        </w:rPr>
        <w:t> </w:t>
      </w:r>
      <w:r>
        <w:t>—</w:t>
      </w:r>
      <w:r>
        <w:rPr>
          <w:rStyle w:val="CharDivText"/>
        </w:rPr>
        <w:t> </w:t>
      </w:r>
      <w:r>
        <w:rPr>
          <w:rStyle w:val="CharPartText"/>
        </w:rPr>
        <w:t>Miscellaneous</w:t>
      </w:r>
      <w:bookmarkEnd w:id="318"/>
      <w:bookmarkEnd w:id="319"/>
      <w:bookmarkEnd w:id="320"/>
      <w:bookmarkEnd w:id="321"/>
      <w:bookmarkEnd w:id="322"/>
    </w:p>
    <w:p>
      <w:pPr>
        <w:pStyle w:val="Heading5"/>
      </w:pPr>
      <w:bookmarkStart w:id="323" w:name="_Toc117777806"/>
      <w:bookmarkStart w:id="324" w:name="_Toc118300121"/>
      <w:r>
        <w:rPr>
          <w:rStyle w:val="CharSectno"/>
        </w:rPr>
        <w:t>94A</w:t>
      </w:r>
      <w:r>
        <w:t>.</w:t>
      </w:r>
      <w:r>
        <w:tab/>
        <w:t>Powers under other written laws do not affect whether declarations can be made</w:t>
      </w:r>
      <w:bookmarkEnd w:id="323"/>
      <w:bookmarkEnd w:id="324"/>
    </w:p>
    <w:p>
      <w:pPr>
        <w:pStyle w:val="Subsection"/>
      </w:pPr>
      <w:r>
        <w:tab/>
        <w:t>(1)</w:t>
      </w:r>
      <w:r>
        <w:tab/>
        <w:t xml:space="preserve">The existence of powers under any other written law that could be exercised in relation to an emergency does not affect — </w:t>
      </w:r>
    </w:p>
    <w:p>
      <w:pPr>
        <w:pStyle w:val="Indenta"/>
      </w:pPr>
      <w:r>
        <w:tab/>
        <w:t>(a)</w:t>
      </w:r>
      <w:r>
        <w:tab/>
        <w:t>whether an emergency situation declaration may be made under section 50; or</w:t>
      </w:r>
    </w:p>
    <w:p>
      <w:pPr>
        <w:pStyle w:val="Indenta"/>
      </w:pPr>
      <w:r>
        <w:tab/>
        <w:t>(b)</w:t>
      </w:r>
      <w:r>
        <w:tab/>
        <w:t>whether a state of emergency declaration may be made under section 56.</w:t>
      </w:r>
    </w:p>
    <w:p>
      <w:pPr>
        <w:pStyle w:val="Subsection"/>
      </w:pPr>
      <w:r>
        <w:tab/>
        <w:t>(2)</w:t>
      </w:r>
      <w:r>
        <w:tab/>
        <w:t xml:space="preserve">Without limiting subsection (1) — </w:t>
      </w:r>
    </w:p>
    <w:p>
      <w:pPr>
        <w:pStyle w:val="Indenta"/>
      </w:pPr>
      <w:r>
        <w:tab/>
        <w:t>(a)</w:t>
      </w:r>
      <w:r>
        <w:tab/>
        <w:t>in determining for the purposes of section 50(2)(b) whether there is a need to exercise powers under Part 6, the State Emergency Coordinator or hazard management agency (as the case requires) is not required to consider powers under any other written law; and</w:t>
      </w:r>
    </w:p>
    <w:p>
      <w:pPr>
        <w:pStyle w:val="Indenta"/>
      </w:pPr>
      <w:r>
        <w:tab/>
        <w:t>(b)</w:t>
      </w:r>
      <w:r>
        <w:tab/>
        <w:t>in determining for the purposes of section 56(2)(c) whether extraordinary measures are required, the Minister is not required to consider powers under any other written law.</w:t>
      </w:r>
    </w:p>
    <w:p>
      <w:pPr>
        <w:pStyle w:val="Subsection"/>
      </w:pPr>
      <w:r>
        <w:tab/>
        <w:t>(3)</w:t>
      </w:r>
      <w:r>
        <w:tab/>
        <w:t>The existence of powers under any other written law that could be exercised in relation to the occurrence of COVID</w:t>
      </w:r>
      <w:r>
        <w:noBreakHyphen/>
        <w:t>19 does not affect whether a COVID</w:t>
      </w:r>
      <w:r>
        <w:noBreakHyphen/>
        <w:t>19 declaration may be made under section 77C.</w:t>
      </w:r>
    </w:p>
    <w:p>
      <w:pPr>
        <w:pStyle w:val="Subsection"/>
      </w:pPr>
      <w:r>
        <w:tab/>
        <w:t>(4)</w:t>
      </w:r>
      <w:r>
        <w:tab/>
        <w:t>Without limiting subsection (3), in determining under section 77C(2)(b) whether there is a need to exercise powers under Part 6A Division 4, the State Emergency Coordinator is not required to consider powers under any other written law.</w:t>
      </w:r>
    </w:p>
    <w:p>
      <w:pPr>
        <w:pStyle w:val="Footnotesection"/>
      </w:pPr>
      <w:r>
        <w:tab/>
        <w:t>[Section 94A inserted: No. 33 of 2022 s. 8.]</w:t>
      </w:r>
    </w:p>
    <w:p>
      <w:pPr>
        <w:pStyle w:val="Heading5"/>
      </w:pPr>
      <w:bookmarkStart w:id="325" w:name="_Toc118300122"/>
      <w:r>
        <w:rPr>
          <w:rStyle w:val="CharSectno"/>
        </w:rPr>
        <w:lastRenderedPageBreak/>
        <w:t>95</w:t>
      </w:r>
      <w:r>
        <w:t>.</w:t>
      </w:r>
      <w:r>
        <w:tab/>
        <w:t>Confidentiality of information</w:t>
      </w:r>
      <w:bookmarkEnd w:id="325"/>
    </w:p>
    <w:p>
      <w:pPr>
        <w:pStyle w:val="Subsection"/>
        <w:keepNext/>
        <w:keepLines/>
      </w:pPr>
      <w:r>
        <w:tab/>
      </w:r>
      <w:r>
        <w:tab/>
        <w:t xml:space="preserve">A person who has been engaged in the performance of functions under this Act must not, directly or indirectly, record, disclose or make use of information obtained in the course of duty, except — </w:t>
      </w:r>
    </w:p>
    <w:p>
      <w:pPr>
        <w:pStyle w:val="Indenta"/>
      </w:pPr>
      <w:r>
        <w:tab/>
        <w:t>(a)</w:t>
      </w:r>
      <w:r>
        <w:tab/>
        <w:t>for the purpose of, or in connection with, performing functions under this Act; or</w:t>
      </w:r>
    </w:p>
    <w:p>
      <w:pPr>
        <w:pStyle w:val="Indenta"/>
      </w:pPr>
      <w:r>
        <w:tab/>
        <w:t>(b)</w:t>
      </w:r>
      <w:r>
        <w:tab/>
        <w:t>as required or allowed under this Act or another written law; or</w:t>
      </w:r>
    </w:p>
    <w:p>
      <w:pPr>
        <w:pStyle w:val="Indenta"/>
      </w:pPr>
      <w:r>
        <w:tab/>
        <w:t>(c)</w:t>
      </w:r>
      <w:r>
        <w:tab/>
        <w:t>with the written consent of the Minister or person to whom the information relates; or</w:t>
      </w:r>
    </w:p>
    <w:p>
      <w:pPr>
        <w:pStyle w:val="Indenta"/>
      </w:pPr>
      <w:r>
        <w:tab/>
        <w:t>(d)</w:t>
      </w:r>
      <w:r>
        <w:tab/>
        <w:t>in prescribed circumstances.</w:t>
      </w:r>
    </w:p>
    <w:p>
      <w:pPr>
        <w:pStyle w:val="Penstart"/>
      </w:pPr>
      <w:r>
        <w:tab/>
        <w:t>Penalty: a fine of $12 000 and imprisonment for one year.</w:t>
      </w:r>
    </w:p>
    <w:p>
      <w:pPr>
        <w:pStyle w:val="Heading5"/>
      </w:pPr>
      <w:bookmarkStart w:id="326" w:name="_Toc118300123"/>
      <w:r>
        <w:rPr>
          <w:rStyle w:val="CharSectno"/>
        </w:rPr>
        <w:t>96</w:t>
      </w:r>
      <w:r>
        <w:t>.</w:t>
      </w:r>
      <w:r>
        <w:tab/>
        <w:t>Expenses</w:t>
      </w:r>
      <w:bookmarkEnd w:id="326"/>
    </w:p>
    <w:p>
      <w:pPr>
        <w:pStyle w:val="Subsection"/>
      </w:pPr>
      <w:r>
        <w:tab/>
        <w:t>(1)</w:t>
      </w:r>
      <w:r>
        <w:tab/>
        <w:t xml:space="preserve">The Minister may approve the payment to an emergency management agency of expenses that are — </w:t>
      </w:r>
    </w:p>
    <w:p>
      <w:pPr>
        <w:pStyle w:val="Indenta"/>
      </w:pPr>
      <w:r>
        <w:tab/>
        <w:t>(a)</w:t>
      </w:r>
      <w:r>
        <w:tab/>
        <w:t>incurred by the emergency management agency in implementing emergency management during an emergency situation or a state of emergency in accordance with this Act; and</w:t>
      </w:r>
    </w:p>
    <w:p>
      <w:pPr>
        <w:pStyle w:val="Indenta"/>
      </w:pPr>
      <w:r>
        <w:tab/>
        <w:t>(b)</w:t>
      </w:r>
      <w:r>
        <w:tab/>
        <w:t>not otherwise payable out of moneys provided by Parliament for that purpose.</w:t>
      </w:r>
    </w:p>
    <w:p>
      <w:pPr>
        <w:pStyle w:val="Subsection"/>
      </w:pPr>
      <w:r>
        <w:tab/>
        <w:t>(2)</w:t>
      </w:r>
      <w:r>
        <w:tab/>
        <w:t xml:space="preserve">The </w:t>
      </w:r>
      <w:r>
        <w:rPr>
          <w:snapToGrid w:val="0"/>
        </w:rPr>
        <w:t>Consolidated Account</w:t>
      </w:r>
      <w:r>
        <w:t xml:space="preserve"> is charged with the payment of any expenses that are approved under subsection (1) and is appropriated accordingly.</w:t>
      </w:r>
    </w:p>
    <w:p>
      <w:pPr>
        <w:pStyle w:val="Footnotesection"/>
      </w:pPr>
      <w:r>
        <w:tab/>
        <w:t>[Section 96 amended: No. 77 of 2006 s. 4.]</w:t>
      </w:r>
    </w:p>
    <w:p>
      <w:pPr>
        <w:pStyle w:val="Footnotesection"/>
      </w:pPr>
      <w:r>
        <w:tab/>
        <w:t>[Section 96: modified by section 77X(1).]</w:t>
      </w:r>
    </w:p>
    <w:p>
      <w:pPr>
        <w:pStyle w:val="Heading5"/>
      </w:pPr>
      <w:bookmarkStart w:id="327" w:name="_Toc118300124"/>
      <w:r>
        <w:rPr>
          <w:rStyle w:val="CharSectno"/>
        </w:rPr>
        <w:lastRenderedPageBreak/>
        <w:t>97</w:t>
      </w:r>
      <w:r>
        <w:t>.</w:t>
      </w:r>
      <w:r>
        <w:tab/>
        <w:t>Bodies corporate or employers, conduct on behalf of</w:t>
      </w:r>
      <w:bookmarkEnd w:id="327"/>
    </w:p>
    <w:p>
      <w:pPr>
        <w:pStyle w:val="Subsection"/>
        <w:keepNext/>
      </w:pPr>
      <w:r>
        <w:tab/>
        <w:t>(1)</w:t>
      </w:r>
      <w:r>
        <w:tab/>
        <w:t xml:space="preserve">In this section — </w:t>
      </w:r>
    </w:p>
    <w:p>
      <w:pPr>
        <w:pStyle w:val="Defstart"/>
      </w:pPr>
      <w:r>
        <w:rPr>
          <w:b/>
        </w:rP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lastRenderedPageBreak/>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328" w:name="_Toc118300125"/>
      <w:r>
        <w:rPr>
          <w:rStyle w:val="CharSectno"/>
        </w:rPr>
        <w:t>98</w:t>
      </w:r>
      <w:r>
        <w:t>.</w:t>
      </w:r>
      <w:r>
        <w:tab/>
        <w:t>Body corporate’s officers, liability of</w:t>
      </w:r>
      <w:bookmarkEnd w:id="328"/>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meaning given to that term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under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keepNext/>
      </w:pPr>
      <w:r>
        <w:lastRenderedPageBreak/>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329" w:name="_Toc118300126"/>
      <w:r>
        <w:rPr>
          <w:rStyle w:val="CharSectno"/>
        </w:rPr>
        <w:t>99</w:t>
      </w:r>
      <w:r>
        <w:t>.</w:t>
      </w:r>
      <w:r>
        <w:tab/>
        <w:t>Evidentiary matters</w:t>
      </w:r>
      <w:bookmarkEnd w:id="329"/>
    </w:p>
    <w:p>
      <w:pPr>
        <w:pStyle w:val="Subsection"/>
      </w:pPr>
      <w:r>
        <w:tab/>
        <w:t>(1)</w:t>
      </w:r>
      <w:r>
        <w:tab/>
        <w:t xml:space="preserve">In proceedings for an offence against this Act, an allegation in the prosecution notice of any of the following matters is, in the absence of evidence to the contrary, to be taken to be proved — </w:t>
      </w:r>
    </w:p>
    <w:p>
      <w:pPr>
        <w:pStyle w:val="Indenta"/>
      </w:pPr>
      <w:r>
        <w:tab/>
        <w:t>(a)</w:t>
      </w:r>
      <w:r>
        <w:tab/>
        <w:t>that at a specified time an emergency situation declaration or a state of emergency declaration was in force;</w:t>
      </w:r>
    </w:p>
    <w:p>
      <w:pPr>
        <w:pStyle w:val="Indenta"/>
      </w:pPr>
      <w:r>
        <w:tab/>
        <w:t>(b)</w:t>
      </w:r>
      <w:r>
        <w:tab/>
        <w:t>that at a specified time a specified area was, or was part of, an emergency area;</w:t>
      </w:r>
    </w:p>
    <w:p>
      <w:pPr>
        <w:pStyle w:val="Indenta"/>
      </w:pPr>
      <w:r>
        <w:tab/>
        <w:t>(c)</w:t>
      </w:r>
      <w:r>
        <w:tab/>
        <w:t>that at a specified time a person was a hazard management officer, an authorised officer or a police officer authorised to act under section 71;</w:t>
      </w:r>
    </w:p>
    <w:p>
      <w:pPr>
        <w:pStyle w:val="Indenta"/>
      </w:pPr>
      <w:r>
        <w:tab/>
        <w:t>(d)</w:t>
      </w:r>
      <w:r>
        <w:tab/>
        <w:t>that at a specified time a specified person was given a notice or direction under this Act;</w:t>
      </w:r>
    </w:p>
    <w:p>
      <w:pPr>
        <w:pStyle w:val="Indenta"/>
      </w:pPr>
      <w:r>
        <w:tab/>
        <w:t>(e)</w:t>
      </w:r>
      <w:r>
        <w:tab/>
        <w:t>that at a specified time a specified requirement was made of a specified person.</w:t>
      </w:r>
    </w:p>
    <w:p>
      <w:pPr>
        <w:pStyle w:val="Subsection"/>
      </w:pPr>
      <w:r>
        <w:tab/>
        <w:t>(2)</w:t>
      </w:r>
      <w:r>
        <w:tab/>
        <w:t>Unless the contrary is proved, it is to be presumed that a document purporting to have been signed by the Minister, the State Emergency Coordinator, the chairman of the SEMC, a hazard management officer or an authorised officer was signed by a person who at the time was the Minister, the State Emergency Coordinator, the chairman of the SEMC, a hazard management officer or an authorised officer.</w:t>
      </w:r>
    </w:p>
    <w:p>
      <w:pPr>
        <w:pStyle w:val="Subsection"/>
        <w:keepNext/>
        <w:keepLines/>
      </w:pPr>
      <w:r>
        <w:lastRenderedPageBreak/>
        <w:tab/>
        <w:t>(3)</w:t>
      </w:r>
      <w:r>
        <w:tab/>
        <w:t>Unless the contrary is proved, it is to be presumed that a document purporting to have been signed by a delegate of the Minister, the State Emergency Coordinator or the SEMC was signed by a person who at the time was such a delegate and was authorised to sign it.</w:t>
      </w:r>
    </w:p>
    <w:p>
      <w:pPr>
        <w:pStyle w:val="Subsection"/>
      </w:pPr>
      <w:r>
        <w:tab/>
        <w:t>(4)</w:t>
      </w:r>
      <w:r>
        <w:tab/>
        <w:t xml:space="preserve">This section is in addition to and does not affect the operation of the </w:t>
      </w:r>
      <w:r>
        <w:rPr>
          <w:i/>
        </w:rPr>
        <w:t>Evidence Act 1906</w:t>
      </w:r>
      <w:r>
        <w:t>.</w:t>
      </w:r>
    </w:p>
    <w:p>
      <w:pPr>
        <w:pStyle w:val="Footnotesection"/>
      </w:pPr>
      <w:r>
        <w:tab/>
        <w:t>[Section 99: modified by section 77X(1).]</w:t>
      </w:r>
    </w:p>
    <w:p>
      <w:pPr>
        <w:pStyle w:val="Heading5"/>
      </w:pPr>
      <w:bookmarkStart w:id="330" w:name="_Toc118300127"/>
      <w:r>
        <w:rPr>
          <w:rStyle w:val="CharSectno"/>
        </w:rPr>
        <w:t>100</w:t>
      </w:r>
      <w:r>
        <w:t>.</w:t>
      </w:r>
      <w:r>
        <w:tab/>
        <w:t>Protection from liability</w:t>
      </w:r>
      <w:bookmarkEnd w:id="330"/>
    </w:p>
    <w:p>
      <w:pPr>
        <w:pStyle w:val="Subsection"/>
      </w:pPr>
      <w:r>
        <w:tab/>
        <w:t>(1)</w:t>
      </w:r>
      <w:r>
        <w:tab/>
        <w:t>An action in tort does not lie against the State, a Minister, the State Emergency Coordinator, a local government or an official for anything done, in good faith, under this Act.</w:t>
      </w:r>
    </w:p>
    <w:p>
      <w:pPr>
        <w:pStyle w:val="Subsection"/>
      </w:pPr>
      <w:r>
        <w:tab/>
        <w:t>(2)</w:t>
      </w:r>
      <w:r>
        <w:tab/>
        <w:t xml:space="preserve">This section does not stop a person further limiting the person’s liability for an act or omission by relying on a provision of the </w:t>
      </w:r>
      <w:r>
        <w:rPr>
          <w:i/>
        </w:rPr>
        <w:t>Civil Liability Act 2002</w:t>
      </w:r>
      <w:r>
        <w:t>.</w:t>
      </w:r>
    </w:p>
    <w:p>
      <w:pPr>
        <w:pStyle w:val="Subsection"/>
      </w:pPr>
      <w:r>
        <w:tab/>
        <w:t>(3)</w:t>
      </w:r>
      <w:r>
        <w:tab/>
        <w:t xml:space="preserve">Subsection (1) does not affect any right to recover damages in respect of the death of or bodily injury to any person directly caused by, or by the driving of, a motor vehicle if, at the time of the death or bodily injury —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the </w:t>
      </w:r>
      <w:r>
        <w:rPr>
          <w:i/>
        </w:rPr>
        <w:t>Motor Vehicle (Third Party Insurance) Act 1943</w:t>
      </w:r>
      <w:r>
        <w:t xml:space="preserve"> section 4 or the corresponding legislation of a State or Territory prescribed for the purposes of section 3(4) of that Act.</w:t>
      </w:r>
    </w:p>
    <w:p>
      <w:pPr>
        <w:pStyle w:val="Subsection"/>
      </w:pPr>
      <w:r>
        <w:tab/>
        <w:t>(4)</w:t>
      </w:r>
      <w:r>
        <w:tab/>
        <w:t>The protection given by this section applies even though the thing done in the performance or purported performance of a function under this Act may have been capable of being done whether or not this Act had been enacted.</w:t>
      </w:r>
    </w:p>
    <w:p>
      <w:pPr>
        <w:pStyle w:val="Subsection"/>
        <w:keepNext/>
        <w:keepLines/>
      </w:pPr>
      <w:r>
        <w:lastRenderedPageBreak/>
        <w:tab/>
        <w:t>(5)</w:t>
      </w:r>
      <w:r>
        <w:tab/>
        <w:t>In this section a reference to the doing of anything includes a reference to the omission to do anything.</w:t>
      </w:r>
    </w:p>
    <w:p>
      <w:pPr>
        <w:pStyle w:val="Subsection"/>
        <w:keepNext/>
      </w:pPr>
      <w:r>
        <w:tab/>
        <w:t>(6)</w:t>
      </w:r>
      <w:r>
        <w:tab/>
        <w:t xml:space="preserve">In this section — </w:t>
      </w:r>
    </w:p>
    <w:p>
      <w:pPr>
        <w:pStyle w:val="Defstart"/>
      </w:pPr>
      <w:r>
        <w:rPr>
          <w:b/>
        </w:rPr>
        <w:tab/>
      </w:r>
      <w:r>
        <w:rPr>
          <w:rStyle w:val="CharDefText"/>
        </w:rPr>
        <w:t>motor vehicle</w:t>
      </w:r>
      <w:r>
        <w:rPr>
          <w:b/>
        </w:rPr>
        <w:t xml:space="preserve"> </w:t>
      </w:r>
      <w:r>
        <w:t xml:space="preserve">has the meaning given to that term in the </w:t>
      </w:r>
      <w:r>
        <w:rPr>
          <w:i/>
        </w:rPr>
        <w:t xml:space="preserve">Motor Vehicle (Third Party Insurance) Act 1943 </w:t>
      </w:r>
      <w:r>
        <w:t>section 3(1);</w:t>
      </w:r>
    </w:p>
    <w:p>
      <w:pPr>
        <w:pStyle w:val="Defstart"/>
      </w:pPr>
      <w:r>
        <w:rPr>
          <w:b/>
        </w:rPr>
        <w:tab/>
      </w:r>
      <w:r>
        <w:rPr>
          <w:rStyle w:val="CharDefText"/>
        </w:rPr>
        <w:t>official</w:t>
      </w:r>
      <w:r>
        <w:t xml:space="preserve"> means — </w:t>
      </w:r>
    </w:p>
    <w:p>
      <w:pPr>
        <w:pStyle w:val="Defpara"/>
      </w:pPr>
      <w:r>
        <w:tab/>
        <w:t>(a)</w:t>
      </w:r>
      <w:r>
        <w:tab/>
        <w:t>a member of the State Disaster Council, the State Emergency Management Committee, the State Emergency Coordination Group, a district emergency management committee or local emergency management committee;</w:t>
      </w:r>
    </w:p>
    <w:p>
      <w:pPr>
        <w:pStyle w:val="Defpara"/>
      </w:pPr>
      <w:r>
        <w:tab/>
        <w:t>(b)</w:t>
      </w:r>
      <w:r>
        <w:tab/>
        <w:t>an authorised officer;</w:t>
      </w:r>
    </w:p>
    <w:p>
      <w:pPr>
        <w:pStyle w:val="Defpara"/>
      </w:pPr>
      <w:r>
        <w:tab/>
        <w:t>(c)</w:t>
      </w:r>
      <w:r>
        <w:tab/>
        <w:t>a district emergency coordinator;</w:t>
      </w:r>
    </w:p>
    <w:p>
      <w:pPr>
        <w:pStyle w:val="Defpara"/>
      </w:pPr>
      <w:r>
        <w:tab/>
        <w:t>(d)</w:t>
      </w:r>
      <w:r>
        <w:tab/>
        <w:t>a local emergency coordinator;</w:t>
      </w:r>
    </w:p>
    <w:p>
      <w:pPr>
        <w:pStyle w:val="Defpara"/>
      </w:pPr>
      <w:r>
        <w:tab/>
        <w:t>(e)</w:t>
      </w:r>
      <w:r>
        <w:tab/>
        <w:t>an emergency management agency;</w:t>
      </w:r>
    </w:p>
    <w:p>
      <w:pPr>
        <w:pStyle w:val="Defpara"/>
      </w:pPr>
      <w:r>
        <w:tab/>
        <w:t>(f)</w:t>
      </w:r>
      <w:r>
        <w:tab/>
        <w:t>a hazard management officer;</w:t>
      </w:r>
    </w:p>
    <w:p>
      <w:pPr>
        <w:pStyle w:val="Defpara"/>
      </w:pPr>
      <w:r>
        <w:tab/>
        <w:t>(g)</w:t>
      </w:r>
      <w:r>
        <w:tab/>
        <w:t>a person acting under the direction or on the requirement of an authorised officer, a hazard management officer, or a police officer, under this Act.</w:t>
      </w:r>
    </w:p>
    <w:p>
      <w:pPr>
        <w:pStyle w:val="Footnotesection"/>
      </w:pPr>
      <w:r>
        <w:tab/>
        <w:t>[Section 100: modified by section 77X(1).]</w:t>
      </w:r>
    </w:p>
    <w:p>
      <w:pPr>
        <w:pStyle w:val="Heading5"/>
      </w:pPr>
      <w:bookmarkStart w:id="331" w:name="_Toc118300128"/>
      <w:r>
        <w:rPr>
          <w:rStyle w:val="CharSectno"/>
        </w:rPr>
        <w:t>101</w:t>
      </w:r>
      <w:r>
        <w:t>.</w:t>
      </w:r>
      <w:r>
        <w:tab/>
        <w:t>Regulations as to compensation of volunteers</w:t>
      </w:r>
      <w:bookmarkEnd w:id="331"/>
    </w:p>
    <w:p>
      <w:pPr>
        <w:pStyle w:val="Subsection"/>
        <w:keepNext/>
      </w:pPr>
      <w:r>
        <w:tab/>
        <w:t>(1)</w:t>
      </w:r>
      <w:r>
        <w:tab/>
        <w:t xml:space="preserve">In this section — </w:t>
      </w:r>
    </w:p>
    <w:p>
      <w:pPr>
        <w:pStyle w:val="Defstart"/>
      </w:pPr>
      <w:r>
        <w:rPr>
          <w:b/>
        </w:rPr>
        <w:tab/>
      </w:r>
      <w:r>
        <w:rPr>
          <w:rStyle w:val="CharDefText"/>
        </w:rPr>
        <w:t>prescribed emergency activity</w:t>
      </w:r>
      <w:r>
        <w:t xml:space="preserve"> means an activity prescribed by the regulations that relates to emergency management;</w:t>
      </w:r>
    </w:p>
    <w:p>
      <w:pPr>
        <w:pStyle w:val="Defstart"/>
      </w:pPr>
      <w:r>
        <w:rPr>
          <w:b/>
        </w:rPr>
        <w:tab/>
      </w:r>
      <w:r>
        <w:rPr>
          <w:rStyle w:val="CharDefText"/>
        </w:rPr>
        <w:t>volunteer</w:t>
      </w:r>
      <w:r>
        <w:t xml:space="preserve"> means a person who — </w:t>
      </w:r>
    </w:p>
    <w:p>
      <w:pPr>
        <w:pStyle w:val="Defpara"/>
      </w:pPr>
      <w:r>
        <w:tab/>
        <w:t>(a)</w:t>
      </w:r>
      <w:r>
        <w:tab/>
        <w:t>carries out a prescribed emergency activity; and</w:t>
      </w:r>
    </w:p>
    <w:p>
      <w:pPr>
        <w:pStyle w:val="Defpara"/>
      </w:pPr>
      <w:r>
        <w:tab/>
        <w:t>(b)</w:t>
      </w:r>
      <w:r>
        <w:tab/>
        <w:t xml:space="preserve">carries out the activity — </w:t>
      </w:r>
    </w:p>
    <w:p>
      <w:pPr>
        <w:pStyle w:val="Defsubpara"/>
      </w:pPr>
      <w:r>
        <w:tab/>
        <w:t>(i)</w:t>
      </w:r>
      <w:r>
        <w:tab/>
        <w:t>on a voluntary basis; or</w:t>
      </w:r>
    </w:p>
    <w:p>
      <w:pPr>
        <w:pStyle w:val="Defsubpara"/>
      </w:pPr>
      <w:r>
        <w:tab/>
        <w:t>(ii)</w:t>
      </w:r>
      <w:r>
        <w:tab/>
        <w:t>in accordance with a direction given under this Act or any other written law.</w:t>
      </w:r>
    </w:p>
    <w:p>
      <w:pPr>
        <w:pStyle w:val="Subsection"/>
      </w:pPr>
      <w:r>
        <w:lastRenderedPageBreak/>
        <w:tab/>
        <w:t>(2)</w:t>
      </w:r>
      <w:r>
        <w:tab/>
        <w:t xml:space="preserve">For the purposes of this section a person carries out an activity on a voluntary basis even if the person directly or indirectly takes or agrees to take — </w:t>
      </w:r>
    </w:p>
    <w:p>
      <w:pPr>
        <w:pStyle w:val="Indenta"/>
      </w:pPr>
      <w:r>
        <w:tab/>
        <w:t>(a)</w:t>
      </w:r>
      <w:r>
        <w:tab/>
        <w:t>an honorarium; or</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Subsection"/>
      </w:pPr>
      <w:r>
        <w:tab/>
        <w:t>(3)</w:t>
      </w:r>
      <w:r>
        <w:tab/>
        <w:t>The Governor may make regulations concerning compensation and insurance of volunteers carrying out prescribed emergency activities.</w:t>
      </w:r>
    </w:p>
    <w:p>
      <w:pPr>
        <w:pStyle w:val="Subsection"/>
      </w:pPr>
      <w:r>
        <w:tab/>
        <w:t>(4)</w:t>
      </w:r>
      <w:r>
        <w:tab/>
        <w:t>Regulations made under this section may require an emergency management agency to take out and keep current in accordance with the regulations a policy of insurance that insures volunteers for compensation for injury caused to them while they are engaged in carrying out prescribed emergency activities.</w:t>
      </w:r>
    </w:p>
    <w:p>
      <w:pPr>
        <w:pStyle w:val="Subsection"/>
      </w:pPr>
      <w:r>
        <w:tab/>
        <w:t>(5)</w:t>
      </w:r>
      <w:r>
        <w:tab/>
        <w:t xml:space="preserve">Without limiting subsections (3) and (4), regulations made under this section may — </w:t>
      </w:r>
    </w:p>
    <w:p>
      <w:pPr>
        <w:pStyle w:val="Indenta"/>
      </w:pPr>
      <w:r>
        <w:tab/>
        <w:t>(a)</w:t>
      </w:r>
      <w:r>
        <w:tab/>
        <w:t>provide for the compensation that is payable for injury caused to a volunteer and the circumstances in which the compensation is payable; and</w:t>
      </w:r>
    </w:p>
    <w:p>
      <w:pPr>
        <w:pStyle w:val="Indenta"/>
      </w:pPr>
      <w:r>
        <w:tab/>
        <w:t>(b)</w:t>
      </w:r>
      <w:r>
        <w:tab/>
        <w:t>prescribe the terms and conditions on and subject to which insurance is to be provided, including the amounts of insurance cover to be taken out and kept current; and</w:t>
      </w:r>
    </w:p>
    <w:p>
      <w:pPr>
        <w:pStyle w:val="Indenta"/>
      </w:pPr>
      <w:r>
        <w:tab/>
        <w:t>(c)</w:t>
      </w:r>
      <w:r>
        <w:tab/>
        <w:t>prescribe classes or categories of volunteers to which specified provisions or obligations under the regulations apply or do not apply; and</w:t>
      </w:r>
    </w:p>
    <w:p>
      <w:pPr>
        <w:pStyle w:val="Indenta"/>
      </w:pPr>
      <w:r>
        <w:tab/>
        <w:t>(d)</w:t>
      </w:r>
      <w:r>
        <w:tab/>
        <w:t>prescribe classes or categories of emergency management agencies to which specified provisions or obligations under the regulations apply or do not apply; and</w:t>
      </w:r>
    </w:p>
    <w:p>
      <w:pPr>
        <w:pStyle w:val="Indenta"/>
      </w:pPr>
      <w:r>
        <w:lastRenderedPageBreak/>
        <w:tab/>
        <w:t>(e)</w:t>
      </w:r>
      <w:r>
        <w:tab/>
        <w:t>provide for circumstances in which emergency management agencies are exempt from the regulations; and</w:t>
      </w:r>
    </w:p>
    <w:p>
      <w:pPr>
        <w:pStyle w:val="Indenta"/>
        <w:keepLines/>
      </w:pPr>
      <w:r>
        <w:tab/>
        <w:t>(f)</w:t>
      </w:r>
      <w:r>
        <w:tab/>
        <w:t xml:space="preserve">prescribe a penalty of not more than $50 000 for an offence against the regulations, with or without a penalty for each separate and further offence committed under the </w:t>
      </w:r>
      <w:r>
        <w:rPr>
          <w:i/>
        </w:rPr>
        <w:t>Interpretation Act 1984</w:t>
      </w:r>
      <w:r>
        <w:t xml:space="preserve"> section 71 of not more than $5 000.</w:t>
      </w:r>
    </w:p>
    <w:p>
      <w:pPr>
        <w:pStyle w:val="Footnotesection"/>
      </w:pPr>
      <w:r>
        <w:tab/>
        <w:t>[Section 101: modified by section 77X(1).]</w:t>
      </w:r>
    </w:p>
    <w:p>
      <w:pPr>
        <w:pStyle w:val="Heading5"/>
      </w:pPr>
      <w:bookmarkStart w:id="332" w:name="_Toc118300129"/>
      <w:r>
        <w:rPr>
          <w:rStyle w:val="CharSectno"/>
        </w:rPr>
        <w:t>102</w:t>
      </w:r>
      <w:r>
        <w:t>.</w:t>
      </w:r>
      <w:r>
        <w:tab/>
        <w:t>Regulations</w:t>
      </w:r>
      <w:bookmarkEnd w:id="33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limit the circumstances, and regulate the manner, in which the powers conferred by this Act may be exercised.</w:t>
      </w:r>
    </w:p>
    <w:p>
      <w:pPr>
        <w:pStyle w:val="Subsection"/>
      </w:pPr>
      <w:r>
        <w:tab/>
        <w:t>(3)</w:t>
      </w:r>
      <w:r>
        <w:tab/>
        <w:t xml:space="preserve">If this Act is a prescribed Act for the purposes of the </w:t>
      </w:r>
      <w:r>
        <w:rPr>
          <w:i/>
        </w:rPr>
        <w:t>Criminal Procedure Act 2004</w:t>
      </w:r>
      <w:r>
        <w:t xml:space="preserve"> Part 2, regulations that prescribe an offence under this Act for which an infringement notice may be issued under the </w:t>
      </w:r>
      <w:r>
        <w:rPr>
          <w:i/>
        </w:rPr>
        <w:t>Criminal Procedure Act 2004</w:t>
      </w:r>
      <w:r>
        <w:t xml:space="preserve"> Part 2 have effect despite section 5(2) of that Act.</w:t>
      </w:r>
    </w:p>
    <w:p>
      <w:pPr>
        <w:pStyle w:val="Footnotesection"/>
      </w:pPr>
      <w:r>
        <w:tab/>
        <w:t>[Section 102 amended: No. 11 of 2020 s. 14.]</w:t>
      </w:r>
    </w:p>
    <w:p>
      <w:pPr>
        <w:pStyle w:val="Heading5"/>
      </w:pPr>
      <w:bookmarkStart w:id="333" w:name="_Toc118300130"/>
      <w:r>
        <w:rPr>
          <w:rStyle w:val="CharSectno"/>
        </w:rPr>
        <w:t>103</w:t>
      </w:r>
      <w:r>
        <w:t>.</w:t>
      </w:r>
      <w:r>
        <w:tab/>
        <w:t>Review of Act</w:t>
      </w:r>
      <w:bookmarkEnd w:id="333"/>
    </w:p>
    <w:p>
      <w:pPr>
        <w:pStyle w:val="Subsection"/>
      </w:pPr>
      <w:r>
        <w:tab/>
        <w:t>(1)</w:t>
      </w:r>
      <w:r>
        <w:tab/>
        <w:t>The Minister is to carry out a review of the operation and effectiveness of this Act as soon as is practicable after the expiry of 5 years from the commencement of this Act.</w:t>
      </w:r>
    </w:p>
    <w:p>
      <w:pPr>
        <w:pStyle w:val="Subsection"/>
      </w:pPr>
      <w:r>
        <w:tab/>
        <w:t>(2)</w:t>
      </w:r>
      <w:r>
        <w:tab/>
        <w:t xml:space="preserve">In the course of that review the Minister is to consider and have regard to — </w:t>
      </w:r>
    </w:p>
    <w:p>
      <w:pPr>
        <w:pStyle w:val="Indenta"/>
      </w:pPr>
      <w:r>
        <w:tab/>
        <w:t>(a)</w:t>
      </w:r>
      <w:r>
        <w:tab/>
        <w:t>whether there is a need for the Act to continue; and</w:t>
      </w:r>
    </w:p>
    <w:p>
      <w:pPr>
        <w:pStyle w:val="Indenta"/>
      </w:pPr>
      <w:r>
        <w:lastRenderedPageBreak/>
        <w:tab/>
        <w:t>(b)</w:t>
      </w:r>
      <w:r>
        <w:tab/>
        <w:t>any other matters that appear to the Minister to be relevant to the operation and effectiveness of the Act.</w:t>
      </w:r>
    </w:p>
    <w:p>
      <w:pPr>
        <w:pStyle w:val="Subsection"/>
      </w:pPr>
      <w:r>
        <w:tab/>
        <w:t>(3)</w:t>
      </w:r>
      <w:r>
        <w:tab/>
        <w:t>The Minister is to prepare a report based on the review and, as soon as is practicable after the report is prepared, is to cause it to be laid before each House of Parliament.</w:t>
      </w:r>
    </w:p>
    <w:p>
      <w:pPr>
        <w:pStyle w:val="Ednotesection"/>
      </w:pPr>
      <w:r>
        <w:t>[</w:t>
      </w:r>
      <w:r>
        <w:rPr>
          <w:b/>
        </w:rPr>
        <w:t>104.</w:t>
      </w:r>
      <w:r>
        <w:tab/>
        <w:t>Omitted under the Reprints Act 1984 s. 7(4)(e).]</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34" w:name="_Toc117777743"/>
      <w:bookmarkStart w:id="335" w:name="_Toc117779459"/>
      <w:bookmarkStart w:id="336" w:name="_Toc117845381"/>
      <w:bookmarkStart w:id="337" w:name="_Toc118299767"/>
      <w:bookmarkStart w:id="338" w:name="_Toc118300131"/>
      <w:r>
        <w:lastRenderedPageBreak/>
        <w:t>Notes</w:t>
      </w:r>
      <w:bookmarkEnd w:id="334"/>
      <w:bookmarkEnd w:id="335"/>
      <w:bookmarkEnd w:id="336"/>
      <w:bookmarkEnd w:id="337"/>
      <w:bookmarkEnd w:id="338"/>
    </w:p>
    <w:p>
      <w:pPr>
        <w:pStyle w:val="nStatement"/>
      </w:pPr>
      <w:r>
        <w:t xml:space="preserve">This is a compilation of the </w:t>
      </w:r>
      <w:r>
        <w:rPr>
          <w:i/>
          <w:noProof/>
        </w:rPr>
        <w:t>Emergency Management Act 2005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39" w:name="_Toc118300132"/>
      <w:r>
        <w:t>Compilation table</w:t>
      </w:r>
      <w:bookmarkEnd w:id="339"/>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noProof/>
                <w:snapToGrid w:val="0"/>
              </w:rPr>
              <w:t>Emergency Management Act 2005</w:t>
            </w:r>
          </w:p>
        </w:tc>
        <w:tc>
          <w:tcPr>
            <w:tcW w:w="1134" w:type="dxa"/>
            <w:tcBorders>
              <w:top w:val="single" w:sz="8" w:space="0" w:color="auto"/>
            </w:tcBorders>
          </w:tcPr>
          <w:p>
            <w:pPr>
              <w:pStyle w:val="nTable"/>
              <w:spacing w:after="40"/>
            </w:pPr>
            <w:r>
              <w:t>15 of 2005</w:t>
            </w:r>
          </w:p>
        </w:tc>
        <w:tc>
          <w:tcPr>
            <w:tcW w:w="1134" w:type="dxa"/>
            <w:tcBorders>
              <w:top w:val="single" w:sz="8" w:space="0" w:color="auto"/>
            </w:tcBorders>
          </w:tcPr>
          <w:p>
            <w:pPr>
              <w:pStyle w:val="nTable"/>
              <w:spacing w:after="40"/>
            </w:pPr>
            <w:r>
              <w:t>27 Sep 2005</w:t>
            </w:r>
          </w:p>
        </w:tc>
        <w:tc>
          <w:tcPr>
            <w:tcW w:w="2552" w:type="dxa"/>
            <w:tcBorders>
              <w:top w:val="single" w:sz="8" w:space="0" w:color="auto"/>
            </w:tcBorders>
          </w:tcPr>
          <w:p>
            <w:pPr>
              <w:pStyle w:val="nTable"/>
              <w:spacing w:after="40"/>
            </w:pPr>
            <w:r>
              <w:t>s. 1 and 2:  27 Sep 2005;</w:t>
            </w:r>
            <w:r>
              <w:br/>
              <w:t xml:space="preserve">Act other than s. 1 and 2: 24 Dec 2005 (see s. 2 and </w:t>
            </w:r>
            <w:r>
              <w:rPr>
                <w:i/>
              </w:rPr>
              <w:t xml:space="preserve">Gazette </w:t>
            </w:r>
            <w:r>
              <w:t>23 Dec 2005 p. 6244)</w:t>
            </w:r>
          </w:p>
        </w:tc>
      </w:tr>
      <w:tr>
        <w:tc>
          <w:tcPr>
            <w:tcW w:w="2268" w:type="dxa"/>
          </w:tcPr>
          <w:p>
            <w:pPr>
              <w:pStyle w:val="nTable"/>
              <w:spacing w:after="40"/>
              <w:rPr>
                <w:i/>
                <w:noProof/>
                <w:snapToGrid w:val="0"/>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snapToGrid w:val="0"/>
              </w:rPr>
            </w:pPr>
            <w:r>
              <w:rPr>
                <w:i/>
                <w:snapToGrid w:val="0"/>
              </w:rPr>
              <w:t xml:space="preserve">Road Traffic Legislation Amendment Act 2012 </w:t>
            </w:r>
            <w:r>
              <w:rPr>
                <w:snapToGrid w:val="0"/>
              </w:rPr>
              <w:t>Pt. 4 Div. 19</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tcPr>
          <w:p>
            <w:pPr>
              <w:pStyle w:val="nTable"/>
              <w:spacing w:after="40"/>
              <w:rPr>
                <w:i/>
                <w:snapToGrid w:val="0"/>
              </w:rPr>
            </w:pPr>
            <w:r>
              <w:rPr>
                <w:i/>
                <w:snapToGrid w:val="0"/>
              </w:rPr>
              <w:t xml:space="preserve">Fire and Emergency Services Legislation Amendment Act 2012 </w:t>
            </w:r>
            <w:r>
              <w:rPr>
                <w:snapToGrid w:val="0"/>
              </w:rPr>
              <w:t>Pt. 6</w:t>
            </w:r>
          </w:p>
        </w:tc>
        <w:tc>
          <w:tcPr>
            <w:tcW w:w="1134" w:type="dxa"/>
          </w:tcPr>
          <w:p>
            <w:pPr>
              <w:pStyle w:val="nTable"/>
              <w:spacing w:after="40"/>
              <w:rPr>
                <w:snapToGrid w:val="0"/>
              </w:rPr>
            </w:pPr>
            <w:r>
              <w:rPr>
                <w:snapToGrid w:val="0"/>
              </w:rPr>
              <w:t>22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c>
          <w:tcPr>
            <w:tcW w:w="2268" w:type="dxa"/>
          </w:tcPr>
          <w:p>
            <w:pPr>
              <w:pStyle w:val="nTable"/>
              <w:spacing w:after="40"/>
              <w:rPr>
                <w:i/>
                <w:snapToGrid w:val="0"/>
              </w:rPr>
            </w:pPr>
            <w:r>
              <w:rPr>
                <w:i/>
                <w:snapToGrid w:val="0"/>
              </w:rPr>
              <w:t>Medicines</w:t>
            </w:r>
            <w:r>
              <w:rPr>
                <w:i/>
                <w:noProof/>
                <w:snapToGrid w:val="0"/>
              </w:rPr>
              <w:t xml:space="preserve"> and Poisons Act 2014</w:t>
            </w:r>
            <w:r>
              <w:rPr>
                <w:noProof/>
                <w:snapToGrid w:val="0"/>
              </w:rPr>
              <w:t xml:space="preserve"> s. 184</w:t>
            </w:r>
          </w:p>
        </w:tc>
        <w:tc>
          <w:tcPr>
            <w:tcW w:w="1134" w:type="dxa"/>
          </w:tcPr>
          <w:p>
            <w:pPr>
              <w:pStyle w:val="nTable"/>
              <w:spacing w:after="40"/>
              <w:rPr>
                <w:snapToGrid w:val="0"/>
              </w:rPr>
            </w:pPr>
            <w:r>
              <w:t>13 of 2014</w:t>
            </w:r>
          </w:p>
        </w:tc>
        <w:tc>
          <w:tcPr>
            <w:tcW w:w="1134" w:type="dxa"/>
          </w:tcPr>
          <w:p>
            <w:pPr>
              <w:pStyle w:val="nTable"/>
              <w:spacing w:after="40"/>
              <w:rPr>
                <w:snapToGrid w:val="0"/>
              </w:rPr>
            </w:pPr>
            <w:r>
              <w:t>2 Jul 2014</w:t>
            </w:r>
          </w:p>
        </w:tc>
        <w:tc>
          <w:tcPr>
            <w:tcW w:w="2552" w:type="dxa"/>
          </w:tcPr>
          <w:p>
            <w:pPr>
              <w:pStyle w:val="nTable"/>
              <w:spacing w:after="40"/>
              <w:rPr>
                <w:snapToGrid w:val="0"/>
              </w:rPr>
            </w:pPr>
            <w:r>
              <w:t xml:space="preserve">30 Jan 2017 (see s. 2(b) and </w:t>
            </w:r>
            <w:r>
              <w:rPr>
                <w:i/>
              </w:rPr>
              <w:t>Gazette</w:t>
            </w:r>
            <w:r>
              <w:t xml:space="preserve"> 17 Jan 2017 p. 403)</w:t>
            </w:r>
          </w:p>
        </w:tc>
      </w:tr>
      <w:tr>
        <w:tc>
          <w:tcPr>
            <w:tcW w:w="2268" w:type="dxa"/>
          </w:tcPr>
          <w:p>
            <w:pPr>
              <w:pStyle w:val="nTable"/>
              <w:spacing w:after="40"/>
              <w:rPr>
                <w:i/>
                <w:snapToGrid w:val="0"/>
              </w:rPr>
            </w:pPr>
            <w:r>
              <w:rPr>
                <w:i/>
                <w:snapToGrid w:val="0"/>
              </w:rPr>
              <w:t>Local Government Legislation Amendment Act 2016</w:t>
            </w:r>
            <w:r>
              <w:rPr>
                <w:snapToGrid w:val="0"/>
              </w:rPr>
              <w:t xml:space="preserve"> Pt. 3 Div. 13</w:t>
            </w:r>
          </w:p>
        </w:tc>
        <w:tc>
          <w:tcPr>
            <w:tcW w:w="1134" w:type="dxa"/>
          </w:tcPr>
          <w:p>
            <w:pPr>
              <w:pStyle w:val="nTable"/>
              <w:spacing w:after="40"/>
              <w:rPr>
                <w:snapToGrid w:val="0"/>
              </w:rPr>
            </w:pPr>
            <w:r>
              <w:t>26 of 2016</w:t>
            </w:r>
          </w:p>
        </w:tc>
        <w:tc>
          <w:tcPr>
            <w:tcW w:w="1134" w:type="dxa"/>
          </w:tcPr>
          <w:p>
            <w:pPr>
              <w:pStyle w:val="nTable"/>
              <w:spacing w:after="40"/>
              <w:rPr>
                <w:snapToGrid w:val="0"/>
              </w:rPr>
            </w:pPr>
            <w:r>
              <w:t>21 Sep 2016</w:t>
            </w:r>
          </w:p>
        </w:tc>
        <w:tc>
          <w:tcPr>
            <w:tcW w:w="2552" w:type="dxa"/>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7088" w:type="dxa"/>
            <w:gridSpan w:val="4"/>
            <w:shd w:val="clear" w:color="auto" w:fill="auto"/>
          </w:tcPr>
          <w:p>
            <w:pPr>
              <w:pStyle w:val="nTable"/>
              <w:spacing w:after="40"/>
              <w:rPr>
                <w:snapToGrid w:val="0"/>
              </w:rPr>
            </w:pPr>
            <w:r>
              <w:rPr>
                <w:b/>
                <w:snapToGrid w:val="0"/>
              </w:rPr>
              <w:t xml:space="preserve">Reprint 1: The </w:t>
            </w:r>
            <w:r>
              <w:rPr>
                <w:b/>
                <w:i/>
                <w:noProof/>
                <w:snapToGrid w:val="0"/>
              </w:rPr>
              <w:t>Emergency Management Act 2005</w:t>
            </w:r>
            <w:r>
              <w:rPr>
                <w:b/>
                <w:snapToGrid w:val="0"/>
              </w:rPr>
              <w:t xml:space="preserve"> as at 14 Jul 2017</w:t>
            </w:r>
            <w:r>
              <w:rPr>
                <w:snapToGrid w:val="0"/>
              </w:rPr>
              <w:t xml:space="preserve"> (includes amendments listed above)</w:t>
            </w:r>
          </w:p>
        </w:tc>
      </w:tr>
      <w:tr>
        <w:tc>
          <w:tcPr>
            <w:tcW w:w="2268" w:type="dxa"/>
          </w:tcPr>
          <w:p>
            <w:pPr>
              <w:pStyle w:val="nTable"/>
              <w:spacing w:after="40"/>
              <w:rPr>
                <w:snapToGrid w:val="0"/>
              </w:rPr>
            </w:pPr>
            <w:r>
              <w:rPr>
                <w:i/>
              </w:rPr>
              <w:lastRenderedPageBreak/>
              <w:t>Emergency Management Amendment (COVID</w:t>
            </w:r>
            <w:r>
              <w:rPr>
                <w:i/>
              </w:rPr>
              <w:noBreakHyphen/>
              <w:t>19 Response) Act 2020</w:t>
            </w:r>
            <w:r>
              <w:rPr>
                <w:vertAlign w:val="superscript"/>
              </w:rPr>
              <w:t> 1</w:t>
            </w:r>
          </w:p>
        </w:tc>
        <w:tc>
          <w:tcPr>
            <w:tcW w:w="1134" w:type="dxa"/>
          </w:tcPr>
          <w:p>
            <w:pPr>
              <w:pStyle w:val="nTable"/>
              <w:keepLines/>
              <w:spacing w:after="40"/>
              <w:rPr>
                <w:snapToGrid w:val="0"/>
              </w:rPr>
            </w:pPr>
            <w:r>
              <w:rPr>
                <w:snapToGrid w:val="0"/>
              </w:rPr>
              <w:t xml:space="preserve">11 of 2020 </w:t>
            </w:r>
            <w:r>
              <w:t>(as amended by No. 39 of 2020 Pt. 4, No. 1 of 2021 Pt. 4, No. 21 of 2021 Pt. 4,  No. 15 of 2022 Pt. 4 and No. 33 of 2022 Pt. 2 Div. 2 Subdiv. 1)</w:t>
            </w:r>
          </w:p>
        </w:tc>
        <w:tc>
          <w:tcPr>
            <w:tcW w:w="1134" w:type="dxa"/>
          </w:tcPr>
          <w:p>
            <w:pPr>
              <w:pStyle w:val="nTable"/>
              <w:spacing w:after="40"/>
              <w:rPr>
                <w:snapToGrid w:val="0"/>
              </w:rPr>
            </w:pPr>
            <w:r>
              <w:rPr>
                <w:snapToGrid w:val="0"/>
              </w:rPr>
              <w:t>3 Apr 2020</w:t>
            </w:r>
          </w:p>
        </w:tc>
        <w:tc>
          <w:tcPr>
            <w:tcW w:w="2552" w:type="dxa"/>
          </w:tcPr>
          <w:p>
            <w:pPr>
              <w:pStyle w:val="nTable"/>
              <w:spacing w:after="40"/>
              <w:rPr>
                <w:snapToGrid w:val="0"/>
              </w:rPr>
            </w:pPr>
            <w:r>
              <w:t xml:space="preserve">s. 5, 7, 11 and 12(1) and (2): </w:t>
            </w:r>
            <w:r>
              <w:rPr>
                <w:snapToGrid w:val="0"/>
              </w:rPr>
              <w:t>16 Mar 2020 (see s. 2(b));</w:t>
            </w:r>
          </w:p>
          <w:p>
            <w:pPr>
              <w:pStyle w:val="nTable"/>
              <w:spacing w:after="40"/>
            </w:pPr>
            <w:r>
              <w:t>s. 1 and 2: 3 Apr 2020 (see s. 2(a));</w:t>
            </w:r>
          </w:p>
          <w:p>
            <w:pPr>
              <w:pStyle w:val="nTable"/>
              <w:spacing w:after="40"/>
              <w:rPr>
                <w:snapToGrid w:val="0"/>
              </w:rPr>
            </w:pPr>
            <w:r>
              <w:t>Act other than s. 1, 2, 5, 7, 10, 11 and 12(1) and (2): 4 Apr 2020 (see s. 2(d))</w:t>
            </w:r>
          </w:p>
        </w:tc>
      </w:tr>
      <w:tr>
        <w:tc>
          <w:tcPr>
            <w:tcW w:w="2268" w:type="dxa"/>
            <w:tcBorders>
              <w:bottom w:val="single" w:sz="8" w:space="0" w:color="auto"/>
            </w:tcBorders>
          </w:tcPr>
          <w:p>
            <w:pPr>
              <w:pStyle w:val="nTable"/>
              <w:spacing w:after="40"/>
              <w:rPr>
                <w:i/>
              </w:rPr>
            </w:pPr>
            <w:r>
              <w:rPr>
                <w:i/>
              </w:rPr>
              <w:t>Emergency Management Amendment (Temporary COVID</w:t>
            </w:r>
            <w:r>
              <w:rPr>
                <w:i/>
              </w:rPr>
              <w:noBreakHyphen/>
              <w:t>19 Provisions) Act 2022</w:t>
            </w:r>
            <w:r>
              <w:t xml:space="preserve"> Pt. 2 Div. 1</w:t>
            </w:r>
          </w:p>
        </w:tc>
        <w:tc>
          <w:tcPr>
            <w:tcW w:w="1134" w:type="dxa"/>
            <w:tcBorders>
              <w:bottom w:val="single" w:sz="8" w:space="0" w:color="auto"/>
            </w:tcBorders>
          </w:tcPr>
          <w:p>
            <w:pPr>
              <w:pStyle w:val="nTable"/>
              <w:spacing w:after="40"/>
              <w:rPr>
                <w:snapToGrid w:val="0"/>
              </w:rPr>
            </w:pPr>
            <w:r>
              <w:t>33 of 2022</w:t>
            </w:r>
          </w:p>
        </w:tc>
        <w:tc>
          <w:tcPr>
            <w:tcW w:w="1134" w:type="dxa"/>
            <w:tcBorders>
              <w:bottom w:val="single" w:sz="8" w:space="0" w:color="auto"/>
            </w:tcBorders>
          </w:tcPr>
          <w:p>
            <w:pPr>
              <w:pStyle w:val="nTable"/>
              <w:spacing w:after="40"/>
              <w:rPr>
                <w:snapToGrid w:val="0"/>
              </w:rPr>
            </w:pPr>
            <w:r>
              <w:t>21 Oct 2022</w:t>
            </w:r>
          </w:p>
        </w:tc>
        <w:tc>
          <w:tcPr>
            <w:tcW w:w="2552" w:type="dxa"/>
            <w:tcBorders>
              <w:bottom w:val="single" w:sz="8" w:space="0" w:color="auto"/>
            </w:tcBorders>
          </w:tcPr>
          <w:p>
            <w:pPr>
              <w:pStyle w:val="nTable"/>
              <w:spacing w:after="40"/>
            </w:pPr>
            <w:r>
              <w:t>3 Nov 2022 (see s. 2(b) and SL 2022/175 cl. 2)</w:t>
            </w:r>
          </w:p>
        </w:tc>
      </w:tr>
    </w:tbl>
    <w:p>
      <w:pPr>
        <w:pStyle w:val="nHeading3"/>
      </w:pPr>
      <w:bookmarkStart w:id="340" w:name="_Toc118300133"/>
      <w:r>
        <w:t>Uncommenced provisions table</w:t>
      </w:r>
      <w:bookmarkEnd w:id="34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keepNext/>
              <w:keepLines/>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blPrEx>
          <w:tblBorders>
            <w:insideH w:val="single" w:sz="8" w:space="0" w:color="auto"/>
          </w:tblBorders>
        </w:tblPrEx>
        <w:tc>
          <w:tcPr>
            <w:tcW w:w="2268" w:type="dxa"/>
            <w:tcBorders>
              <w:top w:val="nil"/>
            </w:tcBorders>
          </w:tcPr>
          <w:p>
            <w:pPr>
              <w:pStyle w:val="nTable"/>
              <w:spacing w:after="40"/>
            </w:pPr>
            <w:r>
              <w:rPr>
                <w:i/>
              </w:rPr>
              <w:t>Emergency Management Amendment (Temporary COVID</w:t>
            </w:r>
            <w:r>
              <w:rPr>
                <w:i/>
              </w:rPr>
              <w:noBreakHyphen/>
              <w:t>19 Provisions) Act 2022</w:t>
            </w:r>
            <w:r>
              <w:t xml:space="preserve"> Pt. 3 Div. 1</w:t>
            </w:r>
          </w:p>
        </w:tc>
        <w:tc>
          <w:tcPr>
            <w:tcW w:w="1134" w:type="dxa"/>
            <w:tcBorders>
              <w:top w:val="nil"/>
            </w:tcBorders>
          </w:tcPr>
          <w:p>
            <w:pPr>
              <w:pStyle w:val="nTable"/>
              <w:spacing w:after="40"/>
            </w:pPr>
            <w:r>
              <w:t>33 of 2022</w:t>
            </w:r>
          </w:p>
        </w:tc>
        <w:tc>
          <w:tcPr>
            <w:tcW w:w="1134" w:type="dxa"/>
            <w:tcBorders>
              <w:top w:val="nil"/>
            </w:tcBorders>
          </w:tcPr>
          <w:p>
            <w:pPr>
              <w:pStyle w:val="nTable"/>
              <w:spacing w:after="40"/>
            </w:pPr>
            <w:r>
              <w:t>21 Oct 2022</w:t>
            </w:r>
          </w:p>
        </w:tc>
        <w:tc>
          <w:tcPr>
            <w:tcW w:w="2552" w:type="dxa"/>
            <w:tcBorders>
              <w:top w:val="nil"/>
            </w:tcBorders>
          </w:tcPr>
          <w:p>
            <w:pPr>
              <w:pStyle w:val="nTable"/>
              <w:spacing w:after="40"/>
            </w:pPr>
            <w:r>
              <w:t>3 Nov 2024 (see s. 2(c) and SL 2022/175 cl. 2)</w:t>
            </w:r>
          </w:p>
        </w:tc>
      </w:tr>
    </w:tbl>
    <w:p>
      <w:pPr>
        <w:pStyle w:val="nHeading3"/>
      </w:pPr>
      <w:bookmarkStart w:id="341" w:name="_Toc118300134"/>
      <w:r>
        <w:t>Other notes</w:t>
      </w:r>
      <w:bookmarkEnd w:id="341"/>
    </w:p>
    <w:p>
      <w:pPr>
        <w:pStyle w:val="nNote"/>
      </w:pPr>
      <w:r>
        <w:rPr>
          <w:vertAlign w:val="superscript"/>
        </w:rPr>
        <w:t>1</w:t>
      </w:r>
      <w:r>
        <w:tab/>
        <w:t xml:space="preserve">The amendment in the </w:t>
      </w:r>
      <w:r>
        <w:rPr>
          <w:i/>
        </w:rPr>
        <w:t>Emergency Management Amendment (COVID</w:t>
      </w:r>
      <w:r>
        <w:rPr>
          <w:i/>
        </w:rPr>
        <w:noBreakHyphen/>
        <w:t>19 Response) Act 2020</w:t>
      </w:r>
      <w:r>
        <w:t xml:space="preserve"> s. 10 is not included because it was repealed by the </w:t>
      </w:r>
      <w:r>
        <w:rPr>
          <w:i/>
        </w:rPr>
        <w:t>Emergency Management Amendment (Temporary COVID</w:t>
      </w:r>
      <w:r>
        <w:rPr>
          <w:i/>
        </w:rPr>
        <w:noBreakHyphen/>
        <w:t xml:space="preserve">19 Provisions) Act 2022 </w:t>
      </w:r>
      <w:r>
        <w:t>s. 11 before the amendment purported to come into operation.</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343" w:name="_Toc117845385"/>
      <w:bookmarkStart w:id="344" w:name="_Toc118299771"/>
      <w:bookmarkStart w:id="345" w:name="_Toc118300135"/>
      <w:r>
        <w:rPr>
          <w:sz w:val="28"/>
        </w:rPr>
        <w:lastRenderedPageBreak/>
        <w:t>Defined terms</w:t>
      </w:r>
      <w:bookmarkEnd w:id="343"/>
      <w:bookmarkEnd w:id="344"/>
      <w:bookmarkEnd w:id="3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2020 COVID-19 state of emergency declaration</w:t>
      </w:r>
      <w:r>
        <w:tab/>
        <w:t>77V(1)</w:t>
      </w:r>
    </w:p>
    <w:p>
      <w:pPr>
        <w:pStyle w:val="DefinedTerms"/>
      </w:pPr>
      <w:r>
        <w:t>approved electronic monitoring device</w:t>
      </w:r>
      <w:r>
        <w:tab/>
        <w:t>70A(1)</w:t>
      </w:r>
    </w:p>
    <w:p>
      <w:pPr>
        <w:pStyle w:val="DefinedTerms"/>
      </w:pPr>
      <w:r>
        <w:t>association</w:t>
      </w:r>
      <w:r>
        <w:tab/>
        <w:t>94(1)</w:t>
      </w:r>
    </w:p>
    <w:p>
      <w:pPr>
        <w:pStyle w:val="DefinedTerms"/>
      </w:pPr>
      <w:r>
        <w:t>authorised COVID-19 officer</w:t>
      </w:r>
      <w:r>
        <w:tab/>
        <w:t>77B</w:t>
      </w:r>
    </w:p>
    <w:p>
      <w:pPr>
        <w:pStyle w:val="DefinedTerms"/>
      </w:pPr>
      <w:r>
        <w:t>authorised officer</w:t>
      </w:r>
      <w:r>
        <w:tab/>
        <w:t>3</w:t>
      </w:r>
    </w:p>
    <w:p>
      <w:pPr>
        <w:pStyle w:val="DefinedTerms"/>
      </w:pPr>
      <w:r>
        <w:t>Chief Health Officer</w:t>
      </w:r>
      <w:r>
        <w:tab/>
        <w:t>77B</w:t>
      </w:r>
    </w:p>
    <w:p>
      <w:pPr>
        <w:pStyle w:val="DefinedTerms"/>
      </w:pPr>
      <w:r>
        <w:t>combat agency</w:t>
      </w:r>
      <w:r>
        <w:tab/>
        <w:t>3</w:t>
      </w:r>
    </w:p>
    <w:p>
      <w:pPr>
        <w:pStyle w:val="DefinedTerms"/>
      </w:pPr>
      <w:r>
        <w:t>combined local government</w:t>
      </w:r>
      <w:r>
        <w:tab/>
        <w:t>34(2)</w:t>
      </w:r>
    </w:p>
    <w:p>
      <w:pPr>
        <w:pStyle w:val="DefinedTerms"/>
      </w:pPr>
      <w:r>
        <w:t>court</w:t>
      </w:r>
      <w:r>
        <w:tab/>
        <w:t>48(5), 94(1)</w:t>
      </w:r>
    </w:p>
    <w:p>
      <w:pPr>
        <w:pStyle w:val="DefinedTerms"/>
      </w:pPr>
      <w:r>
        <w:t>COVID-19 declaration</w:t>
      </w:r>
      <w:r>
        <w:tab/>
        <w:t>77B, 77C(1)</w:t>
      </w:r>
    </w:p>
    <w:p>
      <w:pPr>
        <w:pStyle w:val="DefinedTerms"/>
      </w:pPr>
      <w:r>
        <w:t>COVID-19 management</w:t>
      </w:r>
      <w:r>
        <w:tab/>
        <w:t>77B</w:t>
      </w:r>
    </w:p>
    <w:p>
      <w:pPr>
        <w:pStyle w:val="DefinedTerms"/>
      </w:pPr>
      <w:r>
        <w:t>cyclone area</w:t>
      </w:r>
      <w:r>
        <w:tab/>
        <w:t>44</w:t>
      </w:r>
    </w:p>
    <w:p>
      <w:pPr>
        <w:pStyle w:val="DefinedTerms"/>
      </w:pPr>
      <w:r>
        <w:t>declaration area</w:t>
      </w:r>
      <w:r>
        <w:tab/>
        <w:t>77B</w:t>
      </w:r>
    </w:p>
    <w:p>
      <w:pPr>
        <w:pStyle w:val="DefinedTerms"/>
      </w:pPr>
      <w:r>
        <w:t>direction recipient</w:t>
      </w:r>
      <w:r>
        <w:tab/>
        <w:t>48(2)</w:t>
      </w:r>
    </w:p>
    <w:p>
      <w:pPr>
        <w:pStyle w:val="DefinedTerms"/>
      </w:pPr>
      <w:r>
        <w:t>district emergency management committee</w:t>
      </w:r>
      <w:r>
        <w:tab/>
        <w:t>3</w:t>
      </w:r>
    </w:p>
    <w:p>
      <w:pPr>
        <w:pStyle w:val="DefinedTerms"/>
      </w:pPr>
      <w:r>
        <w:t>emergency</w:t>
      </w:r>
      <w:r>
        <w:tab/>
        <w:t>3</w:t>
      </w:r>
    </w:p>
    <w:p>
      <w:pPr>
        <w:pStyle w:val="DefinedTerms"/>
      </w:pPr>
      <w:r>
        <w:t>emergency area</w:t>
      </w:r>
      <w:r>
        <w:tab/>
        <w:t>3</w:t>
      </w:r>
    </w:p>
    <w:p>
      <w:pPr>
        <w:pStyle w:val="DefinedTerms"/>
      </w:pPr>
      <w:r>
        <w:t>emergency management</w:t>
      </w:r>
      <w:r>
        <w:tab/>
        <w:t>3</w:t>
      </w:r>
    </w:p>
    <w:p>
      <w:pPr>
        <w:pStyle w:val="DefinedTerms"/>
      </w:pPr>
      <w:r>
        <w:t>emergency management agency</w:t>
      </w:r>
      <w:r>
        <w:tab/>
        <w:t>3</w:t>
      </w:r>
    </w:p>
    <w:p>
      <w:pPr>
        <w:pStyle w:val="DefinedTerms"/>
      </w:pPr>
      <w:r>
        <w:t>emergency management district</w:t>
      </w:r>
      <w:r>
        <w:tab/>
        <w:t>3</w:t>
      </w:r>
    </w:p>
    <w:p>
      <w:pPr>
        <w:pStyle w:val="DefinedTerms"/>
      </w:pPr>
      <w:r>
        <w:t>emergency situation</w:t>
      </w:r>
      <w:r>
        <w:tab/>
        <w:t>3</w:t>
      </w:r>
    </w:p>
    <w:p>
      <w:pPr>
        <w:pStyle w:val="DefinedTerms"/>
      </w:pPr>
      <w:r>
        <w:t>emergency situation declaration</w:t>
      </w:r>
      <w:r>
        <w:tab/>
        <w:t>3</w:t>
      </w:r>
    </w:p>
    <w:p>
      <w:pPr>
        <w:pStyle w:val="DefinedTerms"/>
      </w:pPr>
      <w:r>
        <w:t>employee</w:t>
      </w:r>
      <w:r>
        <w:tab/>
        <w:t>91(1)</w:t>
      </w:r>
    </w:p>
    <w:p>
      <w:pPr>
        <w:pStyle w:val="DefinedTerms"/>
      </w:pPr>
      <w:r>
        <w:t>employer</w:t>
      </w:r>
      <w:r>
        <w:tab/>
        <w:t>91(1), 97(6)</w:t>
      </w:r>
    </w:p>
    <w:p>
      <w:pPr>
        <w:pStyle w:val="DefinedTerms"/>
      </w:pPr>
      <w:r>
        <w:t>engaging in conduct</w:t>
      </w:r>
      <w:r>
        <w:tab/>
        <w:t>97(1)</w:t>
      </w:r>
    </w:p>
    <w:p>
      <w:pPr>
        <w:pStyle w:val="DefinedTerms"/>
      </w:pPr>
      <w:r>
        <w:t>hazard</w:t>
      </w:r>
      <w:r>
        <w:tab/>
        <w:t>3</w:t>
      </w:r>
    </w:p>
    <w:p>
      <w:pPr>
        <w:pStyle w:val="DefinedTerms"/>
      </w:pPr>
      <w:r>
        <w:t>hazard management agency</w:t>
      </w:r>
      <w:r>
        <w:tab/>
        <w:t>3</w:t>
      </w:r>
    </w:p>
    <w:p>
      <w:pPr>
        <w:pStyle w:val="DefinedTerms"/>
      </w:pPr>
      <w:r>
        <w:t>hazard management officer</w:t>
      </w:r>
      <w:r>
        <w:tab/>
        <w:t>3</w:t>
      </w:r>
    </w:p>
    <w:p>
      <w:pPr>
        <w:pStyle w:val="DefinedTerms"/>
      </w:pPr>
      <w:r>
        <w:t>hazardous substance</w:t>
      </w:r>
      <w:r>
        <w:tab/>
        <w:t>3</w:t>
      </w:r>
    </w:p>
    <w:p>
      <w:pPr>
        <w:pStyle w:val="DefinedTerms"/>
      </w:pPr>
      <w:r>
        <w:t>information</w:t>
      </w:r>
      <w:r>
        <w:tab/>
        <w:t>80(6)</w:t>
      </w:r>
    </w:p>
    <w:p>
      <w:pPr>
        <w:pStyle w:val="DefinedTerms"/>
      </w:pPr>
      <w:r>
        <w:t>local emergency coordinator</w:t>
      </w:r>
      <w:r>
        <w:tab/>
        <w:t>3</w:t>
      </w:r>
    </w:p>
    <w:p>
      <w:pPr>
        <w:pStyle w:val="DefinedTerms"/>
      </w:pPr>
      <w:r>
        <w:t>local emergency management arrangements</w:t>
      </w:r>
      <w:r>
        <w:tab/>
        <w:t>41(1)</w:t>
      </w:r>
    </w:p>
    <w:p>
      <w:pPr>
        <w:pStyle w:val="DefinedTerms"/>
      </w:pPr>
      <w:r>
        <w:t>local emergency management committee</w:t>
      </w:r>
      <w:r>
        <w:tab/>
        <w:t>3</w:t>
      </w:r>
    </w:p>
    <w:p>
      <w:pPr>
        <w:pStyle w:val="DefinedTerms"/>
      </w:pPr>
      <w:r>
        <w:t>local government district</w:t>
      </w:r>
      <w:r>
        <w:tab/>
        <w:t>3</w:t>
      </w:r>
    </w:p>
    <w:p>
      <w:pPr>
        <w:pStyle w:val="DefinedTerms"/>
      </w:pPr>
      <w:r>
        <w:t>motor vehicle</w:t>
      </w:r>
      <w:r>
        <w:tab/>
        <w:t>100(6)</w:t>
      </w:r>
    </w:p>
    <w:p>
      <w:pPr>
        <w:pStyle w:val="DefinedTerms"/>
      </w:pPr>
      <w:r>
        <w:t>occupier</w:t>
      </w:r>
      <w:r>
        <w:tab/>
        <w:t>3</w:t>
      </w:r>
    </w:p>
    <w:p>
      <w:pPr>
        <w:pStyle w:val="DefinedTerms"/>
      </w:pPr>
      <w:r>
        <w:t>officer</w:t>
      </w:r>
      <w:r>
        <w:tab/>
        <w:t>76(1), 77S(1), 98(1)</w:t>
      </w:r>
    </w:p>
    <w:p>
      <w:pPr>
        <w:pStyle w:val="DefinedTerms"/>
      </w:pPr>
      <w:r>
        <w:t>official</w:t>
      </w:r>
      <w:r>
        <w:tab/>
        <w:t>100(6)</w:t>
      </w:r>
    </w:p>
    <w:p>
      <w:pPr>
        <w:pStyle w:val="DefinedTerms"/>
      </w:pPr>
      <w:r>
        <w:t>organisation</w:t>
      </w:r>
      <w:r>
        <w:tab/>
        <w:t>94(1)</w:t>
      </w:r>
    </w:p>
    <w:p>
      <w:pPr>
        <w:pStyle w:val="DefinedTerms"/>
      </w:pPr>
      <w:r>
        <w:t>owner</w:t>
      </w:r>
      <w:r>
        <w:tab/>
        <w:t>3</w:t>
      </w:r>
    </w:p>
    <w:p>
      <w:pPr>
        <w:pStyle w:val="DefinedTerms"/>
      </w:pPr>
      <w:r>
        <w:lastRenderedPageBreak/>
        <w:t>personal details</w:t>
      </w:r>
      <w:r>
        <w:tab/>
        <w:t>3</w:t>
      </w:r>
    </w:p>
    <w:p>
      <w:pPr>
        <w:pStyle w:val="DefinedTerms"/>
      </w:pPr>
      <w:r>
        <w:t>place</w:t>
      </w:r>
      <w:r>
        <w:tab/>
        <w:t>3</w:t>
      </w:r>
    </w:p>
    <w:p>
      <w:pPr>
        <w:pStyle w:val="DefinedTerms"/>
      </w:pPr>
      <w:r>
        <w:t>premises</w:t>
      </w:r>
      <w:r>
        <w:tab/>
        <w:t>3</w:t>
      </w:r>
    </w:p>
    <w:p>
      <w:pPr>
        <w:pStyle w:val="DefinedTerms"/>
      </w:pPr>
      <w:r>
        <w:t>prescribed emergency activity</w:t>
      </w:r>
      <w:r>
        <w:tab/>
        <w:t>101(1)</w:t>
      </w:r>
    </w:p>
    <w:p>
      <w:pPr>
        <w:pStyle w:val="DefinedTerms"/>
      </w:pPr>
      <w:r>
        <w:t>property</w:t>
      </w:r>
      <w:r>
        <w:tab/>
        <w:t>3</w:t>
      </w:r>
    </w:p>
    <w:p>
      <w:pPr>
        <w:pStyle w:val="DefinedTerms"/>
      </w:pPr>
      <w:r>
        <w:t>public authority</w:t>
      </w:r>
      <w:r>
        <w:tab/>
        <w:t>3</w:t>
      </w:r>
    </w:p>
    <w:p>
      <w:pPr>
        <w:pStyle w:val="DefinedTerms"/>
      </w:pPr>
      <w:r>
        <w:t>recovery</w:t>
      </w:r>
      <w:r>
        <w:tab/>
        <w:t>3</w:t>
      </w:r>
    </w:p>
    <w:p>
      <w:pPr>
        <w:pStyle w:val="DefinedTerms"/>
      </w:pPr>
      <w:r>
        <w:t>relevant information</w:t>
      </w:r>
      <w:r>
        <w:tab/>
        <w:t>72(1), 72A(1), 77P(1), 77Q(1)</w:t>
      </w:r>
    </w:p>
    <w:p>
      <w:pPr>
        <w:pStyle w:val="DefinedTerms"/>
      </w:pPr>
      <w:r>
        <w:t>SEMC</w:t>
      </w:r>
      <w:r>
        <w:tab/>
        <w:t>3</w:t>
      </w:r>
    </w:p>
    <w:p>
      <w:pPr>
        <w:pStyle w:val="DefinedTerms"/>
      </w:pPr>
      <w:r>
        <w:t>specified</w:t>
      </w:r>
      <w:r>
        <w:tab/>
        <w:t>35(6)</w:t>
      </w:r>
    </w:p>
    <w:p>
      <w:pPr>
        <w:pStyle w:val="DefinedTerms"/>
      </w:pPr>
      <w:r>
        <w:t>State Disaster Council</w:t>
      </w:r>
      <w:r>
        <w:tab/>
        <w:t>3</w:t>
      </w:r>
    </w:p>
    <w:p>
      <w:pPr>
        <w:pStyle w:val="DefinedTerms"/>
      </w:pPr>
      <w:r>
        <w:t>State Emergency Coordination Group</w:t>
      </w:r>
      <w:r>
        <w:tab/>
        <w:t>3, 77U(2)</w:t>
      </w:r>
    </w:p>
    <w:p>
      <w:pPr>
        <w:pStyle w:val="DefinedTerms"/>
      </w:pPr>
      <w:r>
        <w:t>State Emergency Coordinator</w:t>
      </w:r>
      <w:r>
        <w:tab/>
        <w:t>3</w:t>
      </w:r>
    </w:p>
    <w:p>
      <w:pPr>
        <w:pStyle w:val="DefinedTerms"/>
      </w:pPr>
      <w:r>
        <w:t>State emergency management plan</w:t>
      </w:r>
      <w:r>
        <w:tab/>
        <w:t>3</w:t>
      </w:r>
    </w:p>
    <w:p>
      <w:pPr>
        <w:pStyle w:val="DefinedTerms"/>
      </w:pPr>
      <w:r>
        <w:t>State emergency management policy</w:t>
      </w:r>
      <w:r>
        <w:tab/>
        <w:t>3</w:t>
      </w:r>
    </w:p>
    <w:p>
      <w:pPr>
        <w:pStyle w:val="DefinedTerms"/>
      </w:pPr>
      <w:r>
        <w:t>state of emergency</w:t>
      </w:r>
      <w:r>
        <w:tab/>
        <w:t>3</w:t>
      </w:r>
    </w:p>
    <w:p>
      <w:pPr>
        <w:pStyle w:val="DefinedTerms"/>
      </w:pPr>
      <w:r>
        <w:t>state of emergency declaration</w:t>
      </w:r>
      <w:r>
        <w:tab/>
        <w:t>3</w:t>
      </w:r>
    </w:p>
    <w:p>
      <w:pPr>
        <w:pStyle w:val="DefinedTerms"/>
      </w:pPr>
      <w:r>
        <w:t>state of mind</w:t>
      </w:r>
      <w:r>
        <w:tab/>
        <w:t>97(1)</w:t>
      </w:r>
    </w:p>
    <w:p>
      <w:pPr>
        <w:pStyle w:val="DefinedTerms"/>
      </w:pPr>
      <w:r>
        <w:t>support organisation</w:t>
      </w:r>
      <w:r>
        <w:tab/>
        <w:t>3</w:t>
      </w:r>
    </w:p>
    <w:p>
      <w:pPr>
        <w:pStyle w:val="DefinedTerms"/>
      </w:pPr>
      <w:r>
        <w:t>vehicle</w:t>
      </w:r>
      <w:r>
        <w:tab/>
        <w:t>3</w:t>
      </w:r>
    </w:p>
    <w:p>
      <w:pPr>
        <w:pStyle w:val="DefinedTerms"/>
      </w:pPr>
      <w:r>
        <w:t>volunteer</w:t>
      </w:r>
      <w:r>
        <w:tab/>
        <w:t>101(1)</w:t>
      </w:r>
    </w:p>
    <w:p>
      <w:pPr>
        <w:pStyle w:val="DefinedTerms"/>
      </w:pPr>
      <w:r>
        <w:t>welfare services</w:t>
      </w:r>
      <w:r>
        <w:tab/>
        <w:t>72(1), 77P(1)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42" w:name="Compilation"/>
    <w:bookmarkEnd w:id="34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46" w:name="DefinedTerms"/>
    <w:bookmarkEnd w:id="34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7" w:name="Coversheet"/>
    <w:bookmarkEnd w:id="3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B0A3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D58E0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A8E9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7003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3427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EC1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90CE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1C5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2876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AFB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52C235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64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27153600"/>
    <w:docVar w:name="WAFER_20140113105316" w:val="RemoveTocBookmarks,RemoveUnusedBookmarks,RemoveLanguageTags,UsedStyles,ResetPageSize,UpdateArrangement"/>
    <w:docVar w:name="WAFER_20140113105316_GUID" w:val="1e4e3681-a0fb-45f6-a07a-5f640dde8a71"/>
    <w:docVar w:name="WAFER_20140113105324" w:val="RemoveTocBookmarks,RunningHeaders"/>
    <w:docVar w:name="WAFER_20140113105324_GUID" w:val="aab139d7-1075-4100-a925-aa60b97a81cd"/>
    <w:docVar w:name="WAFER_20140704133700" w:val="RemoveTocBookmarks,RunningHeaders"/>
    <w:docVar w:name="WAFER_20140704133700_GUID" w:val="03b22944-d06e-414b-a815-44db30adb54d"/>
    <w:docVar w:name="WAFER_20150414135029" w:val="ResetPageSize,UpdateArrangement,UpdateNTable"/>
    <w:docVar w:name="WAFER_20150414135029_GUID" w:val="f34247b8-c7a3-4f59-b1c0-aaf89ea9c4c8"/>
    <w:docVar w:name="WAFER_20151105120055" w:val="UpdateStyles,UsedStyles"/>
    <w:docVar w:name="WAFER_20151105120055_GUID" w:val="8dbb06cc-c6a7-4608-a6e4-f3ab01d590c3"/>
    <w:docVar w:name="WAFER_20151201111923" w:val="RemoveTrackChanges"/>
    <w:docVar w:name="WAFER_20151201111923_GUID" w:val="87e164e7-6048-4984-a62a-58453c31c60f"/>
    <w:docVar w:name="WAFER_20170511102916" w:val="RemoveTocBookmarks,RemoveUnusedBookmarks,RemoveLanguageTags,UsedStyles,ResetPageSize,RemoveCustomizations"/>
    <w:docVar w:name="WAFER_20170511102916_GUID" w:val="68e785ee-dd25-424b-95f2-6a6ffc597c48"/>
    <w:docVar w:name="WAFER_20170711140135" w:val="RemoveTocBookmarks,RemoveUnusedBookmarks,RemoveLanguageTags,UsedStyles,RemoveTrackChanges"/>
    <w:docVar w:name="WAFER_20170711140135_GUID" w:val="c6bbc73a-1e12-41b4-b489-8c24505d57a7"/>
    <w:docVar w:name="WAFER_20200404151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4151409_GUID" w:val="0bce65bd-a95c-4320-af40-a5e33043a9c1"/>
    <w:docVar w:name="WAFER_202011181349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34918_GUID" w:val="12260b87-c3f3-434d-867f-6c35e0eee0b6"/>
    <w:docVar w:name="WAFER_20210603114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14314_GUID" w:val="1850629f-1a84-4e4b-9b11-4c971571fd18"/>
    <w:docVar w:name="WAFER_20211123141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141713_GUID" w:val="e20269ce-c054-40f1-91e9-46322fa1a592"/>
    <w:docVar w:name="WAFER_202205241019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101917_GUID" w:val="fd012aa5-d33c-4876-8dd4-06a34abeab51"/>
    <w:docVar w:name="WAFER_202210211610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1053_GUID" w:val="58aab1bc-a299-4d40-bd43-b4c5436d5e94"/>
    <w:docVar w:name="WAFER_202210271536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53600_GUID" w:val="da921a6b-c9bc-4a69-9049-62c118ff64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docId w15:val="{46BD22FC-009A-4D11-8448-6D748B4F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Normal"/>
    <w:pPr>
      <w:widowControl w:val="0"/>
      <w:spacing w:before="80" w:line="260" w:lineRule="atLeast"/>
      <w:ind w:left="1446"/>
    </w:p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Statement">
    <w:name w:val="nStatement"/>
    <w:pPr>
      <w:spacing w:before="80"/>
    </w:p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3C3F5-82A2-4652-AE96-23DAB5C6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23690</Words>
  <Characters>119164</Characters>
  <Application>Microsoft Office Word</Application>
  <DocSecurity>0</DocSecurity>
  <Lines>3220</Lines>
  <Paragraphs>1879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140975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Act 2005 - 01-e0-01</dc:title>
  <dc:subject/>
  <dc:creator/>
  <cp:keywords/>
  <dc:description/>
  <cp:lastModifiedBy>Master Repository Process</cp:lastModifiedBy>
  <cp:revision>4</cp:revision>
  <cp:lastPrinted>2022-10-24T02:57:00Z</cp:lastPrinted>
  <dcterms:created xsi:type="dcterms:W3CDTF">2022-11-02T08:47:00Z</dcterms:created>
  <dcterms:modified xsi:type="dcterms:W3CDTF">2022-11-02T08:47:00Z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2005</vt:lpwstr>
  </property>
  <property fmtid="{D5CDD505-2E9C-101B-9397-08002B2CF9AE}" pid="3" name="DocumentType">
    <vt:lpwstr>Act</vt:lpwstr>
  </property>
  <property fmtid="{D5CDD505-2E9C-101B-9397-08002B2CF9AE}" pid="4" name="OwlsUID">
    <vt:i4>9384</vt:i4>
  </property>
  <property fmtid="{D5CDD505-2E9C-101B-9397-08002B2CF9AE}" pid="5" name="ReprintedAsAt">
    <vt:filetime>2017-07-13T16:00:00Z</vt:filetime>
  </property>
  <property fmtid="{D5CDD505-2E9C-101B-9397-08002B2CF9AE}" pid="6" name="ReprintNo">
    <vt:lpwstr>1</vt:lpwstr>
  </property>
  <property fmtid="{D5CDD505-2E9C-101B-9397-08002B2CF9AE}" pid="7" name="AsAtDate">
    <vt:lpwstr>03 Nov 2022</vt:lpwstr>
  </property>
  <property fmtid="{D5CDD505-2E9C-101B-9397-08002B2CF9AE}" pid="8" name="Suffix">
    <vt:lpwstr>01-e0-01</vt:lpwstr>
  </property>
  <property fmtid="{D5CDD505-2E9C-101B-9397-08002B2CF9AE}" pid="9" name="CommencementDate">
    <vt:lpwstr>20221103</vt:lpwstr>
  </property>
</Properties>
</file>