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_Toc118377649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_Toc118377650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_Toc118377651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_Toc118377652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_Toc118377653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_Toc118377656 \h </w:instrText>
      </w:r>
      <w:r>
        <w:fldChar w:fldCharType="separate"/>
      </w:r>
      <w:r>
        <w:t>11</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_Toc118377657 \h </w:instrText>
      </w:r>
      <w:r>
        <w:fldChar w:fldCharType="separate"/>
      </w:r>
      <w:r>
        <w:t>11</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_Toc118377658 \h </w:instrText>
      </w:r>
      <w:r>
        <w:fldChar w:fldCharType="separate"/>
      </w:r>
      <w:r>
        <w:t>12</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_Toc118377659 \h </w:instrText>
      </w:r>
      <w:r>
        <w:fldChar w:fldCharType="separate"/>
      </w:r>
      <w:r>
        <w:t>12</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_Toc118377660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_Toc118377662 \h </w:instrText>
      </w:r>
      <w:r>
        <w:fldChar w:fldCharType="separate"/>
      </w:r>
      <w:r>
        <w:t>14</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_Toc118377663 \h </w:instrText>
      </w:r>
      <w:r>
        <w:fldChar w:fldCharType="separate"/>
      </w:r>
      <w:r>
        <w:t>15</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_Toc118377664 \h </w:instrText>
      </w:r>
      <w:r>
        <w:fldChar w:fldCharType="separate"/>
      </w:r>
      <w:r>
        <w:t>16</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_Toc118377665 \h </w:instrText>
      </w:r>
      <w:r>
        <w:fldChar w:fldCharType="separate"/>
      </w:r>
      <w:r>
        <w:t>17</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_Toc118377666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_Toc118377668 \h </w:instrText>
      </w:r>
      <w:r>
        <w:fldChar w:fldCharType="separate"/>
      </w:r>
      <w:r>
        <w:t>17</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_Toc118377669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12.</w:t>
      </w:r>
      <w:r>
        <w:tab/>
        <w:t>Reports by Board to Minister about prisoners generally</w:t>
      </w:r>
      <w:r>
        <w:tab/>
      </w:r>
      <w:r>
        <w:fldChar w:fldCharType="begin"/>
      </w:r>
      <w:r>
        <w:instrText xml:space="preserve"> PAGEREF _Toc118377670 \h </w:instrText>
      </w:r>
      <w:r>
        <w:fldChar w:fldCharType="separate"/>
      </w:r>
      <w:r>
        <w:t>19</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_Toc118377671 \h </w:instrText>
      </w:r>
      <w:r>
        <w:fldChar w:fldCharType="separate"/>
      </w:r>
      <w:r>
        <w:t>20</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_Toc118377672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12C.</w:t>
      </w:r>
      <w:r>
        <w:tab/>
        <w:t>References to Board</w:t>
      </w:r>
      <w:r>
        <w:tab/>
      </w:r>
      <w:r>
        <w:fldChar w:fldCharType="begin"/>
      </w:r>
      <w:r>
        <w:instrText xml:space="preserve"> PAGEREF _Toc118377674 \h </w:instrText>
      </w:r>
      <w:r>
        <w:fldChar w:fldCharType="separate"/>
      </w:r>
      <w:r>
        <w:t>23</w:t>
      </w:r>
      <w:r>
        <w:fldChar w:fldCharType="end"/>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_Toc118377675 \h </w:instrText>
      </w:r>
      <w:r>
        <w:fldChar w:fldCharType="separate"/>
      </w:r>
      <w:r>
        <w:t>23</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_Toc118377676 \h </w:instrText>
      </w:r>
      <w:r>
        <w:fldChar w:fldCharType="separate"/>
      </w:r>
      <w:r>
        <w:t>26</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_Toc118377677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Directions to suspend reporting</w:t>
      </w:r>
    </w:p>
    <w:p>
      <w:pPr>
        <w:pStyle w:val="TOC8"/>
        <w:rPr>
          <w:rFonts w:asciiTheme="minorHAnsi" w:eastAsiaTheme="minorEastAsia" w:hAnsiTheme="minorHAnsi" w:cstheme="minorBidi"/>
          <w:szCs w:val="22"/>
        </w:rPr>
      </w:pPr>
      <w:r>
        <w:t>14B.</w:t>
      </w:r>
      <w:r>
        <w:tab/>
        <w:t>Terms used</w:t>
      </w:r>
      <w:r>
        <w:tab/>
      </w:r>
      <w:r>
        <w:fldChar w:fldCharType="begin"/>
      </w:r>
      <w:r>
        <w:instrText xml:space="preserve"> PAGEREF _Toc118377679 \h </w:instrText>
      </w:r>
      <w:r>
        <w:fldChar w:fldCharType="separate"/>
      </w:r>
      <w:r>
        <w:t>28</w:t>
      </w:r>
      <w:r>
        <w:fldChar w:fldCharType="end"/>
      </w:r>
    </w:p>
    <w:p>
      <w:pPr>
        <w:pStyle w:val="TOC8"/>
        <w:rPr>
          <w:rFonts w:asciiTheme="minorHAnsi" w:eastAsiaTheme="minorEastAsia" w:hAnsiTheme="minorHAnsi" w:cstheme="minorBidi"/>
          <w:szCs w:val="22"/>
        </w:rPr>
      </w:pPr>
      <w:r>
        <w:t>14C.</w:t>
      </w:r>
      <w:r>
        <w:tab/>
        <w:t>Minister may direct suspension of reporting</w:t>
      </w:r>
      <w:r>
        <w:tab/>
      </w:r>
      <w:r>
        <w:fldChar w:fldCharType="begin"/>
      </w:r>
      <w:r>
        <w:instrText xml:space="preserve"> PAGEREF _Toc118377680 \h </w:instrText>
      </w:r>
      <w:r>
        <w:fldChar w:fldCharType="separate"/>
      </w:r>
      <w:r>
        <w:t>28</w:t>
      </w:r>
      <w:r>
        <w:fldChar w:fldCharType="end"/>
      </w:r>
    </w:p>
    <w:p>
      <w:pPr>
        <w:pStyle w:val="TOC8"/>
        <w:rPr>
          <w:rFonts w:asciiTheme="minorHAnsi" w:eastAsiaTheme="minorEastAsia" w:hAnsiTheme="minorHAnsi" w:cstheme="minorBidi"/>
          <w:szCs w:val="22"/>
        </w:rPr>
      </w:pPr>
      <w:r>
        <w:t>14D.</w:t>
      </w:r>
      <w:r>
        <w:tab/>
        <w:t>No review of direction to suspend reporting</w:t>
      </w:r>
      <w:r>
        <w:tab/>
      </w:r>
      <w:r>
        <w:fldChar w:fldCharType="begin"/>
      </w:r>
      <w:r>
        <w:instrText xml:space="preserve"> PAGEREF _Toc118377681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_Toc118377684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_Toc118377686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_Toc118377688 \h </w:instrText>
      </w:r>
      <w:r>
        <w:fldChar w:fldCharType="separate"/>
      </w:r>
      <w:r>
        <w:t>31</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_Toc118377689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_Toc118377691 \h </w:instrText>
      </w:r>
      <w:r>
        <w:fldChar w:fldCharType="separate"/>
      </w:r>
      <w:r>
        <w:t>33</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_Toc118377692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_Toc118377694 \h </w:instrText>
      </w:r>
      <w:r>
        <w:fldChar w:fldCharType="separate"/>
      </w:r>
      <w:r>
        <w:t>36</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_Toc118377695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_Toc118377697 \h </w:instrText>
      </w:r>
      <w:r>
        <w:fldChar w:fldCharType="separate"/>
      </w:r>
      <w:r>
        <w:t>37</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_Toc118377698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_Toc118377700 \h </w:instrText>
      </w:r>
      <w:r>
        <w:fldChar w:fldCharType="separate"/>
      </w:r>
      <w:r>
        <w:t>38</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_Toc118377701 \h </w:instrText>
      </w:r>
      <w:r>
        <w:fldChar w:fldCharType="separate"/>
      </w:r>
      <w:r>
        <w:t>38</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_Toc118377702 \h </w:instrText>
      </w:r>
      <w:r>
        <w:fldChar w:fldCharType="separate"/>
      </w:r>
      <w:r>
        <w:t>39</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_Toc118377703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_Toc118377705 \h </w:instrText>
      </w:r>
      <w:r>
        <w:fldChar w:fldCharType="separate"/>
      </w:r>
      <w:r>
        <w:t>41</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_Toc118377706 \h </w:instrText>
      </w:r>
      <w:r>
        <w:fldChar w:fldCharType="separate"/>
      </w:r>
      <w:r>
        <w:t>41</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_Toc118377707 \h </w:instrText>
      </w:r>
      <w:r>
        <w:fldChar w:fldCharType="separate"/>
      </w:r>
      <w:r>
        <w:t>41</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_Toc118377708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_Toc118377710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_Toc118377711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_Toc118377713 \h </w:instrText>
      </w:r>
      <w:r>
        <w:fldChar w:fldCharType="separate"/>
      </w:r>
      <w:r>
        <w:t>43</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_Toc118377714 \h </w:instrText>
      </w:r>
      <w:r>
        <w:fldChar w:fldCharType="separate"/>
      </w:r>
      <w:r>
        <w:t>43</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_Toc118377715 \h </w:instrText>
      </w:r>
      <w:r>
        <w:fldChar w:fldCharType="separate"/>
      </w:r>
      <w:r>
        <w:t>43</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_Toc118377716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_Toc118377718 \h </w:instrText>
      </w:r>
      <w:r>
        <w:fldChar w:fldCharType="separate"/>
      </w:r>
      <w:r>
        <w:t>44</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_Toc118377719 \h </w:instrText>
      </w:r>
      <w:r>
        <w:fldChar w:fldCharType="separate"/>
      </w:r>
      <w:r>
        <w:t>44</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_Toc118377720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_Toc118377722 \h </w:instrText>
      </w:r>
      <w:r>
        <w:fldChar w:fldCharType="separate"/>
      </w:r>
      <w:r>
        <w:t>45</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_Toc118377723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_Toc118377725 \h </w:instrText>
      </w:r>
      <w:r>
        <w:fldChar w:fldCharType="separate"/>
      </w:r>
      <w:r>
        <w:t>48</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_Toc118377726 \h </w:instrText>
      </w:r>
      <w:r>
        <w:fldChar w:fldCharType="separate"/>
      </w:r>
      <w:r>
        <w:t>48</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_Toc118377727 \h </w:instrText>
      </w:r>
      <w:r>
        <w:fldChar w:fldCharType="separate"/>
      </w:r>
      <w:r>
        <w:t>49</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_Toc118377728 \h </w:instrText>
      </w:r>
      <w:r>
        <w:fldChar w:fldCharType="separate"/>
      </w:r>
      <w:r>
        <w:t>49</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_Toc118377729 \h </w:instrText>
      </w:r>
      <w:r>
        <w:fldChar w:fldCharType="separate"/>
      </w:r>
      <w:r>
        <w:t>50</w:t>
      </w:r>
      <w:r>
        <w:fldChar w:fldCharType="end"/>
      </w:r>
    </w:p>
    <w:p>
      <w:pPr>
        <w:pStyle w:val="TOC8"/>
        <w:rPr>
          <w:rFonts w:asciiTheme="minorHAnsi" w:eastAsiaTheme="minorEastAsia" w:hAnsiTheme="minorHAnsi" w:cstheme="minorBidi"/>
          <w:szCs w:val="22"/>
        </w:rPr>
      </w:pPr>
      <w:r>
        <w:lastRenderedPageBreak/>
        <w:t>56.</w:t>
      </w:r>
      <w:r>
        <w:tab/>
        <w:t>RRO, primary requirements</w:t>
      </w:r>
      <w:r>
        <w:tab/>
      </w:r>
      <w:r>
        <w:fldChar w:fldCharType="begin"/>
      </w:r>
      <w:r>
        <w:instrText xml:space="preserve"> PAGEREF _Toc118377730 \h </w:instrText>
      </w:r>
      <w:r>
        <w:fldChar w:fldCharType="separate"/>
      </w:r>
      <w:r>
        <w:t>51</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_Toc118377731 \h </w:instrText>
      </w:r>
      <w:r>
        <w:fldChar w:fldCharType="separate"/>
      </w:r>
      <w:r>
        <w:t>51</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_Toc118377732 \h </w:instrText>
      </w:r>
      <w:r>
        <w:fldChar w:fldCharType="separate"/>
      </w:r>
      <w:r>
        <w:t>52</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_Toc118377733 \h </w:instrText>
      </w:r>
      <w:r>
        <w:fldChar w:fldCharType="separate"/>
      </w:r>
      <w:r>
        <w:t>52</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_Toc118377734 \h </w:instrText>
      </w:r>
      <w:r>
        <w:fldChar w:fldCharType="separate"/>
      </w:r>
      <w:r>
        <w:t>53</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_Toc118377735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_Toc118377738 \h </w:instrText>
      </w:r>
      <w:r>
        <w:fldChar w:fldCharType="separate"/>
      </w:r>
      <w:r>
        <w:t>55</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_Toc118377739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_Toc118377741 \h </w:instrText>
      </w:r>
      <w:r>
        <w:fldChar w:fldCharType="separate"/>
      </w:r>
      <w:r>
        <w:t>56</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_Toc118377742 \h </w:instrText>
      </w:r>
      <w:r>
        <w:fldChar w:fldCharType="separate"/>
      </w:r>
      <w:r>
        <w:t>57</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_Toc118377743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1B — Prisoners with links to terrorism or subject to Commissioner of Police reports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66D.</w:t>
      </w:r>
      <w:r>
        <w:tab/>
        <w:t>Terms used</w:t>
      </w:r>
      <w:r>
        <w:tab/>
      </w:r>
      <w:r>
        <w:fldChar w:fldCharType="begin"/>
      </w:r>
      <w:r>
        <w:instrText xml:space="preserve"> PAGEREF _Toc118377746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Early release orders in cases of prisoners with links to terrorism</w:t>
      </w:r>
    </w:p>
    <w:p>
      <w:pPr>
        <w:pStyle w:val="TOC8"/>
        <w:rPr>
          <w:rFonts w:asciiTheme="minorHAnsi" w:eastAsiaTheme="minorEastAsia" w:hAnsiTheme="minorHAnsi" w:cstheme="minorBidi"/>
          <w:szCs w:val="22"/>
        </w:rPr>
      </w:pPr>
      <w:r>
        <w:t>66E.</w:t>
      </w:r>
      <w:r>
        <w:tab/>
        <w:t>References to Board</w:t>
      </w:r>
      <w:r>
        <w:tab/>
      </w:r>
      <w:r>
        <w:fldChar w:fldCharType="begin"/>
      </w:r>
      <w:r>
        <w:instrText xml:space="preserve"> PAGEREF _Toc118377748 \h </w:instrText>
      </w:r>
      <w:r>
        <w:fldChar w:fldCharType="separate"/>
      </w:r>
      <w:r>
        <w:t>60</w:t>
      </w:r>
      <w:r>
        <w:fldChar w:fldCharType="end"/>
      </w:r>
    </w:p>
    <w:p>
      <w:pPr>
        <w:pStyle w:val="TOC8"/>
        <w:rPr>
          <w:rFonts w:asciiTheme="minorHAnsi" w:eastAsiaTheme="minorEastAsia" w:hAnsiTheme="minorHAnsi" w:cstheme="minorBidi"/>
          <w:szCs w:val="22"/>
        </w:rPr>
      </w:pPr>
      <w:r>
        <w:t>66F.</w:t>
      </w:r>
      <w:r>
        <w:tab/>
        <w:t>Additional release considerations</w:t>
      </w:r>
      <w:r>
        <w:tab/>
      </w:r>
      <w:r>
        <w:fldChar w:fldCharType="begin"/>
      </w:r>
      <w:r>
        <w:instrText xml:space="preserve"> PAGEREF _Toc118377749 \h </w:instrText>
      </w:r>
      <w:r>
        <w:fldChar w:fldCharType="separate"/>
      </w:r>
      <w:r>
        <w:t>60</w:t>
      </w:r>
      <w:r>
        <w:fldChar w:fldCharType="end"/>
      </w:r>
    </w:p>
    <w:p>
      <w:pPr>
        <w:pStyle w:val="TOC8"/>
        <w:rPr>
          <w:rFonts w:asciiTheme="minorHAnsi" w:eastAsiaTheme="minorEastAsia" w:hAnsiTheme="minorHAnsi" w:cstheme="minorBidi"/>
          <w:szCs w:val="22"/>
        </w:rPr>
      </w:pPr>
      <w:r>
        <w:t>66G.</w:t>
      </w:r>
      <w:r>
        <w:tab/>
        <w:t>Making early release orders</w:t>
      </w:r>
      <w:r>
        <w:tab/>
      </w:r>
      <w:r>
        <w:fldChar w:fldCharType="begin"/>
      </w:r>
      <w:r>
        <w:instrText xml:space="preserve"> PAGEREF _Toc118377750 \h </w:instrText>
      </w:r>
      <w:r>
        <w:fldChar w:fldCharType="separate"/>
      </w:r>
      <w:r>
        <w:t>61</w:t>
      </w:r>
      <w:r>
        <w:fldChar w:fldCharType="end"/>
      </w:r>
    </w:p>
    <w:p>
      <w:pPr>
        <w:pStyle w:val="TOC8"/>
        <w:rPr>
          <w:rFonts w:asciiTheme="minorHAnsi" w:eastAsiaTheme="minorEastAsia" w:hAnsiTheme="minorHAnsi" w:cstheme="minorBidi"/>
          <w:szCs w:val="22"/>
        </w:rPr>
      </w:pPr>
      <w:r>
        <w:t>66H.</w:t>
      </w:r>
      <w:r>
        <w:tab/>
        <w:t>Commissioner of Police reports</w:t>
      </w:r>
      <w:r>
        <w:tab/>
      </w:r>
      <w:r>
        <w:fldChar w:fldCharType="begin"/>
      </w:r>
      <w:r>
        <w:instrText xml:space="preserve"> PAGEREF _Toc118377751 \h </w:instrText>
      </w:r>
      <w:r>
        <w:fldChar w:fldCharType="separate"/>
      </w:r>
      <w:r>
        <w:t>62</w:t>
      </w:r>
      <w:r>
        <w:fldChar w:fldCharType="end"/>
      </w:r>
    </w:p>
    <w:p>
      <w:pPr>
        <w:pStyle w:val="TOC8"/>
        <w:rPr>
          <w:rFonts w:asciiTheme="minorHAnsi" w:eastAsiaTheme="minorEastAsia" w:hAnsiTheme="minorHAnsi" w:cstheme="minorBidi"/>
          <w:szCs w:val="22"/>
        </w:rPr>
      </w:pPr>
      <w:r>
        <w:t>66I.</w:t>
      </w:r>
      <w:r>
        <w:tab/>
        <w:t>Withdrawing Commissioner of Police reports</w:t>
      </w:r>
      <w:r>
        <w:tab/>
      </w:r>
      <w:r>
        <w:fldChar w:fldCharType="begin"/>
      </w:r>
      <w:r>
        <w:instrText xml:space="preserve"> PAGEREF _Toc118377752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Early release orders for other prisoners subject to Commissioner of Police reports</w:t>
      </w:r>
    </w:p>
    <w:p>
      <w:pPr>
        <w:pStyle w:val="TOC8"/>
        <w:rPr>
          <w:rFonts w:asciiTheme="minorHAnsi" w:eastAsiaTheme="minorEastAsia" w:hAnsiTheme="minorHAnsi" w:cstheme="minorBidi"/>
          <w:szCs w:val="22"/>
        </w:rPr>
      </w:pPr>
      <w:r>
        <w:t>66J.</w:t>
      </w:r>
      <w:r>
        <w:tab/>
        <w:t>Term used: prisoner</w:t>
      </w:r>
      <w:r>
        <w:tab/>
      </w:r>
      <w:r>
        <w:fldChar w:fldCharType="begin"/>
      </w:r>
      <w:r>
        <w:instrText xml:space="preserve"> PAGEREF _Toc118377754 \h </w:instrText>
      </w:r>
      <w:r>
        <w:fldChar w:fldCharType="separate"/>
      </w:r>
      <w:r>
        <w:t>64</w:t>
      </w:r>
      <w:r>
        <w:fldChar w:fldCharType="end"/>
      </w:r>
    </w:p>
    <w:p>
      <w:pPr>
        <w:pStyle w:val="TOC8"/>
        <w:rPr>
          <w:rFonts w:asciiTheme="minorHAnsi" w:eastAsiaTheme="minorEastAsia" w:hAnsiTheme="minorHAnsi" w:cstheme="minorBidi"/>
          <w:szCs w:val="22"/>
        </w:rPr>
      </w:pPr>
      <w:r>
        <w:t>66K.</w:t>
      </w:r>
      <w:r>
        <w:tab/>
        <w:t>Releasing prisoners subject to Commissioner of Police report on parole</w:t>
      </w:r>
      <w:r>
        <w:tab/>
      </w:r>
      <w:r>
        <w:fldChar w:fldCharType="begin"/>
      </w:r>
      <w:r>
        <w:instrText xml:space="preserve"> PAGEREF _Toc118377755 \h </w:instrText>
      </w:r>
      <w:r>
        <w:fldChar w:fldCharType="separate"/>
      </w:r>
      <w:r>
        <w:t>64</w:t>
      </w:r>
      <w:r>
        <w:fldChar w:fldCharType="end"/>
      </w:r>
    </w:p>
    <w:p>
      <w:pPr>
        <w:pStyle w:val="TOC8"/>
        <w:rPr>
          <w:rFonts w:asciiTheme="minorHAnsi" w:eastAsiaTheme="minorEastAsia" w:hAnsiTheme="minorHAnsi" w:cstheme="minorBidi"/>
          <w:szCs w:val="22"/>
        </w:rPr>
      </w:pPr>
      <w:r>
        <w:t>66L.</w:t>
      </w:r>
      <w:r>
        <w:tab/>
        <w:t>Making parole order in respect of prisoner subject to Commissioner of Police report</w:t>
      </w:r>
      <w:r>
        <w:tab/>
      </w:r>
      <w:r>
        <w:fldChar w:fldCharType="begin"/>
      </w:r>
      <w:r>
        <w:instrText xml:space="preserve"> PAGEREF _Toc118377756 \h </w:instrText>
      </w:r>
      <w:r>
        <w:fldChar w:fldCharType="separate"/>
      </w:r>
      <w:r>
        <w:t>64</w:t>
      </w:r>
      <w:r>
        <w:fldChar w:fldCharType="end"/>
      </w:r>
    </w:p>
    <w:p>
      <w:pPr>
        <w:pStyle w:val="TOC8"/>
        <w:rPr>
          <w:rFonts w:asciiTheme="minorHAnsi" w:eastAsiaTheme="minorEastAsia" w:hAnsiTheme="minorHAnsi" w:cstheme="minorBidi"/>
          <w:szCs w:val="22"/>
        </w:rPr>
      </w:pPr>
      <w:r>
        <w:lastRenderedPageBreak/>
        <w:t>66M.</w:t>
      </w:r>
      <w:r>
        <w:tab/>
        <w:t>Making RRO in respect of prisoners subject to Commissioner of Police report</w:t>
      </w:r>
      <w:r>
        <w:tab/>
      </w:r>
      <w:r>
        <w:fldChar w:fldCharType="begin"/>
      </w:r>
      <w:r>
        <w:instrText xml:space="preserve"> PAGEREF _Toc118377757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67A.</w:t>
      </w:r>
      <w:r>
        <w:tab/>
        <w:t>Cancellation automatic in case of prisoner with links to terrorism</w:t>
      </w:r>
      <w:r>
        <w:tab/>
      </w:r>
      <w:r>
        <w:fldChar w:fldCharType="begin"/>
      </w:r>
      <w:r>
        <w:instrText xml:space="preserve"> PAGEREF _Toc118377759 \h </w:instrText>
      </w:r>
      <w:r>
        <w:fldChar w:fldCharType="separate"/>
      </w:r>
      <w:r>
        <w:t>65</w:t>
      </w:r>
      <w:r>
        <w:fldChar w:fldCharType="end"/>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_Toc118377760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_Toc118377762 \h </w:instrText>
      </w:r>
      <w:r>
        <w:fldChar w:fldCharType="separate"/>
      </w:r>
      <w:r>
        <w:t>67</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_Toc118377763 \h </w:instrText>
      </w:r>
      <w:r>
        <w:fldChar w:fldCharType="separate"/>
      </w:r>
      <w:r>
        <w:t>68</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_Toc118377764 \h </w:instrText>
      </w:r>
      <w:r>
        <w:fldChar w:fldCharType="separate"/>
      </w:r>
      <w:r>
        <w:t>69</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_Toc118377765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_Toc118377767 \h </w:instrText>
      </w:r>
      <w:r>
        <w:fldChar w:fldCharType="separate"/>
      </w:r>
      <w:r>
        <w:t>72</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_Toc118377768 \h </w:instrText>
      </w:r>
      <w:r>
        <w:fldChar w:fldCharType="separate"/>
      </w:r>
      <w:r>
        <w:t>72</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_Toc118377769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_Toc118377771 \h </w:instrText>
      </w:r>
      <w:r>
        <w:fldChar w:fldCharType="separate"/>
      </w:r>
      <w:r>
        <w:t>74</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_Toc118377772 \h </w:instrText>
      </w:r>
      <w:r>
        <w:fldChar w:fldCharType="separate"/>
      </w:r>
      <w:r>
        <w:t>74</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_Toc118377773 \h </w:instrText>
      </w:r>
      <w:r>
        <w:fldChar w:fldCharType="separate"/>
      </w:r>
      <w:r>
        <w:t>75</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_Toc118377774 \h </w:instrText>
      </w:r>
      <w:r>
        <w:fldChar w:fldCharType="separate"/>
      </w:r>
      <w:r>
        <w:t>76</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_Toc118377775 \h </w:instrText>
      </w:r>
      <w:r>
        <w:fldChar w:fldCharType="separate"/>
      </w:r>
      <w:r>
        <w:t>76</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_Toc118377776 \h </w:instrText>
      </w:r>
      <w:r>
        <w:fldChar w:fldCharType="separate"/>
      </w:r>
      <w:r>
        <w:t>77</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_Toc118377777 \h </w:instrText>
      </w:r>
      <w:r>
        <w:fldChar w:fldCharType="separate"/>
      </w:r>
      <w:r>
        <w:t>77</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_Toc118377778 \h </w:instrText>
      </w:r>
      <w:r>
        <w:fldChar w:fldCharType="separate"/>
      </w:r>
      <w:r>
        <w:t>78</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_Toc118377779 \h </w:instrText>
      </w:r>
      <w:r>
        <w:fldChar w:fldCharType="separate"/>
      </w:r>
      <w:r>
        <w:t>78</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_Toc118377780 \h </w:instrText>
      </w:r>
      <w:r>
        <w:fldChar w:fldCharType="separate"/>
      </w:r>
      <w:r>
        <w:t>79</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_Toc118377781 \h </w:instrText>
      </w:r>
      <w:r>
        <w:fldChar w:fldCharType="separate"/>
      </w:r>
      <w:r>
        <w:t>79</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_Toc118377782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_Toc118377784 \h </w:instrText>
      </w:r>
      <w:r>
        <w:fldChar w:fldCharType="separate"/>
      </w:r>
      <w:r>
        <w:t>81</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_Toc118377785 \h </w:instrText>
      </w:r>
      <w:r>
        <w:fldChar w:fldCharType="separate"/>
      </w:r>
      <w:r>
        <w:t>81</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_Toc118377786 \h </w:instrText>
      </w:r>
      <w:r>
        <w:fldChar w:fldCharType="separate"/>
      </w:r>
      <w:r>
        <w:t>83</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_Toc118377787 \h </w:instrText>
      </w:r>
      <w:r>
        <w:fldChar w:fldCharType="separate"/>
      </w:r>
      <w:r>
        <w:t>84</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_Toc118377788 \h </w:instrText>
      </w:r>
      <w:r>
        <w:fldChar w:fldCharType="separate"/>
      </w:r>
      <w:r>
        <w:t>85</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_Toc118377789 \h </w:instrText>
      </w:r>
      <w:r>
        <w:fldChar w:fldCharType="separate"/>
      </w:r>
      <w:r>
        <w:t>86</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_Toc118377790 \h </w:instrText>
      </w:r>
      <w:r>
        <w:fldChar w:fldCharType="separate"/>
      </w:r>
      <w:r>
        <w:t>86</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_Toc118377791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_Toc118377794 \h </w:instrText>
      </w:r>
      <w:r>
        <w:fldChar w:fldCharType="separate"/>
      </w:r>
      <w:r>
        <w:t>88</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_Toc118377795 \h </w:instrText>
      </w:r>
      <w:r>
        <w:fldChar w:fldCharType="separate"/>
      </w:r>
      <w:r>
        <w:t>88</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_Toc118377796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_Toc118377798 \h </w:instrText>
      </w:r>
      <w:r>
        <w:fldChar w:fldCharType="separate"/>
      </w:r>
      <w:r>
        <w:t>89</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_Toc118377799 \h </w:instrText>
      </w:r>
      <w:r>
        <w:fldChar w:fldCharType="separate"/>
      </w:r>
      <w:r>
        <w:t>90</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_Toc118377800 \h </w:instrText>
      </w:r>
      <w:r>
        <w:fldChar w:fldCharType="separate"/>
      </w:r>
      <w:r>
        <w:t>90</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_Toc118377801 \h </w:instrText>
      </w:r>
      <w:r>
        <w:fldChar w:fldCharType="separate"/>
      </w:r>
      <w:r>
        <w:t>91</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_Toc118377802 \h </w:instrText>
      </w:r>
      <w:r>
        <w:fldChar w:fldCharType="separate"/>
      </w:r>
      <w:r>
        <w:t>92</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_Toc118377803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_Toc118377805 \h </w:instrText>
      </w:r>
      <w:r>
        <w:fldChar w:fldCharType="separate"/>
      </w:r>
      <w:r>
        <w:t>93</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_Toc118377806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_Toc118377809 \h </w:instrText>
      </w:r>
      <w:r>
        <w:fldChar w:fldCharType="separate"/>
      </w:r>
      <w:r>
        <w:t>95</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_Toc118377810 \h </w:instrText>
      </w:r>
      <w:r>
        <w:fldChar w:fldCharType="separate"/>
      </w:r>
      <w:r>
        <w:t>96</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_Toc118377811 \h </w:instrText>
      </w:r>
      <w:r>
        <w:fldChar w:fldCharType="separate"/>
      </w:r>
      <w:r>
        <w:t>96</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_Toc118377812 \h </w:instrText>
      </w:r>
      <w:r>
        <w:fldChar w:fldCharType="separate"/>
      </w:r>
      <w:r>
        <w:t>96</w:t>
      </w:r>
      <w:r>
        <w:fldChar w:fldCharType="end"/>
      </w:r>
    </w:p>
    <w:p>
      <w:pPr>
        <w:pStyle w:val="TOC8"/>
        <w:rPr>
          <w:rFonts w:asciiTheme="minorHAnsi" w:eastAsiaTheme="minorEastAsia" w:hAnsiTheme="minorHAnsi" w:cstheme="minorBidi"/>
          <w:szCs w:val="22"/>
        </w:rPr>
      </w:pPr>
      <w:r>
        <w:lastRenderedPageBreak/>
        <w:t>97A.</w:t>
      </w:r>
      <w:r>
        <w:tab/>
        <w:t>Disclosing information about offender for community safety</w:t>
      </w:r>
      <w:r>
        <w:tab/>
      </w:r>
      <w:r>
        <w:fldChar w:fldCharType="begin"/>
      </w:r>
      <w:r>
        <w:instrText xml:space="preserve"> PAGEREF _Toc118377813 \h </w:instrText>
      </w:r>
      <w:r>
        <w:fldChar w:fldCharType="separate"/>
      </w:r>
      <w:r>
        <w:t>97</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_Toc118377814 \h </w:instrText>
      </w:r>
      <w:r>
        <w:fldChar w:fldCharType="separate"/>
      </w:r>
      <w:r>
        <w:t>97</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_Toc118377815 \h </w:instrText>
      </w:r>
      <w:r>
        <w:fldChar w:fldCharType="separate"/>
      </w:r>
      <w:r>
        <w:t>99</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_Toc118377816 \h </w:instrText>
      </w:r>
      <w:r>
        <w:fldChar w:fldCharType="separate"/>
      </w:r>
      <w:r>
        <w:t>99</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_Toc118377817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_Toc118377819 \h </w:instrText>
      </w:r>
      <w:r>
        <w:fldChar w:fldCharType="separate"/>
      </w:r>
      <w:r>
        <w:t>100</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_Toc118377820 \h </w:instrText>
      </w:r>
      <w:r>
        <w:fldChar w:fldCharType="separate"/>
      </w:r>
      <w:r>
        <w:t>101</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_Toc118377821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_Toc118377823 \h </w:instrText>
      </w:r>
      <w:r>
        <w:fldChar w:fldCharType="separate"/>
      </w:r>
      <w:r>
        <w:t>101</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_Toc118377824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_Toc118377826 \h </w:instrText>
      </w:r>
      <w:r>
        <w:fldChar w:fldCharType="separate"/>
      </w:r>
      <w:r>
        <w:t>103</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_Toc118377827 \h </w:instrText>
      </w:r>
      <w:r>
        <w:fldChar w:fldCharType="separate"/>
      </w:r>
      <w:r>
        <w:t>103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_Toc118377828 \h </w:instrText>
      </w:r>
      <w:r>
        <w:fldChar w:fldCharType="separate"/>
      </w:r>
      <w:r>
        <w:t>105</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_Toc118377829 \h </w:instrText>
      </w:r>
      <w:r>
        <w:fldChar w:fldCharType="separate"/>
      </w:r>
      <w:r>
        <w:t>105</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_Toc118377830 \h </w:instrText>
      </w:r>
      <w:r>
        <w:fldChar w:fldCharType="separate"/>
      </w:r>
      <w:r>
        <w:t>105</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_Toc118377831 \h </w:instrText>
      </w:r>
      <w:r>
        <w:fldChar w:fldCharType="separate"/>
      </w:r>
      <w:r>
        <w:t>105</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_Toc118377832 \h </w:instrText>
      </w:r>
      <w:r>
        <w:fldChar w:fldCharType="separate"/>
      </w:r>
      <w:r>
        <w:t>106</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_Toc118377833 \h </w:instrText>
      </w:r>
      <w:r>
        <w:fldChar w:fldCharType="separate"/>
      </w:r>
      <w:r>
        <w:t>106</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_Toc118377834 \h </w:instrText>
      </w:r>
      <w:r>
        <w:fldChar w:fldCharType="separate"/>
      </w:r>
      <w:r>
        <w:t>106</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_Toc118377835 \h </w:instrText>
      </w:r>
      <w:r>
        <w:fldChar w:fldCharType="separate"/>
      </w:r>
      <w:r>
        <w:t>107</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_Toc118377836 \h </w:instrText>
      </w:r>
      <w:r>
        <w:fldChar w:fldCharType="separate"/>
      </w:r>
      <w:r>
        <w:t>108</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_Toc118377837 \h </w:instrText>
      </w:r>
      <w:r>
        <w:fldChar w:fldCharType="separate"/>
      </w:r>
      <w:r>
        <w:t>108</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_Toc118377838 \h </w:instrText>
      </w:r>
      <w:r>
        <w:fldChar w:fldCharType="separate"/>
      </w:r>
      <w:r>
        <w:t>109</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_Toc118377839 \h </w:instrText>
      </w:r>
      <w:r>
        <w:fldChar w:fldCharType="separate"/>
      </w:r>
      <w:r>
        <w:t>109</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_Toc118377840 \h </w:instrText>
      </w:r>
      <w:r>
        <w:fldChar w:fldCharType="separate"/>
      </w:r>
      <w:r>
        <w:t>110</w:t>
      </w:r>
      <w:r>
        <w:fldChar w:fldCharType="end"/>
      </w:r>
    </w:p>
    <w:p>
      <w:pPr>
        <w:pStyle w:val="TOC8"/>
        <w:rPr>
          <w:rFonts w:asciiTheme="minorHAnsi" w:eastAsiaTheme="minorEastAsia" w:hAnsiTheme="minorHAnsi" w:cstheme="minorBidi"/>
          <w:szCs w:val="22"/>
        </w:rPr>
      </w:pPr>
      <w:r>
        <w:t>112A.</w:t>
      </w:r>
      <w:r>
        <w:tab/>
        <w:t>Information to be excluded from annual reports</w:t>
      </w:r>
      <w:r>
        <w:tab/>
      </w:r>
      <w:r>
        <w:fldChar w:fldCharType="begin"/>
      </w:r>
      <w:r>
        <w:instrText xml:space="preserve"> PAGEREF _Toc118377841 \h </w:instrText>
      </w:r>
      <w:r>
        <w:fldChar w:fldCharType="separate"/>
      </w:r>
      <w:r>
        <w:t>111</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_Toc118377842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_Toc118377844 \h </w:instrText>
      </w:r>
      <w:r>
        <w:fldChar w:fldCharType="separate"/>
      </w:r>
      <w:r>
        <w:t>114</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_Toc118377845 \h </w:instrText>
      </w:r>
      <w:r>
        <w:fldChar w:fldCharType="separate"/>
      </w:r>
      <w:r>
        <w:t>114</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_Toc118377846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115B.</w:t>
      </w:r>
      <w:r>
        <w:tab/>
        <w:t>Decisions made by Board as constituted by chairperson alone may be reconsidered</w:t>
      </w:r>
      <w:r>
        <w:tab/>
      </w:r>
      <w:r>
        <w:fldChar w:fldCharType="begin"/>
      </w:r>
      <w:r>
        <w:instrText xml:space="preserve"> PAGEREF _Toc118377847 \h </w:instrText>
      </w:r>
      <w:r>
        <w:fldChar w:fldCharType="separate"/>
      </w:r>
      <w:r>
        <w:t>117</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_Toc118377848 \h </w:instrText>
      </w:r>
      <w:r>
        <w:fldChar w:fldCharType="separate"/>
      </w:r>
      <w:r>
        <w:t>118</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_Toc118377849 \h </w:instrText>
      </w:r>
      <w:r>
        <w:fldChar w:fldCharType="separate"/>
      </w:r>
      <w:r>
        <w:t>118</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_Toc118377850 \h </w:instrText>
      </w:r>
      <w:r>
        <w:fldChar w:fldCharType="separate"/>
      </w:r>
      <w:r>
        <w:t>119</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_Toc118377851 \h </w:instrText>
      </w:r>
      <w:r>
        <w:fldChar w:fldCharType="separate"/>
      </w:r>
      <w:r>
        <w:t>120</w:t>
      </w:r>
      <w:r>
        <w:fldChar w:fldCharType="end"/>
      </w:r>
    </w:p>
    <w:p>
      <w:pPr>
        <w:pStyle w:val="TOC8"/>
        <w:rPr>
          <w:rFonts w:asciiTheme="minorHAnsi" w:eastAsiaTheme="minorEastAsia" w:hAnsiTheme="minorHAnsi" w:cstheme="minorBidi"/>
          <w:szCs w:val="22"/>
        </w:rPr>
      </w:pPr>
      <w:r>
        <w:t>119A.</w:t>
      </w:r>
      <w:r>
        <w:tab/>
        <w:t>Protection of Commissioner of Police reports that may be withdrawn</w:t>
      </w:r>
      <w:r>
        <w:tab/>
      </w:r>
      <w:r>
        <w:fldChar w:fldCharType="begin"/>
      </w:r>
      <w:r>
        <w:instrText xml:space="preserve"> PAGEREF _Toc118377852 \h </w:instrText>
      </w:r>
      <w:r>
        <w:fldChar w:fldCharType="separate"/>
      </w:r>
      <w:r>
        <w:t>121</w:t>
      </w:r>
      <w:r>
        <w:fldChar w:fldCharType="end"/>
      </w:r>
    </w:p>
    <w:p>
      <w:pPr>
        <w:pStyle w:val="TOC8"/>
        <w:rPr>
          <w:rFonts w:asciiTheme="minorHAnsi" w:eastAsiaTheme="minorEastAsia" w:hAnsiTheme="minorHAnsi" w:cstheme="minorBidi"/>
          <w:szCs w:val="22"/>
        </w:rPr>
      </w:pPr>
      <w:r>
        <w:t>119B.</w:t>
      </w:r>
      <w:r>
        <w:tab/>
        <w:t>Protection of Commissioner of Police reports containing terrorist intelligence information</w:t>
      </w:r>
      <w:r>
        <w:tab/>
      </w:r>
      <w:r>
        <w:fldChar w:fldCharType="begin"/>
      </w:r>
      <w:r>
        <w:instrText xml:space="preserve"> PAGEREF _Toc118377853 \h </w:instrText>
      </w:r>
      <w:r>
        <w:fldChar w:fldCharType="separate"/>
      </w:r>
      <w:r>
        <w:t>121</w:t>
      </w:r>
      <w:r>
        <w:fldChar w:fldCharType="end"/>
      </w:r>
    </w:p>
    <w:p>
      <w:pPr>
        <w:pStyle w:val="TOC8"/>
        <w:rPr>
          <w:rFonts w:asciiTheme="minorHAnsi" w:eastAsiaTheme="minorEastAsia" w:hAnsiTheme="minorHAnsi" w:cstheme="minorBidi"/>
          <w:szCs w:val="22"/>
        </w:rPr>
      </w:pPr>
      <w:r>
        <w:t>119C.</w:t>
      </w:r>
      <w:r>
        <w:tab/>
        <w:t>Protection of terrorist intelligence information in legal proceedings</w:t>
      </w:r>
      <w:r>
        <w:tab/>
      </w:r>
      <w:r>
        <w:fldChar w:fldCharType="begin"/>
      </w:r>
      <w:r>
        <w:instrText xml:space="preserve"> PAGEREF _Toc118377854 \h </w:instrText>
      </w:r>
      <w:r>
        <w:fldChar w:fldCharType="separate"/>
      </w:r>
      <w:r>
        <w:t>122</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_Toc118377855 \h </w:instrText>
      </w:r>
      <w:r>
        <w:fldChar w:fldCharType="separate"/>
      </w:r>
      <w:r>
        <w:t>123</w:t>
      </w:r>
      <w:r>
        <w:fldChar w:fldCharType="end"/>
      </w:r>
    </w:p>
    <w:p>
      <w:pPr>
        <w:pStyle w:val="TOC8"/>
        <w:rPr>
          <w:rFonts w:asciiTheme="minorHAnsi" w:eastAsiaTheme="minorEastAsia" w:hAnsiTheme="minorHAnsi" w:cstheme="minorBidi"/>
          <w:szCs w:val="22"/>
        </w:rPr>
      </w:pPr>
      <w:r>
        <w:t>120A.</w:t>
      </w:r>
      <w:r>
        <w:tab/>
        <w:t>Delegation by Commissioner of Police</w:t>
      </w:r>
      <w:r>
        <w:tab/>
      </w:r>
      <w:r>
        <w:fldChar w:fldCharType="begin"/>
      </w:r>
      <w:r>
        <w:instrText xml:space="preserve"> PAGEREF _Toc118377856 \h </w:instrText>
      </w:r>
      <w:r>
        <w:fldChar w:fldCharType="separate"/>
      </w:r>
      <w:r>
        <w:t>124</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_Toc118377857 \h </w:instrText>
      </w:r>
      <w:r>
        <w:fldChar w:fldCharType="separate"/>
      </w:r>
      <w:r>
        <w:t>124</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_Toc118377858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_Toc118377861 \h </w:instrText>
      </w:r>
      <w:r>
        <w:fldChar w:fldCharType="separate"/>
      </w:r>
      <w:r>
        <w:t>125</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_Toc118377862 \h </w:instrText>
      </w:r>
      <w:r>
        <w:fldChar w:fldCharType="separate"/>
      </w:r>
      <w:r>
        <w:t>126</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_Toc118377863 \h </w:instrText>
      </w:r>
      <w:r>
        <w:fldChar w:fldCharType="separate"/>
      </w:r>
      <w:r>
        <w:t>126</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_Toc118377864 \h </w:instrText>
      </w:r>
      <w:r>
        <w:fldChar w:fldCharType="separate"/>
      </w:r>
      <w:r>
        <w:t>127</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_Toc118377865 \h </w:instrText>
      </w:r>
      <w:r>
        <w:fldChar w:fldCharType="separate"/>
      </w:r>
      <w:r>
        <w:t>127</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_Toc118377866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_Toc118377868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_Toc118377870 \h </w:instrText>
      </w:r>
      <w:r>
        <w:fldChar w:fldCharType="separate"/>
      </w:r>
      <w:r>
        <w:t>129</w:t>
      </w:r>
      <w:r>
        <w:fldChar w:fldCharType="end"/>
      </w:r>
    </w:p>
    <w:p>
      <w:pPr>
        <w:pStyle w:val="TOC8"/>
        <w:rPr>
          <w:rFonts w:asciiTheme="minorHAnsi" w:eastAsiaTheme="minorEastAsia" w:hAnsiTheme="minorHAnsi" w:cstheme="minorBidi"/>
          <w:szCs w:val="22"/>
        </w:rPr>
      </w:pPr>
      <w:r>
        <w:lastRenderedPageBreak/>
        <w:t>2.</w:t>
      </w:r>
      <w:r>
        <w:tab/>
        <w:t>Term etc. of office</w:t>
      </w:r>
      <w:r>
        <w:tab/>
      </w:r>
      <w:r>
        <w:fldChar w:fldCharType="begin"/>
      </w:r>
      <w:r>
        <w:instrText xml:space="preserve"> PAGEREF _Toc118377871 \h </w:instrText>
      </w:r>
      <w:r>
        <w:fldChar w:fldCharType="separate"/>
      </w:r>
      <w:r>
        <w:t>129</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_Toc118377872 \h </w:instrText>
      </w:r>
      <w:r>
        <w:fldChar w:fldCharType="separate"/>
      </w:r>
      <w:r>
        <w:t>130</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_Toc118377873 \h </w:instrText>
      </w:r>
      <w:r>
        <w:fldChar w:fldCharType="separate"/>
      </w:r>
      <w:r>
        <w:t>130</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_Toc118377874 \h </w:instrText>
      </w:r>
      <w:r>
        <w:fldChar w:fldCharType="separate"/>
      </w:r>
      <w:r>
        <w:t>131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_Toc118377875 \h </w:instrText>
      </w:r>
      <w:r>
        <w:fldChar w:fldCharType="separate"/>
      </w:r>
      <w:r>
        <w:t>132</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_Toc118377876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_Toc118377882 \h </w:instrText>
      </w:r>
      <w:r>
        <w:fldChar w:fldCharType="separate"/>
      </w:r>
      <w:r>
        <w:t>139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_Toc118377883 \h </w:instrText>
      </w:r>
      <w:r>
        <w:fldChar w:fldCharType="separate"/>
      </w:r>
      <w:r>
        <w:t>141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_Toc118377884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pStyle w:val="Heading2"/>
      </w:pPr>
      <w:bookmarkStart w:id="3" w:name="_Toc118361409"/>
      <w:bookmarkStart w:id="4" w:name="_Toc118365026"/>
      <w:bookmarkStart w:id="5" w:name="_Toc118376931"/>
      <w:bookmarkStart w:id="6" w:name="_Toc11837764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118377649"/>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8" w:name="_Toc118377650"/>
      <w:r>
        <w:rPr>
          <w:rStyle w:val="CharSectno"/>
        </w:rPr>
        <w:t>2</w:t>
      </w:r>
      <w:r>
        <w:rPr>
          <w:snapToGrid w:val="0"/>
        </w:rPr>
        <w:t>.</w:t>
      </w:r>
      <w:r>
        <w:rPr>
          <w:snapToGrid w:val="0"/>
        </w:rPr>
        <w:tab/>
        <w:t>Commencement</w:t>
      </w:r>
      <w:bookmarkEnd w:id="8"/>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9" w:name="_Toc118377651"/>
      <w:r>
        <w:rPr>
          <w:rStyle w:val="CharSectno"/>
        </w:rPr>
        <w:t>3</w:t>
      </w:r>
      <w:r>
        <w:t>.</w:t>
      </w:r>
      <w:r>
        <w:tab/>
        <w:t xml:space="preserve">This Act to be read with </w:t>
      </w:r>
      <w:r>
        <w:rPr>
          <w:i/>
        </w:rPr>
        <w:t>Sentencing Act 1995</w:t>
      </w:r>
      <w:bookmarkEnd w:id="9"/>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0" w:name="_Toc118377652"/>
      <w:r>
        <w:rPr>
          <w:rStyle w:val="CharSectno"/>
        </w:rPr>
        <w:t>4</w:t>
      </w:r>
      <w:r>
        <w:t>.</w:t>
      </w:r>
      <w:r>
        <w:tab/>
        <w:t>Terms and abbreviations used</w:t>
      </w:r>
      <w:bookmarkEnd w:id="10"/>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keepNext/>
      </w:pPr>
      <w:r>
        <w:lastRenderedPageBreak/>
        <w:tab/>
      </w:r>
      <w:r>
        <w:rPr>
          <w:rStyle w:val="CharDefText"/>
        </w:rPr>
        <w:t>category 1 prisoner</w:t>
      </w:r>
      <w:r>
        <w:t xml:space="preserve"> </w:t>
      </w:r>
      <w:r>
        <w:rPr>
          <w:szCs w:val="24"/>
        </w:rPr>
        <w:t xml:space="preserve">means — </w:t>
      </w:r>
    </w:p>
    <w:p>
      <w:pPr>
        <w:pStyle w:val="Defpara"/>
        <w:keepNext/>
      </w:pPr>
      <w:r>
        <w:tab/>
        <w:t>(a)</w:t>
      </w:r>
      <w:r>
        <w:tab/>
        <w:t xml:space="preserve">a prisoner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t>a prisoner who has been subject to an interim control order or a confirmed control order at any time during —</w:t>
      </w:r>
    </w:p>
    <w:p>
      <w:pPr>
        <w:pStyle w:val="Defsubpara"/>
      </w:pPr>
      <w:r>
        <w:tab/>
        <w:t>(i)</w:t>
      </w:r>
      <w:r>
        <w:tab/>
        <w:t xml:space="preserve">the period of the prisoner’s sentence (the </w:t>
      </w:r>
      <w:r>
        <w:rPr>
          <w:rStyle w:val="CharDefText"/>
        </w:rPr>
        <w:t>current sentence</w:t>
      </w:r>
      <w:r>
        <w:t>); or</w:t>
      </w:r>
    </w:p>
    <w:p>
      <w:pPr>
        <w:pStyle w:val="Defsubpara"/>
      </w:pPr>
      <w:r>
        <w:tab/>
        <w:t>(ii)</w:t>
      </w:r>
      <w:r>
        <w:tab/>
        <w:t xml:space="preserve">the period of 10 years ending on the day on which the prisoner’s current sentence begins or is taken to have begun; </w:t>
      </w:r>
    </w:p>
    <w:p>
      <w:pPr>
        <w:pStyle w:val="Defpara"/>
      </w:pPr>
      <w:r>
        <w:tab/>
      </w:r>
      <w:r>
        <w:tab/>
        <w:t>or</w:t>
      </w:r>
    </w:p>
    <w:p>
      <w:pPr>
        <w:pStyle w:val="Defpara"/>
      </w:pPr>
      <w:r>
        <w:tab/>
        <w:t>(c)</w:t>
      </w:r>
      <w:r>
        <w:tab/>
        <w:t xml:space="preserve">a prisoner for whom an interim control order is being sought under the </w:t>
      </w:r>
      <w:r>
        <w:rPr>
          <w:szCs w:val="24"/>
        </w:rPr>
        <w:t>Commonwealth Criminal Code section 104.3;</w:t>
      </w:r>
    </w:p>
    <w:p>
      <w:pPr>
        <w:pStyle w:val="Defstart"/>
      </w:pPr>
      <w:r>
        <w:tab/>
      </w:r>
      <w:r>
        <w:rPr>
          <w:rStyle w:val="CharDefText"/>
        </w:rPr>
        <w:t>category 2 prisoner</w:t>
      </w:r>
      <w:r>
        <w:t xml:space="preserve"> </w:t>
      </w:r>
      <w:r>
        <w:rPr>
          <w:szCs w:val="24"/>
        </w:rPr>
        <w:t xml:space="preserve">means a prisoner who </w:t>
      </w:r>
      <w:r>
        <w:t>has been charged with, or convicted of, an offence against the Commonwealth Criminal Code section 80.2C(1);</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chairperson</w:t>
      </w:r>
      <w:r>
        <w:t xml:space="preserve"> means the person appointed under section 103(1)(a);</w:t>
      </w:r>
    </w:p>
    <w:p>
      <w:pPr>
        <w:pStyle w:val="Defstart"/>
      </w:pPr>
      <w:r>
        <w:tab/>
      </w:r>
      <w:r>
        <w:rPr>
          <w:rStyle w:val="CharDefText"/>
        </w:rPr>
        <w:t>Commissioner of Police report</w:t>
      </w:r>
      <w:r>
        <w:t xml:space="preserve"> means a written report referred to in section 66H(1)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tab/>
      </w:r>
      <w:r>
        <w:rPr>
          <w:rStyle w:val="CharDefText"/>
        </w:rPr>
        <w:t>community</w:t>
      </w:r>
      <w:r>
        <w:t xml:space="preserve"> has a meaning affected by subsection (4);</w:t>
      </w:r>
    </w:p>
    <w:p>
      <w:pPr>
        <w:pStyle w:val="Defstart"/>
      </w:pPr>
      <w:r>
        <w:lastRenderedPageBreak/>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keepNext/>
      </w:pPr>
      <w:r>
        <w:tab/>
      </w:r>
      <w:r>
        <w:rPr>
          <w:rStyle w:val="CharDefText"/>
        </w:rPr>
        <w:t>family violence offence</w:t>
      </w:r>
      <w:r>
        <w:t xml:space="preserve"> means an offence where the offender and the victim are in a designated family relationship with each </w:t>
      </w:r>
      <w:r>
        <w:lastRenderedPageBreak/>
        <w:t>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rPr>
          <w:szCs w:val="24"/>
        </w:rPr>
      </w:pPr>
      <w:r>
        <w:lastRenderedPageBreak/>
        <w:tab/>
      </w:r>
      <w:r>
        <w:rPr>
          <w:rStyle w:val="CharDefText"/>
        </w:rPr>
        <w:t>prisoner with links to terrorism</w:t>
      </w:r>
      <w:r>
        <w:t xml:space="preserve"> </w:t>
      </w:r>
      <w:r>
        <w:rPr>
          <w:szCs w:val="24"/>
        </w:rPr>
        <w:t xml:space="preserve">means — </w:t>
      </w:r>
    </w:p>
    <w:p>
      <w:pPr>
        <w:pStyle w:val="Defpara"/>
      </w:pPr>
      <w:r>
        <w:tab/>
        <w:t>(a)</w:t>
      </w:r>
      <w:r>
        <w:tab/>
        <w:t>a category 1 prisoner; or</w:t>
      </w:r>
    </w:p>
    <w:p>
      <w:pPr>
        <w:pStyle w:val="Defpara"/>
      </w:pPr>
      <w:r>
        <w:tab/>
        <w:t>(b)</w:t>
      </w:r>
      <w:r>
        <w:tab/>
        <w:t>a category 2 prisoner who is subject to a Commissioner of Police report; or</w:t>
      </w:r>
    </w:p>
    <w:p>
      <w:pPr>
        <w:pStyle w:val="Defpara"/>
      </w:pPr>
      <w:r>
        <w:tab/>
        <w:t>(c)</w:t>
      </w:r>
      <w:r>
        <w:tab/>
        <w:t>a prisoner who —</w:t>
      </w:r>
    </w:p>
    <w:p>
      <w:pPr>
        <w:pStyle w:val="Defsubpara"/>
      </w:pPr>
      <w:r>
        <w:tab/>
        <w:t>(i)</w:t>
      </w:r>
      <w:r>
        <w:tab/>
        <w:t>is subject to a Commissioner of Police report; and</w:t>
      </w:r>
    </w:p>
    <w:p>
      <w:pPr>
        <w:pStyle w:val="Defsubpara"/>
      </w:pPr>
      <w:r>
        <w:tab/>
        <w:t>(ii)</w:t>
      </w:r>
      <w:r>
        <w:tab/>
        <w:t>the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lastRenderedPageBreak/>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rPr>
        <w:t>serial family violence offender</w:t>
      </w:r>
      <w:r>
        <w:t xml:space="preserve"> means a person who is a serial family violence offender under the </w:t>
      </w:r>
      <w:r>
        <w:rPr>
          <w:i/>
        </w:rPr>
        <w:t>Sentencing Act 1995</w:t>
      </w:r>
      <w:r>
        <w:t xml:space="preserve"> section 124E;</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Charter of the United Nations Act 1945</w:t>
      </w:r>
      <w:r>
        <w:t xml:space="preserve"> (Commonwealth)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Crimes (Foreign Incursions and Recruitment) Act 1978</w:t>
      </w:r>
      <w:r>
        <w:rPr>
          <w:szCs w:val="24"/>
        </w:rPr>
        <w:t xml:space="preserve"> (Commonwealth)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lastRenderedPageBreak/>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pPr>
      <w:r>
        <w:tab/>
        <w:t>(2A)</w:t>
      </w:r>
      <w:r>
        <w:tab/>
        <w:t xml:space="preserve">For the purposes of the definition of </w:t>
      </w:r>
      <w:r>
        <w:rPr>
          <w:b/>
          <w:i/>
        </w:rPr>
        <w:t xml:space="preserve">designated family relationship </w:t>
      </w:r>
      <w:r>
        <w:t xml:space="preserve">in subsection (2), an </w:t>
      </w:r>
      <w:r>
        <w:rPr>
          <w:rStyle w:val="CharDefText"/>
        </w:rPr>
        <w:t xml:space="preserve">intimate personal </w:t>
      </w:r>
      <w:r>
        <w:rPr>
          <w:rStyle w:val="CharDefText"/>
        </w:rPr>
        <w:lastRenderedPageBreak/>
        <w:t>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(2B)</w:t>
      </w:r>
      <w:r>
        <w:tab/>
        <w:t xml:space="preserve">In deciding whether an intimate personal relationship exists under subsection (2A)(b),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(2C)</w:t>
      </w:r>
      <w:r>
        <w:tab/>
        <w:t xml:space="preserve">For the purposes of the definition of </w:t>
      </w:r>
      <w:r>
        <w:rPr>
          <w:b/>
          <w:i/>
        </w:rPr>
        <w:t>terrorist intelligence information</w:t>
      </w:r>
      <w:r>
        <w:t xml:space="preserve">, a </w:t>
      </w:r>
      <w:r>
        <w:rPr>
          <w:rStyle w:val="CharDefText"/>
        </w:rPr>
        <w:t>prohibited act</w:t>
      </w:r>
      <w:r>
        <w:t xml:space="preserve"> is —</w:t>
      </w:r>
    </w:p>
    <w:p>
      <w:pPr>
        <w:pStyle w:val="Indenta"/>
      </w:pPr>
      <w:r>
        <w:tab/>
        <w:t>(a)</w:t>
      </w:r>
      <w:r>
        <w:tab/>
        <w:t>a terrorism offence</w:t>
      </w:r>
      <w:r>
        <w:rPr>
          <w:szCs w:val="24"/>
        </w:rPr>
        <w:t>; or</w:t>
      </w:r>
    </w:p>
    <w:p>
      <w:pPr>
        <w:pStyle w:val="Indenta"/>
        <w:rPr>
          <w:szCs w:val="24"/>
        </w:rPr>
      </w:pPr>
      <w:r>
        <w:tab/>
        <w:t>(b)</w:t>
      </w:r>
      <w:r>
        <w:tab/>
      </w:r>
      <w:r>
        <w:rPr>
          <w:szCs w:val="24"/>
        </w:rPr>
        <w:t xml:space="preserve">an </w:t>
      </w:r>
      <w:r>
        <w:t xml:space="preserve">offence against </w:t>
      </w:r>
      <w:r>
        <w:rPr>
          <w:szCs w:val="24"/>
        </w:rPr>
        <w:t xml:space="preserve">the Commonwealth Criminal Code section 80.2C(1); or </w:t>
      </w:r>
    </w:p>
    <w:p>
      <w:pPr>
        <w:pStyle w:val="Indenta"/>
      </w:pPr>
      <w:r>
        <w:tab/>
        <w:t>(c)</w:t>
      </w:r>
      <w:r>
        <w:tab/>
      </w:r>
      <w:r>
        <w:rPr>
          <w:szCs w:val="24"/>
        </w:rPr>
        <w:t xml:space="preserve">a </w:t>
      </w:r>
      <w:r>
        <w:t>terrorist act (whether in this State or elsewhere).</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keepNext/>
      </w:pPr>
      <w:r>
        <w:lastRenderedPageBreak/>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 No. 30 of 2020 s. 33; No. 14 of 2022 s. 4.]</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11" w:name="_Toc118377653"/>
      <w:r>
        <w:rPr>
          <w:rStyle w:val="CharSectno"/>
        </w:rPr>
        <w:t>4A</w:t>
      </w:r>
      <w:r>
        <w:t>.</w:t>
      </w:r>
      <w:r>
        <w:tab/>
      </w:r>
      <w:r>
        <w:rPr>
          <w:i/>
        </w:rPr>
        <w:t>Courts and Tribunals (Electronic Processes Facilitation) Act 2013</w:t>
      </w:r>
      <w:r>
        <w:t xml:space="preserve"> Pt.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2" w:name="_Toc118361415"/>
      <w:bookmarkStart w:id="13" w:name="_Toc118365032"/>
      <w:bookmarkStart w:id="14" w:name="_Toc118376937"/>
      <w:bookmarkStart w:id="15" w:name="_Toc118377654"/>
      <w:r>
        <w:rPr>
          <w:rStyle w:val="CharPartNo"/>
        </w:rPr>
        <w:lastRenderedPageBreak/>
        <w:t>Part 2</w:t>
      </w:r>
      <w:r>
        <w:t xml:space="preserve"> — </w:t>
      </w:r>
      <w:r>
        <w:rPr>
          <w:rStyle w:val="CharPartText"/>
        </w:rPr>
        <w:t>General matters</w:t>
      </w:r>
      <w:bookmarkEnd w:id="12"/>
      <w:bookmarkEnd w:id="13"/>
      <w:bookmarkEnd w:id="14"/>
      <w:bookmarkEnd w:id="15"/>
    </w:p>
    <w:p>
      <w:pPr>
        <w:pStyle w:val="Footnoteheading"/>
      </w:pPr>
      <w:r>
        <w:tab/>
        <w:t>[Heading amended: No. 41 of 2006 s. 5.]</w:t>
      </w:r>
    </w:p>
    <w:p>
      <w:pPr>
        <w:pStyle w:val="Heading3"/>
      </w:pPr>
      <w:bookmarkStart w:id="16" w:name="_Toc118361416"/>
      <w:bookmarkStart w:id="17" w:name="_Toc118365033"/>
      <w:bookmarkStart w:id="18" w:name="_Toc118376938"/>
      <w:bookmarkStart w:id="19" w:name="_Toc118377655"/>
      <w:r>
        <w:rPr>
          <w:rStyle w:val="CharDivNo"/>
        </w:rPr>
        <w:t>Division 1</w:t>
      </w:r>
      <w:r>
        <w:t xml:space="preserve"> — </w:t>
      </w:r>
      <w:r>
        <w:rPr>
          <w:rStyle w:val="CharDivText"/>
        </w:rPr>
        <w:t>Preliminary</w:t>
      </w:r>
      <w:bookmarkEnd w:id="16"/>
      <w:bookmarkEnd w:id="17"/>
      <w:bookmarkEnd w:id="18"/>
      <w:bookmarkEnd w:id="19"/>
    </w:p>
    <w:p>
      <w:pPr>
        <w:pStyle w:val="Heading5"/>
      </w:pPr>
      <w:bookmarkStart w:id="20" w:name="_Toc118377656"/>
      <w:r>
        <w:rPr>
          <w:rStyle w:val="CharSectno"/>
        </w:rPr>
        <w:t>5</w:t>
      </w:r>
      <w:r>
        <w:t>.</w:t>
      </w:r>
      <w:r>
        <w:tab/>
        <w:t>Terms used and calculations</w:t>
      </w:r>
      <w:bookmarkEnd w:id="20"/>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21" w:name="_Toc118377657"/>
      <w:r>
        <w:rPr>
          <w:rStyle w:val="CharSectno"/>
        </w:rPr>
        <w:t>5A</w:t>
      </w:r>
      <w:r>
        <w:t>.</w:t>
      </w:r>
      <w:r>
        <w:tab/>
        <w:t>Release considerations about people in custody</w:t>
      </w:r>
      <w:bookmarkEnd w:id="21"/>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lastRenderedPageBreak/>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22" w:name="_Toc118377658"/>
      <w:r>
        <w:rPr>
          <w:rStyle w:val="CharSectno"/>
        </w:rPr>
        <w:t>5B</w:t>
      </w:r>
      <w:r>
        <w:rPr>
          <w:snapToGrid w:val="0"/>
        </w:rPr>
        <w:t>.</w:t>
      </w:r>
      <w:r>
        <w:rPr>
          <w:snapToGrid w:val="0"/>
        </w:rPr>
        <w:tab/>
        <w:t>Community safety paramount</w:t>
      </w:r>
      <w:bookmarkEnd w:id="22"/>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23" w:name="_Toc118377659"/>
      <w:r>
        <w:rPr>
          <w:rStyle w:val="CharSectno"/>
        </w:rPr>
        <w:t>5C</w:t>
      </w:r>
      <w:r>
        <w:rPr>
          <w:snapToGrid w:val="0"/>
        </w:rPr>
        <w:t>.</w:t>
      </w:r>
      <w:r>
        <w:rPr>
          <w:snapToGrid w:val="0"/>
        </w:rPr>
        <w:tab/>
        <w:t>Victim’s submission to Board</w:t>
      </w:r>
      <w:bookmarkEnd w:id="23"/>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lastRenderedPageBreak/>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24" w:name="_Toc118377660"/>
      <w:r>
        <w:rPr>
          <w:rStyle w:val="CharSectno"/>
        </w:rPr>
        <w:t>5D</w:t>
      </w:r>
      <w:r>
        <w:t>.</w:t>
      </w:r>
      <w:r>
        <w:tab/>
        <w:t>Term used: victim of an offender or prisoner</w:t>
      </w:r>
      <w:bookmarkEnd w:id="24"/>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lastRenderedPageBreak/>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25" w:name="_Toc118361422"/>
      <w:bookmarkStart w:id="26" w:name="_Toc118365039"/>
      <w:bookmarkStart w:id="27" w:name="_Toc118376944"/>
      <w:bookmarkStart w:id="28" w:name="_Toc118377661"/>
      <w:r>
        <w:rPr>
          <w:rStyle w:val="CharDivNo"/>
        </w:rPr>
        <w:t>Division 2</w:t>
      </w:r>
      <w:r>
        <w:t xml:space="preserve"> — </w:t>
      </w:r>
      <w:r>
        <w:rPr>
          <w:rStyle w:val="CharDivText"/>
        </w:rPr>
        <w:t>Matters affecting the service of terms</w:t>
      </w:r>
      <w:bookmarkEnd w:id="25"/>
      <w:bookmarkEnd w:id="26"/>
      <w:bookmarkEnd w:id="27"/>
      <w:bookmarkEnd w:id="28"/>
    </w:p>
    <w:p>
      <w:pPr>
        <w:pStyle w:val="Heading5"/>
      </w:pPr>
      <w:bookmarkStart w:id="29" w:name="_Toc118377662"/>
      <w:r>
        <w:rPr>
          <w:rStyle w:val="CharSectno"/>
        </w:rPr>
        <w:t>6</w:t>
      </w:r>
      <w:r>
        <w:t>.</w:t>
      </w:r>
      <w:r>
        <w:tab/>
        <w:t>When a term begins</w:t>
      </w:r>
      <w:bookmarkEnd w:id="29"/>
    </w:p>
    <w:p>
      <w:pPr>
        <w:pStyle w:val="Subsection"/>
        <w:spacing w:before="150"/>
        <w:rPr>
          <w:snapToGrid w:val="0"/>
        </w:rPr>
      </w:pPr>
      <w:r>
        <w:tab/>
        <w:t>(1)</w:t>
      </w:r>
      <w:r>
        <w:tab/>
      </w:r>
      <w:r>
        <w:rPr>
          <w:snapToGrid w:val="0"/>
        </w:rPr>
        <w:t xml:space="preserve">Unless this section provides otherwise or an order is made under </w:t>
      </w:r>
      <w:r>
        <w:t xml:space="preserve">section 87(1)(d) </w:t>
      </w:r>
      <w:r>
        <w:rPr>
          <w:snapToGrid w:val="0"/>
        </w:rPr>
        <w:t xml:space="preserve">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keepNext/>
        <w:spacing w:before="150"/>
        <w:rPr>
          <w:snapToGrid w:val="0"/>
        </w:rPr>
      </w:pPr>
      <w:r>
        <w:tab/>
        <w:t>(2)</w:t>
      </w:r>
      <w:r>
        <w:tab/>
      </w:r>
      <w:r>
        <w:rPr>
          <w:snapToGrid w:val="0"/>
        </w:rPr>
        <w:t xml:space="preserve">If a term is cumulative on one or more other terms then that term begins on the earliest date on which the prisoner could be </w:t>
      </w:r>
      <w:r>
        <w:rPr>
          <w:snapToGrid w:val="0"/>
        </w:rPr>
        <w:lastRenderedPageBreak/>
        <w:t>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Footnotesection"/>
      </w:pPr>
      <w:r>
        <w:tab/>
        <w:t>[Section 6 amended: No. 14 of 2022 s. 5.]</w:t>
      </w:r>
    </w:p>
    <w:p>
      <w:pPr>
        <w:pStyle w:val="Heading5"/>
      </w:pPr>
      <w:bookmarkStart w:id="30" w:name="_Toc118377663"/>
      <w:r>
        <w:rPr>
          <w:rStyle w:val="CharSectno"/>
        </w:rPr>
        <w:t>7</w:t>
      </w:r>
      <w:r>
        <w:t>.</w:t>
      </w:r>
      <w:r>
        <w:tab/>
        <w:t>Order of service of fixed terms</w:t>
      </w:r>
      <w:bookmarkEnd w:id="30"/>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lastRenderedPageBreak/>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31" w:name="_Toc118377664"/>
      <w:r>
        <w:rPr>
          <w:rStyle w:val="CharSectno"/>
        </w:rPr>
        <w:t>8</w:t>
      </w:r>
      <w:r>
        <w:t>.</w:t>
      </w:r>
      <w:r>
        <w:tab/>
        <w:t>Effect of not being in custody</w:t>
      </w:r>
      <w:bookmarkEnd w:id="31"/>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lastRenderedPageBreak/>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32" w:name="_Toc118377665"/>
      <w:r>
        <w:rPr>
          <w:rStyle w:val="CharSectno"/>
        </w:rPr>
        <w:t>9</w:t>
      </w:r>
      <w:r>
        <w:t>.</w:t>
      </w:r>
      <w:r>
        <w:tab/>
        <w:t>Effect of time before an appeal</w:t>
      </w:r>
      <w:bookmarkEnd w:id="32"/>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33" w:name="_Toc118377666"/>
      <w:r>
        <w:rPr>
          <w:rStyle w:val="CharSectno"/>
        </w:rPr>
        <w:t>10</w:t>
      </w:r>
      <w:r>
        <w:t>.</w:t>
      </w:r>
      <w:r>
        <w:tab/>
        <w:t>No release if prisoner in custody for another matter</w:t>
      </w:r>
      <w:bookmarkEnd w:id="3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34" w:name="_Toc118361428"/>
      <w:bookmarkStart w:id="35" w:name="_Toc118365045"/>
      <w:bookmarkStart w:id="36" w:name="_Toc118376950"/>
      <w:bookmarkStart w:id="37" w:name="_Toc118377667"/>
      <w:r>
        <w:rPr>
          <w:rStyle w:val="CharDivNo"/>
        </w:rPr>
        <w:t>Division 3</w:t>
      </w:r>
      <w:r>
        <w:rPr>
          <w:snapToGrid w:val="0"/>
        </w:rPr>
        <w:t xml:space="preserve"> — </w:t>
      </w:r>
      <w:r>
        <w:rPr>
          <w:rStyle w:val="CharDivText"/>
        </w:rPr>
        <w:t>Reports about prisoners</w:t>
      </w:r>
      <w:bookmarkEnd w:id="34"/>
      <w:bookmarkEnd w:id="35"/>
      <w:bookmarkEnd w:id="36"/>
      <w:bookmarkEnd w:id="37"/>
    </w:p>
    <w:p>
      <w:pPr>
        <w:pStyle w:val="Footnoteheading"/>
      </w:pPr>
      <w:r>
        <w:tab/>
        <w:t>[Heading amended: No. 41 of 2006 s. 8.]</w:t>
      </w:r>
    </w:p>
    <w:p>
      <w:pPr>
        <w:pStyle w:val="Heading5"/>
      </w:pPr>
      <w:bookmarkStart w:id="38" w:name="_Toc118377668"/>
      <w:r>
        <w:rPr>
          <w:rStyle w:val="CharSectno"/>
        </w:rPr>
        <w:t>11</w:t>
      </w:r>
      <w:r>
        <w:t>.</w:t>
      </w:r>
      <w:r>
        <w:tab/>
        <w:t>Report to Minister about the place of custody for a person in custody during Governor’s pleasure</w:t>
      </w:r>
      <w:bookmarkEnd w:id="38"/>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w:t>
      </w:r>
      <w:r>
        <w:lastRenderedPageBreak/>
        <w:t>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39" w:name="_Toc118377669"/>
      <w:r>
        <w:rPr>
          <w:rStyle w:val="CharSectno"/>
        </w:rPr>
        <w:t>11A</w:t>
      </w:r>
      <w:r>
        <w:t>.</w:t>
      </w:r>
      <w:r>
        <w:tab/>
        <w:t>Reports by CEO to Board about certain prisoners</w:t>
      </w:r>
      <w:bookmarkEnd w:id="39"/>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lastRenderedPageBreak/>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40" w:name="_Toc118377670"/>
      <w:r>
        <w:rPr>
          <w:rStyle w:val="CharSectno"/>
        </w:rPr>
        <w:t>12</w:t>
      </w:r>
      <w:r>
        <w:t>.</w:t>
      </w:r>
      <w:r>
        <w:tab/>
        <w:t>Reports by Board to Minister about prisoners generally</w:t>
      </w:r>
      <w:bookmarkEnd w:id="40"/>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sections 66B(1) and 66G(1),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lastRenderedPageBreak/>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 No. 14 of 2022 s. 6.]</w:t>
      </w:r>
    </w:p>
    <w:p>
      <w:pPr>
        <w:pStyle w:val="Heading5"/>
      </w:pPr>
      <w:bookmarkStart w:id="41" w:name="_Toc118377671"/>
      <w:r>
        <w:rPr>
          <w:rStyle w:val="CharSectno"/>
        </w:rPr>
        <w:t>12A</w:t>
      </w:r>
      <w:r>
        <w:t>.</w:t>
      </w:r>
      <w:r>
        <w:tab/>
        <w:t>Reports by Board to Minister about Schedule 3 prisoners</w:t>
      </w:r>
      <w:bookmarkEnd w:id="41"/>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lastRenderedPageBreak/>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sections 66B(1) and 66G(1),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keepNext/>
      </w:pPr>
      <w:r>
        <w:lastRenderedPageBreak/>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 No. 14 of 2022 s. 7.]</w:t>
      </w:r>
    </w:p>
    <w:p>
      <w:pPr>
        <w:pStyle w:val="Heading5"/>
      </w:pPr>
      <w:bookmarkStart w:id="42" w:name="_Toc118377672"/>
      <w:r>
        <w:rPr>
          <w:rStyle w:val="CharSectno"/>
        </w:rPr>
        <w:t>12B</w:t>
      </w:r>
      <w:r>
        <w:t>.</w:t>
      </w:r>
      <w:r>
        <w:tab/>
        <w:t>Combined reports may be given under sections 12 and 12A</w:t>
      </w:r>
      <w:bookmarkEnd w:id="42"/>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keepNext/>
      </w:pPr>
      <w:r>
        <w:lastRenderedPageBreak/>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43" w:name="_Toc118361434"/>
      <w:bookmarkStart w:id="44" w:name="_Toc118365051"/>
      <w:bookmarkStart w:id="45" w:name="_Toc118376956"/>
      <w:bookmarkStart w:id="46" w:name="_Toc118377673"/>
      <w:r>
        <w:rPr>
          <w:rStyle w:val="CharDivNo"/>
        </w:rPr>
        <w:t>Division 4</w:t>
      </w:r>
      <w:r>
        <w:t> — </w:t>
      </w:r>
      <w:r>
        <w:rPr>
          <w:rStyle w:val="CharDivText"/>
        </w:rPr>
        <w:t>Programmes for certain prisoners</w:t>
      </w:r>
      <w:bookmarkEnd w:id="43"/>
      <w:bookmarkEnd w:id="44"/>
      <w:bookmarkEnd w:id="45"/>
      <w:bookmarkEnd w:id="46"/>
    </w:p>
    <w:p>
      <w:pPr>
        <w:pStyle w:val="Footnoteheading"/>
      </w:pPr>
      <w:r>
        <w:tab/>
        <w:t>[Heading inserted: No. 41 of 2006 s. 12.]</w:t>
      </w:r>
    </w:p>
    <w:p>
      <w:pPr>
        <w:pStyle w:val="Heading5"/>
      </w:pPr>
      <w:bookmarkStart w:id="47" w:name="_Toc103867520"/>
      <w:bookmarkStart w:id="48" w:name="_Toc118377674"/>
      <w:r>
        <w:rPr>
          <w:rStyle w:val="CharSectno"/>
        </w:rPr>
        <w:t>12C</w:t>
      </w:r>
      <w:r>
        <w:t>.</w:t>
      </w:r>
      <w:r>
        <w:tab/>
        <w:t>References to Board</w:t>
      </w:r>
      <w:bookmarkEnd w:id="47"/>
      <w:bookmarkEnd w:id="48"/>
    </w:p>
    <w:p>
      <w:pPr>
        <w:pStyle w:val="Subsection"/>
      </w:pPr>
      <w:r>
        <w:tab/>
      </w:r>
      <w:r>
        <w:tab/>
        <w:t xml:space="preserve">In this Division, a reference to the </w:t>
      </w:r>
      <w:r>
        <w:rPr>
          <w:rStyle w:val="CharDefText"/>
        </w:rPr>
        <w:t>Board</w:t>
      </w:r>
      <w:r>
        <w:t>, in relation to a prisoner with links to terrorism who is being assessed for inclusion in a re</w:t>
      </w:r>
      <w:r>
        <w:noBreakHyphen/>
        <w:t xml:space="preserve">socialisation programme under section 13 or 14, is a reference to the Board as constituted by the chairperson alone. </w:t>
      </w:r>
    </w:p>
    <w:p>
      <w:pPr>
        <w:pStyle w:val="Footnotesection"/>
      </w:pPr>
      <w:r>
        <w:tab/>
        <w:t>[Section 12C inserted: No. 14 of 2022 s. 8.]</w:t>
      </w:r>
    </w:p>
    <w:p>
      <w:pPr>
        <w:pStyle w:val="Heading5"/>
        <w:spacing w:before="240"/>
      </w:pPr>
      <w:bookmarkStart w:id="49" w:name="_Toc118377675"/>
      <w:r>
        <w:rPr>
          <w:rStyle w:val="CharSectno"/>
        </w:rPr>
        <w:t>13</w:t>
      </w:r>
      <w:r>
        <w:t>.</w:t>
      </w:r>
      <w:r>
        <w:tab/>
        <w:t>Re</w:t>
      </w:r>
      <w:r>
        <w:noBreakHyphen/>
        <w:t>socialisation programmes for Schedule 3 prisoners</w:t>
      </w:r>
      <w:bookmarkEnd w:id="49"/>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lastRenderedPageBreak/>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subsections (5A) and (5B)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keepNext/>
      </w:pPr>
      <w:r>
        <w:lastRenderedPageBreak/>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(5B)</w:t>
      </w:r>
      <w:r>
        <w:tab/>
        <w:t>The Board must not endorse a re</w:t>
      </w:r>
      <w:r>
        <w:noBreakHyphen/>
        <w:t xml:space="preserve">socialisation programme or make a recommendation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 No. 14 of 2022 s. 9.]</w:t>
      </w:r>
    </w:p>
    <w:p>
      <w:pPr>
        <w:pStyle w:val="Heading5"/>
        <w:spacing w:before="120"/>
      </w:pPr>
      <w:bookmarkStart w:id="50" w:name="_Toc118377676"/>
      <w:r>
        <w:rPr>
          <w:rStyle w:val="CharSectno"/>
        </w:rPr>
        <w:lastRenderedPageBreak/>
        <w:t>14</w:t>
      </w:r>
      <w:r>
        <w:t>.</w:t>
      </w:r>
      <w:r>
        <w:tab/>
        <w:t>Re</w:t>
      </w:r>
      <w:r>
        <w:noBreakHyphen/>
        <w:t>socialisation programmes for certain other prisoners</w:t>
      </w:r>
      <w:bookmarkEnd w:id="50"/>
    </w:p>
    <w:p>
      <w:pPr>
        <w:pStyle w:val="Subsection"/>
        <w:keepNext/>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lastRenderedPageBreak/>
        <w:tab/>
        <w:t>(b)</w:t>
      </w:r>
      <w:r>
        <w:tab/>
        <w:t>considering the release considerations relating to the prisoner,</w:t>
      </w:r>
    </w:p>
    <w:p>
      <w:pPr>
        <w:pStyle w:val="Subsection"/>
      </w:pPr>
      <w:r>
        <w:tab/>
      </w:r>
      <w:r>
        <w:tab/>
        <w:t>the Board approves of the programme, with or without variations, and of the prisoner’s participation in it, except as provided in subsection (5A), the Board is to provide it to the CEO as so approved.</w:t>
      </w:r>
    </w:p>
    <w:p>
      <w:pPr>
        <w:pStyle w:val="Subsection"/>
      </w:pPr>
      <w:r>
        <w:tab/>
        <w:t>(5A)</w:t>
      </w:r>
      <w:r>
        <w:tab/>
        <w:t xml:space="preserve">The Board must not approve a programme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 No. 14 of 2022 s. 10.]</w:t>
      </w:r>
    </w:p>
    <w:p>
      <w:pPr>
        <w:pStyle w:val="Heading5"/>
      </w:pPr>
      <w:bookmarkStart w:id="51" w:name="_Toc118377677"/>
      <w:r>
        <w:rPr>
          <w:rStyle w:val="CharSectno"/>
        </w:rPr>
        <w:t>14A</w:t>
      </w:r>
      <w:r>
        <w:t>.</w:t>
      </w:r>
      <w:r>
        <w:tab/>
        <w:t>Regulations as to re</w:t>
      </w:r>
      <w:r>
        <w:noBreakHyphen/>
        <w:t>socialisation programmes</w:t>
      </w:r>
      <w:bookmarkEnd w:id="51"/>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52" w:name="_Toc118361438"/>
      <w:bookmarkStart w:id="53" w:name="_Toc118365056"/>
      <w:bookmarkStart w:id="54" w:name="_Toc118376961"/>
      <w:bookmarkStart w:id="55" w:name="_Toc118377678"/>
      <w:r>
        <w:rPr>
          <w:rStyle w:val="CharDivNo"/>
        </w:rPr>
        <w:lastRenderedPageBreak/>
        <w:t>Division 5</w:t>
      </w:r>
      <w:r>
        <w:t> — </w:t>
      </w:r>
      <w:r>
        <w:rPr>
          <w:rStyle w:val="CharDivText"/>
        </w:rPr>
        <w:t>Directions to suspend reporting</w:t>
      </w:r>
      <w:bookmarkEnd w:id="52"/>
      <w:bookmarkEnd w:id="53"/>
      <w:bookmarkEnd w:id="54"/>
      <w:bookmarkEnd w:id="55"/>
    </w:p>
    <w:p>
      <w:pPr>
        <w:pStyle w:val="Footnoteheading"/>
        <w:keepNext/>
      </w:pPr>
      <w:r>
        <w:tab/>
        <w:t>[Heading inserted: No. 42 of 2018 s. 6.]</w:t>
      </w:r>
    </w:p>
    <w:p>
      <w:pPr>
        <w:pStyle w:val="Heading5"/>
      </w:pPr>
      <w:bookmarkStart w:id="56" w:name="_Toc118377679"/>
      <w:r>
        <w:rPr>
          <w:rStyle w:val="CharSectno"/>
        </w:rPr>
        <w:t>14B</w:t>
      </w:r>
      <w:r>
        <w:t>.</w:t>
      </w:r>
      <w:r>
        <w:tab/>
        <w:t>Terms used</w:t>
      </w:r>
      <w:bookmarkEnd w:id="56"/>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57" w:name="_Toc118377680"/>
      <w:r>
        <w:rPr>
          <w:rStyle w:val="CharSectno"/>
        </w:rPr>
        <w:t>14C</w:t>
      </w:r>
      <w:r>
        <w:t>.</w:t>
      </w:r>
      <w:r>
        <w:tab/>
        <w:t>Minister may direct suspension of reporting</w:t>
      </w:r>
      <w:bookmarkEnd w:id="57"/>
    </w:p>
    <w:p>
      <w:pPr>
        <w:pStyle w:val="Subsection"/>
      </w:pPr>
      <w:r>
        <w:tab/>
        <w:t>(1)</w:t>
      </w:r>
      <w:r>
        <w:tab/>
        <w:t xml:space="preserve">At any time after the Minister has received a relevant report about a designated prisoner the Minister may direct that the </w:t>
      </w:r>
      <w:r>
        <w:lastRenderedPageBreak/>
        <w:t>operation of sections 12A(2) and 13(4) and (5) in relation to that designated prisoner be suspended.</w:t>
      </w:r>
    </w:p>
    <w:p>
      <w:pPr>
        <w:pStyle w:val="Subsection"/>
        <w:keepNext/>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58" w:name="_Toc118377681"/>
      <w:r>
        <w:rPr>
          <w:rStyle w:val="CharSectno"/>
        </w:rPr>
        <w:t>14D</w:t>
      </w:r>
      <w:r>
        <w:t>.</w:t>
      </w:r>
      <w:r>
        <w:tab/>
        <w:t>No review of direction to suspend reporting</w:t>
      </w:r>
      <w:bookmarkEnd w:id="58"/>
    </w:p>
    <w:p>
      <w:pPr>
        <w:pStyle w:val="Subsection"/>
        <w:keepNext/>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 xml:space="preserve">is not subject to review or remedy by way of prohibition, mandamus, injunction, declaration or certiorari, or a remedy having the same effect as a remedy that could be </w:t>
      </w:r>
      <w:r>
        <w:lastRenderedPageBreak/>
        <w:t>provided by means of such a writ, in any court on any account.</w:t>
      </w:r>
    </w:p>
    <w:p>
      <w:pPr>
        <w:pStyle w:val="Subsection"/>
        <w:keepNext/>
      </w:pPr>
      <w:r>
        <w:tab/>
        <w:t>(2)</w:t>
      </w:r>
      <w:r>
        <w:tab/>
        <w:t>Subsection (1) does not exclude or limit judicial review for jurisdictional error.</w:t>
      </w:r>
    </w:p>
    <w:p>
      <w:pPr>
        <w:pStyle w:val="Footnotesection"/>
      </w:pPr>
      <w:r>
        <w:tab/>
        <w:t>[Section 14D inserted: No. 42 of 2018 s. 6.]</w:t>
      </w:r>
    </w:p>
    <w:p>
      <w:pPr>
        <w:pStyle w:val="Heading2"/>
      </w:pPr>
      <w:bookmarkStart w:id="59" w:name="_Toc118361442"/>
      <w:bookmarkStart w:id="60" w:name="_Toc118365060"/>
      <w:bookmarkStart w:id="61" w:name="_Toc118376965"/>
      <w:bookmarkStart w:id="62" w:name="_Toc118377682"/>
      <w:r>
        <w:rPr>
          <w:rStyle w:val="CharPartNo"/>
        </w:rPr>
        <w:lastRenderedPageBreak/>
        <w:t>Part 3</w:t>
      </w:r>
      <w:r>
        <w:t xml:space="preserve"> — </w:t>
      </w:r>
      <w:r>
        <w:rPr>
          <w:rStyle w:val="CharPartText"/>
        </w:rPr>
        <w:t>Parole</w:t>
      </w:r>
      <w:bookmarkEnd w:id="59"/>
      <w:bookmarkEnd w:id="60"/>
      <w:bookmarkEnd w:id="61"/>
      <w:bookmarkEnd w:id="62"/>
    </w:p>
    <w:p>
      <w:pPr>
        <w:pStyle w:val="Heading3"/>
      </w:pPr>
      <w:bookmarkStart w:id="63" w:name="_Toc118361443"/>
      <w:bookmarkStart w:id="64" w:name="_Toc118365061"/>
      <w:bookmarkStart w:id="65" w:name="_Toc118376966"/>
      <w:bookmarkStart w:id="66" w:name="_Toc118377683"/>
      <w:r>
        <w:rPr>
          <w:rStyle w:val="CharDivNo"/>
        </w:rPr>
        <w:t>Division 1</w:t>
      </w:r>
      <w:r>
        <w:t xml:space="preserve"> — </w:t>
      </w:r>
      <w:r>
        <w:rPr>
          <w:rStyle w:val="CharDivText"/>
        </w:rPr>
        <w:t>Preliminary</w:t>
      </w:r>
      <w:bookmarkEnd w:id="63"/>
      <w:bookmarkEnd w:id="64"/>
      <w:bookmarkEnd w:id="65"/>
      <w:bookmarkEnd w:id="66"/>
    </w:p>
    <w:p>
      <w:pPr>
        <w:pStyle w:val="Heading5"/>
      </w:pPr>
      <w:bookmarkStart w:id="67" w:name="_Toc118377684"/>
      <w:r>
        <w:rPr>
          <w:rStyle w:val="CharSectno"/>
        </w:rPr>
        <w:t>15</w:t>
      </w:r>
      <w:r>
        <w:t>.</w:t>
      </w:r>
      <w:r>
        <w:tab/>
        <w:t>Terms used and calculations</w:t>
      </w:r>
      <w:bookmarkEnd w:id="67"/>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68" w:name="_Toc118361445"/>
      <w:bookmarkStart w:id="69" w:name="_Toc118365063"/>
      <w:bookmarkStart w:id="70" w:name="_Toc118376968"/>
      <w:bookmarkStart w:id="71" w:name="_Toc118377685"/>
      <w:r>
        <w:rPr>
          <w:rStyle w:val="CharDivNo"/>
        </w:rPr>
        <w:t>Division 2</w:t>
      </w:r>
      <w:r>
        <w:t xml:space="preserve"> — </w:t>
      </w:r>
      <w:r>
        <w:rPr>
          <w:rStyle w:val="CharDivText"/>
        </w:rPr>
        <w:t>Reports about certain people eligible for parole</w:t>
      </w:r>
      <w:bookmarkEnd w:id="68"/>
      <w:bookmarkEnd w:id="69"/>
      <w:bookmarkEnd w:id="70"/>
      <w:bookmarkEnd w:id="71"/>
    </w:p>
    <w:p>
      <w:pPr>
        <w:pStyle w:val="Heading5"/>
        <w:spacing w:before="180"/>
      </w:pPr>
      <w:bookmarkStart w:id="72" w:name="_Toc118377686"/>
      <w:r>
        <w:rPr>
          <w:rStyle w:val="CharSectno"/>
        </w:rPr>
        <w:t>17</w:t>
      </w:r>
      <w:r>
        <w:t>.</w:t>
      </w:r>
      <w:r>
        <w:tab/>
        <w:t>Parole term, CEO to give Board report about prisoner on</w:t>
      </w:r>
      <w:bookmarkEnd w:id="72"/>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73" w:name="_Toc118361447"/>
      <w:bookmarkStart w:id="74" w:name="_Toc118365065"/>
      <w:bookmarkStart w:id="75" w:name="_Toc118376970"/>
      <w:bookmarkStart w:id="76" w:name="_Toc118377687"/>
      <w:r>
        <w:rPr>
          <w:rStyle w:val="CharDivNo"/>
        </w:rPr>
        <w:t>Division 3</w:t>
      </w:r>
      <w:r>
        <w:t xml:space="preserve"> — </w:t>
      </w:r>
      <w:r>
        <w:rPr>
          <w:rStyle w:val="CharDivText"/>
        </w:rPr>
        <w:t>Parole in case of parole term</w:t>
      </w:r>
      <w:bookmarkEnd w:id="73"/>
      <w:bookmarkEnd w:id="74"/>
      <w:bookmarkEnd w:id="75"/>
      <w:bookmarkEnd w:id="76"/>
      <w:r>
        <w:t xml:space="preserve"> </w:t>
      </w:r>
    </w:p>
    <w:p>
      <w:pPr>
        <w:pStyle w:val="Heading5"/>
        <w:keepNext w:val="0"/>
        <w:keepLines w:val="0"/>
        <w:spacing w:before="180"/>
      </w:pPr>
      <w:bookmarkStart w:id="77" w:name="_Toc118377688"/>
      <w:r>
        <w:rPr>
          <w:rStyle w:val="CharSectno"/>
        </w:rPr>
        <w:t>19</w:t>
      </w:r>
      <w:r>
        <w:t>.</w:t>
      </w:r>
      <w:r>
        <w:tab/>
        <w:t>Term used: prisoner</w:t>
      </w:r>
      <w:bookmarkEnd w:id="77"/>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78" w:name="_Toc118377689"/>
      <w:r>
        <w:rPr>
          <w:rStyle w:val="CharSectno"/>
        </w:rPr>
        <w:lastRenderedPageBreak/>
        <w:t>20</w:t>
      </w:r>
      <w:r>
        <w:t>.</w:t>
      </w:r>
      <w:r>
        <w:tab/>
        <w:t>Board may parole prisoner</w:t>
      </w:r>
      <w:bookmarkEnd w:id="78"/>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sections 66B(1) and 66G(1);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 No. 14 of 2022 s. 11.]</w:t>
      </w:r>
    </w:p>
    <w:p>
      <w:pPr>
        <w:pStyle w:val="Ednotesection"/>
      </w:pPr>
      <w:r>
        <w:t>[</w:t>
      </w:r>
      <w:r>
        <w:rPr>
          <w:b/>
          <w:bCs/>
        </w:rPr>
        <w:t>21.</w:t>
      </w:r>
      <w:r>
        <w:tab/>
        <w:t>Deleted: No. 41 of 2006 s. 18.]</w:t>
      </w:r>
    </w:p>
    <w:p>
      <w:pPr>
        <w:pStyle w:val="Heading3"/>
        <w:tabs>
          <w:tab w:val="left" w:pos="5103"/>
        </w:tabs>
      </w:pPr>
      <w:bookmarkStart w:id="79" w:name="_Toc118361450"/>
      <w:bookmarkStart w:id="80" w:name="_Toc118365068"/>
      <w:bookmarkStart w:id="81" w:name="_Toc118376973"/>
      <w:bookmarkStart w:id="82" w:name="_Toc118377690"/>
      <w:r>
        <w:rPr>
          <w:rStyle w:val="CharDivNo"/>
        </w:rPr>
        <w:lastRenderedPageBreak/>
        <w:t>Division 4</w:t>
      </w:r>
      <w:r>
        <w:rPr>
          <w:snapToGrid w:val="0"/>
        </w:rPr>
        <w:t xml:space="preserve"> — </w:t>
      </w:r>
      <w:r>
        <w:rPr>
          <w:rStyle w:val="CharDivText"/>
        </w:rPr>
        <w:t>Parole in case of short term</w:t>
      </w:r>
      <w:bookmarkEnd w:id="79"/>
      <w:bookmarkEnd w:id="80"/>
      <w:bookmarkEnd w:id="81"/>
      <w:bookmarkEnd w:id="82"/>
    </w:p>
    <w:p>
      <w:pPr>
        <w:pStyle w:val="Heading5"/>
        <w:spacing w:before="180"/>
      </w:pPr>
      <w:bookmarkStart w:id="83" w:name="_Toc118377691"/>
      <w:r>
        <w:rPr>
          <w:rStyle w:val="CharSectno"/>
        </w:rPr>
        <w:t>22</w:t>
      </w:r>
      <w:r>
        <w:t>.</w:t>
      </w:r>
      <w:r>
        <w:tab/>
        <w:t>Application of Division</w:t>
      </w:r>
      <w:bookmarkEnd w:id="83"/>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84" w:name="_Toc118377692"/>
      <w:r>
        <w:rPr>
          <w:rStyle w:val="CharSectno"/>
        </w:rPr>
        <w:t>23</w:t>
      </w:r>
      <w:r>
        <w:t>.</w:t>
      </w:r>
      <w:r>
        <w:tab/>
        <w:t>Board may parole prisoner</w:t>
      </w:r>
      <w:bookmarkEnd w:id="84"/>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lastRenderedPageBreak/>
        <w:tab/>
        <w:t>(2)</w:t>
      </w:r>
      <w:r>
        <w:tab/>
        <w:t xml:space="preserve">A prisoner is eligible to be released on parole — </w:t>
      </w:r>
    </w:p>
    <w:p>
      <w:pPr>
        <w:pStyle w:val="Indenta"/>
        <w:keepNext/>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sections 66B(1) and 66G(1);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66B(1) and 66G(1),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lastRenderedPageBreak/>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keepNext/>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keepNext/>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 No. 14 of 2022 s. 12.]</w:t>
      </w:r>
    </w:p>
    <w:p>
      <w:pPr>
        <w:pStyle w:val="Ednotesection"/>
      </w:pPr>
      <w:r>
        <w:lastRenderedPageBreak/>
        <w:t>[</w:t>
      </w:r>
      <w:r>
        <w:rPr>
          <w:b/>
          <w:bCs/>
        </w:rPr>
        <w:t>24.</w:t>
      </w:r>
      <w:r>
        <w:rPr>
          <w:b/>
          <w:bCs/>
        </w:rPr>
        <w:tab/>
      </w:r>
      <w:r>
        <w:t>Deleted: No. 45 of 2016 s. 24.]</w:t>
      </w:r>
    </w:p>
    <w:p>
      <w:pPr>
        <w:pStyle w:val="Heading3"/>
      </w:pPr>
      <w:bookmarkStart w:id="85" w:name="_Toc118361453"/>
      <w:bookmarkStart w:id="86" w:name="_Toc118365071"/>
      <w:bookmarkStart w:id="87" w:name="_Toc118376976"/>
      <w:bookmarkStart w:id="88" w:name="_Toc118377693"/>
      <w:r>
        <w:rPr>
          <w:rStyle w:val="CharDivNo"/>
        </w:rPr>
        <w:t>Division 5</w:t>
      </w:r>
      <w:r>
        <w:rPr>
          <w:snapToGrid w:val="0"/>
        </w:rPr>
        <w:t xml:space="preserve"> — </w:t>
      </w:r>
      <w:r>
        <w:rPr>
          <w:rStyle w:val="CharDivText"/>
        </w:rPr>
        <w:t>Parole in case of life or indefinite imprisonment</w:t>
      </w:r>
      <w:bookmarkEnd w:id="85"/>
      <w:bookmarkEnd w:id="86"/>
      <w:bookmarkEnd w:id="87"/>
      <w:bookmarkEnd w:id="88"/>
    </w:p>
    <w:p>
      <w:pPr>
        <w:pStyle w:val="Footnoteheading"/>
        <w:keepNext/>
      </w:pPr>
      <w:r>
        <w:tab/>
        <w:t>[Heading amended: No. 29 of 2008 s. 39(7).]</w:t>
      </w:r>
    </w:p>
    <w:p>
      <w:pPr>
        <w:pStyle w:val="Heading5"/>
      </w:pPr>
      <w:bookmarkStart w:id="89" w:name="_Toc118377694"/>
      <w:r>
        <w:rPr>
          <w:rStyle w:val="CharSectno"/>
        </w:rPr>
        <w:t>25</w:t>
      </w:r>
      <w:r>
        <w:t>.</w:t>
      </w:r>
      <w:r>
        <w:tab/>
        <w:t>Life imprisonment, Governor may parole prisoner</w:t>
      </w:r>
      <w:bookmarkEnd w:id="89"/>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keepNext/>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90" w:name="_Toc118377695"/>
      <w:r>
        <w:rPr>
          <w:rStyle w:val="CharSectno"/>
        </w:rPr>
        <w:lastRenderedPageBreak/>
        <w:t>27</w:t>
      </w:r>
      <w:r>
        <w:t>.</w:t>
      </w:r>
      <w:r>
        <w:tab/>
        <w:t>Indefinite imprisonment, Governor may parole prisoner</w:t>
      </w:r>
      <w:bookmarkEnd w:id="90"/>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91" w:name="_Toc118361456"/>
      <w:bookmarkStart w:id="92" w:name="_Toc118365074"/>
      <w:bookmarkStart w:id="93" w:name="_Toc118376979"/>
      <w:bookmarkStart w:id="94" w:name="_Toc118377696"/>
      <w:r>
        <w:rPr>
          <w:rStyle w:val="CharDivNo"/>
        </w:rPr>
        <w:t>Division 5A</w:t>
      </w:r>
      <w:r>
        <w:t> — </w:t>
      </w:r>
      <w:r>
        <w:rPr>
          <w:rStyle w:val="CharDivText"/>
        </w:rPr>
        <w:t>Releasing prisoners during the Governor’s pleasure</w:t>
      </w:r>
      <w:bookmarkEnd w:id="91"/>
      <w:bookmarkEnd w:id="92"/>
      <w:bookmarkEnd w:id="93"/>
      <w:bookmarkEnd w:id="94"/>
    </w:p>
    <w:p>
      <w:pPr>
        <w:pStyle w:val="Footnoteheading"/>
      </w:pPr>
      <w:r>
        <w:tab/>
        <w:t>[Heading inserted: No. 41 of 2006 s. 23.]</w:t>
      </w:r>
    </w:p>
    <w:p>
      <w:pPr>
        <w:pStyle w:val="Heading5"/>
      </w:pPr>
      <w:bookmarkStart w:id="95" w:name="_Toc118377697"/>
      <w:r>
        <w:rPr>
          <w:rStyle w:val="CharSectno"/>
        </w:rPr>
        <w:t>27A</w:t>
      </w:r>
      <w:r>
        <w:t>.</w:t>
      </w:r>
      <w:r>
        <w:tab/>
        <w:t>Operation of this Division</w:t>
      </w:r>
      <w:bookmarkEnd w:id="95"/>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96" w:name="_Toc118377698"/>
      <w:r>
        <w:rPr>
          <w:rStyle w:val="CharSectno"/>
        </w:rPr>
        <w:t>27B</w:t>
      </w:r>
      <w:r>
        <w:t>.</w:t>
      </w:r>
      <w:r>
        <w:tab/>
        <w:t>Release may be by parole order</w:t>
      </w:r>
      <w:bookmarkEnd w:id="96"/>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lastRenderedPageBreak/>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97" w:name="_Toc118361459"/>
      <w:bookmarkStart w:id="98" w:name="_Toc118365077"/>
      <w:bookmarkStart w:id="99" w:name="_Toc118376982"/>
      <w:bookmarkStart w:id="100" w:name="_Toc118377699"/>
      <w:r>
        <w:rPr>
          <w:rStyle w:val="CharDivNo"/>
        </w:rPr>
        <w:t>Division 6</w:t>
      </w:r>
      <w:r>
        <w:t xml:space="preserve"> — </w:t>
      </w:r>
      <w:r>
        <w:rPr>
          <w:rStyle w:val="CharDivText"/>
        </w:rPr>
        <w:t>Parole orders</w:t>
      </w:r>
      <w:bookmarkEnd w:id="97"/>
      <w:bookmarkEnd w:id="98"/>
      <w:bookmarkEnd w:id="99"/>
      <w:bookmarkEnd w:id="100"/>
    </w:p>
    <w:p>
      <w:pPr>
        <w:pStyle w:val="Heading5"/>
      </w:pPr>
      <w:bookmarkStart w:id="101" w:name="_Toc118377700"/>
      <w:r>
        <w:rPr>
          <w:rStyle w:val="CharSectno"/>
        </w:rPr>
        <w:t>28</w:t>
      </w:r>
      <w:r>
        <w:t>.</w:t>
      </w:r>
      <w:r>
        <w:tab/>
        <w:t>Parole order, nature of</w:t>
      </w:r>
      <w:bookmarkEnd w:id="101"/>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102" w:name="_Toc118377701"/>
      <w:r>
        <w:rPr>
          <w:rStyle w:val="CharSectno"/>
        </w:rPr>
        <w:t>29</w:t>
      </w:r>
      <w:r>
        <w:t>.</w:t>
      </w:r>
      <w:r>
        <w:tab/>
        <w:t>Parole order, standard obligations</w:t>
      </w:r>
      <w:bookmarkEnd w:id="102"/>
    </w:p>
    <w:p>
      <w:pPr>
        <w:pStyle w:val="Subsection"/>
        <w:keepNext/>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lastRenderedPageBreak/>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03" w:name="_Toc118377702"/>
      <w:r>
        <w:rPr>
          <w:rStyle w:val="CharSectno"/>
        </w:rPr>
        <w:t>30</w:t>
      </w:r>
      <w:r>
        <w:t>.</w:t>
      </w:r>
      <w:r>
        <w:tab/>
        <w:t>Parole order, additional requirements</w:t>
      </w:r>
      <w:bookmarkEnd w:id="103"/>
    </w:p>
    <w:p>
      <w:pPr>
        <w:pStyle w:val="Subsection"/>
        <w:keepNext/>
        <w:rPr>
          <w:snapToGrid w:val="0"/>
        </w:rPr>
      </w:pPr>
      <w:r>
        <w:tab/>
        <w:t>(1)</w:t>
      </w:r>
      <w:r>
        <w:tab/>
        <w:t>A parole</w:t>
      </w:r>
      <w:r>
        <w:rPr>
          <w:snapToGrid w:val="0"/>
        </w:rPr>
        <w:t xml:space="preserv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keepNext/>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lastRenderedPageBreak/>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Subsection"/>
      </w:pPr>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p>
    <w:p>
      <w:pPr>
        <w:pStyle w:val="Footnotesection"/>
      </w:pPr>
      <w:r>
        <w:tab/>
        <w:t>[Section 30 amended: No. 41 of 2006 s. 25; No. 49 of 2016 s. 111; No. 13 of 2020 s. 16; No. 30 of 2020 s. 34.]</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04" w:name="_Toc118377703"/>
      <w:r>
        <w:rPr>
          <w:rStyle w:val="CharSectno"/>
        </w:rPr>
        <w:t>31</w:t>
      </w:r>
      <w:r>
        <w:t>.</w:t>
      </w:r>
      <w:r>
        <w:tab/>
        <w:t>CEO to ensure parolee is supervised during supervised period</w:t>
      </w:r>
      <w:bookmarkEnd w:id="104"/>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keepNext/>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lastRenderedPageBreak/>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05" w:name="_Toc118361464"/>
      <w:bookmarkStart w:id="106" w:name="_Toc118365082"/>
      <w:bookmarkStart w:id="107" w:name="_Toc118376987"/>
      <w:bookmarkStart w:id="108" w:name="_Toc118377704"/>
      <w:r>
        <w:rPr>
          <w:rStyle w:val="CharDivNo"/>
        </w:rPr>
        <w:t>Division 7</w:t>
      </w:r>
      <w:r>
        <w:t xml:space="preserve"> — </w:t>
      </w:r>
      <w:r>
        <w:rPr>
          <w:rStyle w:val="CharDivText"/>
        </w:rPr>
        <w:t>Parole orders, general provisions</w:t>
      </w:r>
      <w:bookmarkEnd w:id="105"/>
      <w:bookmarkEnd w:id="106"/>
      <w:bookmarkEnd w:id="107"/>
      <w:bookmarkEnd w:id="108"/>
    </w:p>
    <w:p>
      <w:pPr>
        <w:pStyle w:val="Heading5"/>
      </w:pPr>
      <w:bookmarkStart w:id="109" w:name="_Toc118377705"/>
      <w:r>
        <w:rPr>
          <w:rStyle w:val="CharSectno"/>
        </w:rPr>
        <w:t>32</w:t>
      </w:r>
      <w:r>
        <w:t>.</w:t>
      </w:r>
      <w:r>
        <w:tab/>
        <w:t>Parole order may relate to more than one term</w:t>
      </w:r>
      <w:bookmarkEnd w:id="109"/>
    </w:p>
    <w:p>
      <w:pPr>
        <w:pStyle w:val="Subsection"/>
      </w:pPr>
      <w:r>
        <w:tab/>
      </w:r>
      <w:r>
        <w:tab/>
        <w:t>A parole order may relate to more than one term.</w:t>
      </w:r>
    </w:p>
    <w:p>
      <w:pPr>
        <w:pStyle w:val="Heading5"/>
      </w:pPr>
      <w:bookmarkStart w:id="110" w:name="_Toc118377706"/>
      <w:r>
        <w:rPr>
          <w:rStyle w:val="CharSectno"/>
        </w:rPr>
        <w:t>33</w:t>
      </w:r>
      <w:r>
        <w:t>.</w:t>
      </w:r>
      <w:r>
        <w:tab/>
        <w:t>Prisoner may refuse to be released on parole</w:t>
      </w:r>
      <w:bookmarkEnd w:id="110"/>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111" w:name="_Toc118377707"/>
      <w:r>
        <w:rPr>
          <w:rStyle w:val="CharSectno"/>
        </w:rPr>
        <w:t>34</w:t>
      </w:r>
      <w:r>
        <w:t>.</w:t>
      </w:r>
      <w:r>
        <w:tab/>
        <w:t>Prisoner’s acknowledgment or undertaking</w:t>
      </w:r>
      <w:bookmarkEnd w:id="11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12" w:name="_Toc118377708"/>
      <w:r>
        <w:rPr>
          <w:rStyle w:val="CharSectno"/>
        </w:rPr>
        <w:t>35</w:t>
      </w:r>
      <w:r>
        <w:t>.</w:t>
      </w:r>
      <w:r>
        <w:tab/>
        <w:t>Making parole order after refusal by prisoner</w:t>
      </w:r>
      <w:bookmarkEnd w:id="112"/>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lastRenderedPageBreak/>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113" w:name="_Toc118361469"/>
      <w:bookmarkStart w:id="114" w:name="_Toc118365087"/>
      <w:bookmarkStart w:id="115" w:name="_Toc118376992"/>
      <w:bookmarkStart w:id="116" w:name="_Toc118377709"/>
      <w:r>
        <w:rPr>
          <w:rStyle w:val="CharDivNo"/>
        </w:rPr>
        <w:t>Division 8</w:t>
      </w:r>
      <w:r>
        <w:t xml:space="preserve"> — </w:t>
      </w:r>
      <w:r>
        <w:rPr>
          <w:rStyle w:val="CharDivText"/>
        </w:rPr>
        <w:t>Amendment of parole orders</w:t>
      </w:r>
      <w:bookmarkEnd w:id="113"/>
      <w:bookmarkEnd w:id="114"/>
      <w:bookmarkEnd w:id="115"/>
      <w:bookmarkEnd w:id="116"/>
      <w:r>
        <w:rPr>
          <w:rStyle w:val="CharDivText"/>
        </w:rPr>
        <w:t xml:space="preserve"> </w:t>
      </w:r>
    </w:p>
    <w:p>
      <w:pPr>
        <w:pStyle w:val="Heading5"/>
      </w:pPr>
      <w:bookmarkStart w:id="117" w:name="_Toc118377710"/>
      <w:r>
        <w:rPr>
          <w:rStyle w:val="CharSectno"/>
        </w:rPr>
        <w:t>36</w:t>
      </w:r>
      <w:r>
        <w:t>.</w:t>
      </w:r>
      <w:r>
        <w:tab/>
        <w:t>Amending before release</w:t>
      </w:r>
      <w:bookmarkEnd w:id="117"/>
    </w:p>
    <w:p>
      <w:pPr>
        <w:pStyle w:val="Subsection"/>
        <w:keepNext/>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118" w:name="_Toc118377711"/>
      <w:r>
        <w:rPr>
          <w:rStyle w:val="CharSectno"/>
        </w:rPr>
        <w:t>37</w:t>
      </w:r>
      <w:r>
        <w:rPr>
          <w:snapToGrid w:val="0"/>
        </w:rPr>
        <w:t>.</w:t>
      </w:r>
      <w:r>
        <w:rPr>
          <w:snapToGrid w:val="0"/>
        </w:rPr>
        <w:tab/>
        <w:t>Amending during parole period</w:t>
      </w:r>
      <w:bookmarkEnd w:id="118"/>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lastRenderedPageBreak/>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19" w:name="_Toc118361472"/>
      <w:bookmarkStart w:id="120" w:name="_Toc118365090"/>
      <w:bookmarkStart w:id="121" w:name="_Toc118376995"/>
      <w:bookmarkStart w:id="122" w:name="_Toc118377712"/>
      <w:r>
        <w:rPr>
          <w:rStyle w:val="CharDivNo"/>
        </w:rPr>
        <w:t>Division 9</w:t>
      </w:r>
      <w:r>
        <w:t xml:space="preserve"> — </w:t>
      </w:r>
      <w:r>
        <w:rPr>
          <w:rStyle w:val="CharDivText"/>
        </w:rPr>
        <w:t>Suspension of parole orders</w:t>
      </w:r>
      <w:bookmarkEnd w:id="119"/>
      <w:bookmarkEnd w:id="120"/>
      <w:bookmarkEnd w:id="121"/>
      <w:bookmarkEnd w:id="122"/>
      <w:r>
        <w:rPr>
          <w:rStyle w:val="CharDivText"/>
        </w:rPr>
        <w:t xml:space="preserve"> </w:t>
      </w:r>
    </w:p>
    <w:p>
      <w:pPr>
        <w:pStyle w:val="Heading5"/>
      </w:pPr>
      <w:bookmarkStart w:id="123" w:name="_Toc118377713"/>
      <w:r>
        <w:rPr>
          <w:rStyle w:val="CharSectno"/>
        </w:rPr>
        <w:t>38</w:t>
      </w:r>
      <w:r>
        <w:rPr>
          <w:snapToGrid w:val="0"/>
        </w:rPr>
        <w:t>.</w:t>
      </w:r>
      <w:r>
        <w:rPr>
          <w:snapToGrid w:val="0"/>
        </w:rPr>
        <w:tab/>
        <w:t>Suspension by CEO</w:t>
      </w:r>
      <w:bookmarkEnd w:id="123"/>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124" w:name="_Toc118377714"/>
      <w:r>
        <w:rPr>
          <w:rStyle w:val="CharSectno"/>
        </w:rPr>
        <w:t>39</w:t>
      </w:r>
      <w:r>
        <w:t>.</w:t>
      </w:r>
      <w:r>
        <w:tab/>
        <w:t>Suspension by Board</w:t>
      </w:r>
      <w:bookmarkEnd w:id="124"/>
    </w:p>
    <w:p>
      <w:pPr>
        <w:pStyle w:val="Subsection"/>
      </w:pPr>
      <w:r>
        <w:tab/>
        <w:t>(1)</w:t>
      </w:r>
      <w:r>
        <w:tab/>
        <w:t>The Board may, at any time during the parole period of a parole order, suspend the parole order, irrespective of whether it was made by the Board or by the Governor.</w:t>
      </w:r>
    </w:p>
    <w:p>
      <w:pPr>
        <w:pStyle w:val="Subsection"/>
        <w:keepNext/>
      </w:pPr>
      <w:r>
        <w:tab/>
        <w:t>(2)</w:t>
      </w:r>
      <w:r>
        <w:tab/>
        <w:t>Subsection (1) does not apply to a parole order (unsupervised).</w:t>
      </w:r>
    </w:p>
    <w:p>
      <w:pPr>
        <w:pStyle w:val="Footnotesection"/>
      </w:pPr>
      <w:r>
        <w:tab/>
        <w:t>[Section 39 amended: No. 41 of 2006 s. 32.]</w:t>
      </w:r>
    </w:p>
    <w:p>
      <w:pPr>
        <w:pStyle w:val="Heading5"/>
      </w:pPr>
      <w:bookmarkStart w:id="125" w:name="_Toc118377715"/>
      <w:r>
        <w:rPr>
          <w:rStyle w:val="CharSectno"/>
        </w:rPr>
        <w:t>40</w:t>
      </w:r>
      <w:r>
        <w:t>.</w:t>
      </w:r>
      <w:r>
        <w:tab/>
        <w:t>Period of suspension</w:t>
      </w:r>
      <w:bookmarkEnd w:id="125"/>
    </w:p>
    <w:p>
      <w:pPr>
        <w:pStyle w:val="Subsection"/>
        <w:keepNext/>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lastRenderedPageBreak/>
        <w:tab/>
        <w:t>[(2)</w:t>
      </w:r>
      <w:r>
        <w:tab/>
        <w:t>deleted]</w:t>
      </w:r>
    </w:p>
    <w:p>
      <w:pPr>
        <w:pStyle w:val="Footnotesection"/>
      </w:pPr>
      <w:r>
        <w:tab/>
        <w:t>[Section 40 amended: No. 41 of 2006 s. 33.]</w:t>
      </w:r>
    </w:p>
    <w:p>
      <w:pPr>
        <w:pStyle w:val="Heading5"/>
      </w:pPr>
      <w:bookmarkStart w:id="126" w:name="_Toc118377716"/>
      <w:r>
        <w:rPr>
          <w:rStyle w:val="CharSectno"/>
        </w:rPr>
        <w:t>41</w:t>
      </w:r>
      <w:r>
        <w:t>.</w:t>
      </w:r>
      <w:r>
        <w:tab/>
        <w:t>Suspension, effect on other parole orders</w:t>
      </w:r>
      <w:bookmarkEnd w:id="126"/>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127" w:name="_Toc118361477"/>
      <w:bookmarkStart w:id="128" w:name="_Toc118365095"/>
      <w:bookmarkStart w:id="129" w:name="_Toc118377000"/>
      <w:bookmarkStart w:id="130" w:name="_Toc118377717"/>
      <w:r>
        <w:rPr>
          <w:rStyle w:val="CharDivNo"/>
        </w:rPr>
        <w:t>Division 10</w:t>
      </w:r>
      <w:r>
        <w:t xml:space="preserve"> — </w:t>
      </w:r>
      <w:r>
        <w:rPr>
          <w:rStyle w:val="CharDivText"/>
        </w:rPr>
        <w:t>Cancellation of parole orders</w:t>
      </w:r>
      <w:bookmarkEnd w:id="127"/>
      <w:bookmarkEnd w:id="128"/>
      <w:bookmarkEnd w:id="129"/>
      <w:bookmarkEnd w:id="130"/>
    </w:p>
    <w:p>
      <w:pPr>
        <w:pStyle w:val="Heading5"/>
      </w:pPr>
      <w:bookmarkStart w:id="131" w:name="_Toc118377718"/>
      <w:r>
        <w:rPr>
          <w:rStyle w:val="CharSectno"/>
        </w:rPr>
        <w:t>43</w:t>
      </w:r>
      <w:r>
        <w:t>.</w:t>
      </w:r>
      <w:r>
        <w:tab/>
        <w:t>Cancellation before release</w:t>
      </w:r>
      <w:bookmarkEnd w:id="131"/>
    </w:p>
    <w:p>
      <w:pPr>
        <w:pStyle w:val="Subsection"/>
        <w:keepNext/>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keepNext/>
      </w:pPr>
      <w:r>
        <w:tab/>
        <w:t>[(2)</w:t>
      </w:r>
      <w:r>
        <w:tab/>
        <w:t>deleted]</w:t>
      </w:r>
    </w:p>
    <w:p>
      <w:pPr>
        <w:pStyle w:val="Footnotesection"/>
      </w:pPr>
      <w:r>
        <w:tab/>
        <w:t>[Section 43 amended: No. 41 of 2006 s. 35.]</w:t>
      </w:r>
    </w:p>
    <w:p>
      <w:pPr>
        <w:pStyle w:val="Heading5"/>
      </w:pPr>
      <w:bookmarkStart w:id="132" w:name="_Toc118377719"/>
      <w:r>
        <w:rPr>
          <w:rStyle w:val="CharSectno"/>
        </w:rPr>
        <w:t>44</w:t>
      </w:r>
      <w:r>
        <w:t>.</w:t>
      </w:r>
      <w:r>
        <w:tab/>
        <w:t>Cancellation after release</w:t>
      </w:r>
      <w:bookmarkEnd w:id="132"/>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keepNext/>
      </w:pPr>
      <w:r>
        <w:tab/>
        <w:t>(4)</w:t>
      </w:r>
      <w:r>
        <w:tab/>
        <w:t>Except as provided in section 67A, 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 No. 14 of 2022 s. 13.]</w:t>
      </w:r>
    </w:p>
    <w:p>
      <w:pPr>
        <w:pStyle w:val="Ednotesection"/>
      </w:pPr>
      <w:r>
        <w:t>[</w:t>
      </w:r>
      <w:r>
        <w:rPr>
          <w:b/>
          <w:bCs/>
        </w:rPr>
        <w:t>45.</w:t>
      </w:r>
      <w:r>
        <w:tab/>
        <w:t>Deleted: No. 41 of 2006 s. 37.]</w:t>
      </w:r>
    </w:p>
    <w:p>
      <w:pPr>
        <w:pStyle w:val="Heading5"/>
      </w:pPr>
      <w:bookmarkStart w:id="133" w:name="_Toc118377720"/>
      <w:r>
        <w:rPr>
          <w:rStyle w:val="CharSectno"/>
        </w:rPr>
        <w:lastRenderedPageBreak/>
        <w:t>46</w:t>
      </w:r>
      <w:r>
        <w:t>.</w:t>
      </w:r>
      <w:r>
        <w:tab/>
        <w:t>Cancellation, effect on other parole orders</w:t>
      </w:r>
      <w:bookmarkEnd w:id="133"/>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34" w:name="_Toc118361481"/>
      <w:bookmarkStart w:id="135" w:name="_Toc118365099"/>
      <w:bookmarkStart w:id="136" w:name="_Toc118377004"/>
      <w:bookmarkStart w:id="137" w:name="_Toc118377721"/>
      <w:r>
        <w:rPr>
          <w:rStyle w:val="CharDivNo"/>
        </w:rPr>
        <w:t>Division 11</w:t>
      </w:r>
      <w:r>
        <w:t xml:space="preserve"> — </w:t>
      </w:r>
      <w:r>
        <w:rPr>
          <w:rStyle w:val="CharDivText"/>
        </w:rPr>
        <w:t>Miscellaneous</w:t>
      </w:r>
      <w:bookmarkEnd w:id="134"/>
      <w:bookmarkEnd w:id="135"/>
      <w:bookmarkEnd w:id="136"/>
      <w:bookmarkEnd w:id="137"/>
    </w:p>
    <w:p>
      <w:pPr>
        <w:pStyle w:val="Ednotesection"/>
      </w:pPr>
      <w:r>
        <w:t>[</w:t>
      </w:r>
      <w:r>
        <w:rPr>
          <w:b/>
          <w:bCs/>
        </w:rPr>
        <w:t>47.</w:t>
      </w:r>
      <w:r>
        <w:tab/>
        <w:t>Deleted: No. 41 of 2006 s. 38.]</w:t>
      </w:r>
    </w:p>
    <w:p>
      <w:pPr>
        <w:pStyle w:val="Heading5"/>
        <w:rPr>
          <w:b w:val="0"/>
        </w:rPr>
      </w:pPr>
      <w:bookmarkStart w:id="138" w:name="_Toc118377722"/>
      <w:r>
        <w:rPr>
          <w:rStyle w:val="CharSectno"/>
        </w:rPr>
        <w:t>48</w:t>
      </w:r>
      <w:r>
        <w:t>.</w:t>
      </w:r>
      <w:r>
        <w:tab/>
        <w:t>Parole ordered by Governor, Minister to be advised of amendment, suspension or cancellation</w:t>
      </w:r>
      <w:bookmarkEnd w:id="138"/>
    </w:p>
    <w:p>
      <w:pPr>
        <w:pStyle w:val="Subsection"/>
        <w:keepNext/>
        <w:rPr>
          <w:snapToGrid w:val="0"/>
        </w:rPr>
      </w:pPr>
      <w:r>
        <w:tab/>
        <w:t>(1)</w:t>
      </w:r>
      <w:r>
        <w:tab/>
      </w:r>
      <w:r>
        <w:rPr>
          <w:snapToGrid w:val="0"/>
        </w:rPr>
        <w:t>If in respect of a prisoner subject to a parole order made by the Governor —</w:t>
      </w:r>
    </w:p>
    <w:p>
      <w:pPr>
        <w:pStyle w:val="Indenta"/>
        <w:keepNext/>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 xml:space="preserve">under Division 10 or section 67A, </w:t>
      </w:r>
      <w:r>
        <w:rPr>
          <w:snapToGrid w:val="0"/>
        </w:rPr>
        <w:t>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lastRenderedPageBreak/>
        <w:tab/>
        <w:t>(2)</w:t>
      </w:r>
      <w:r>
        <w:tab/>
      </w:r>
      <w:r>
        <w:rPr>
          <w:snapToGrid w:val="0"/>
        </w:rPr>
        <w:t>The Governor may cancel a decision referred to in subsection (1).</w:t>
      </w:r>
    </w:p>
    <w:p>
      <w:pPr>
        <w:pStyle w:val="Footnotesection"/>
      </w:pPr>
      <w:r>
        <w:tab/>
        <w:t>[Section 48 amended: No. 41 of 2006 s. 39; No. 14 of 2022 s. 14.]</w:t>
      </w:r>
    </w:p>
    <w:p>
      <w:pPr>
        <w:pStyle w:val="Heading5"/>
      </w:pPr>
      <w:bookmarkStart w:id="139" w:name="_Toc118377723"/>
      <w:r>
        <w:rPr>
          <w:rStyle w:val="CharSectno"/>
        </w:rPr>
        <w:t>49</w:t>
      </w:r>
      <w:r>
        <w:t>.</w:t>
      </w:r>
      <w:r>
        <w:tab/>
        <w:t>Resolution of doubtful cases</w:t>
      </w:r>
      <w:bookmarkEnd w:id="139"/>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keepNext/>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keepNext/>
        <w:rPr>
          <w:snapToGrid w:val="0"/>
        </w:rPr>
      </w:pPr>
      <w:r>
        <w:lastRenderedPageBreak/>
        <w:tab/>
        <w:t>(c)</w:t>
      </w:r>
      <w:r>
        <w:tab/>
      </w:r>
      <w:r>
        <w:rPr>
          <w:snapToGrid w:val="0"/>
        </w:rPr>
        <w:t>the term to be served by a prisoner who escapes from lawful custody,</w:t>
      </w:r>
    </w:p>
    <w:p>
      <w:pPr>
        <w:pStyle w:val="Subsection"/>
        <w:keepNext/>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140" w:name="_Toc118361484"/>
      <w:bookmarkStart w:id="141" w:name="_Toc118365102"/>
      <w:bookmarkStart w:id="142" w:name="_Toc118377007"/>
      <w:bookmarkStart w:id="143" w:name="_Toc118377724"/>
      <w:r>
        <w:rPr>
          <w:rStyle w:val="CharPartNo"/>
        </w:rPr>
        <w:lastRenderedPageBreak/>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40"/>
      <w:bookmarkEnd w:id="141"/>
      <w:bookmarkEnd w:id="142"/>
      <w:bookmarkEnd w:id="143"/>
    </w:p>
    <w:p>
      <w:pPr>
        <w:pStyle w:val="Heading5"/>
        <w:spacing w:before="160"/>
      </w:pPr>
      <w:bookmarkStart w:id="144" w:name="_Toc118377725"/>
      <w:r>
        <w:rPr>
          <w:rStyle w:val="CharSectno"/>
        </w:rPr>
        <w:t>50</w:t>
      </w:r>
      <w:r>
        <w:t>.</w:t>
      </w:r>
      <w:r>
        <w:tab/>
        <w:t>Certain prisoners may apply to Board for RRO</w:t>
      </w:r>
      <w:bookmarkEnd w:id="14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145" w:name="_Toc118377726"/>
      <w:r>
        <w:rPr>
          <w:rStyle w:val="CharSectno"/>
        </w:rPr>
        <w:t>51</w:t>
      </w:r>
      <w:r>
        <w:t>.</w:t>
      </w:r>
      <w:r>
        <w:tab/>
        <w:t>CEO to report to Board about RRO applicants</w:t>
      </w:r>
      <w:bookmarkEnd w:id="145"/>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146" w:name="_Toc118377727"/>
      <w:r>
        <w:rPr>
          <w:rStyle w:val="CharSectno"/>
        </w:rPr>
        <w:lastRenderedPageBreak/>
        <w:t>52</w:t>
      </w:r>
      <w:r>
        <w:t>.</w:t>
      </w:r>
      <w:r>
        <w:tab/>
        <w:t>Board may make RRO</w:t>
      </w:r>
      <w:bookmarkEnd w:id="146"/>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sections 66B(1) and 66G(1)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 No. 14 of 2022 s. 15.]</w:t>
      </w:r>
    </w:p>
    <w:p>
      <w:pPr>
        <w:pStyle w:val="Ednotesection"/>
      </w:pPr>
      <w:r>
        <w:t>[</w:t>
      </w:r>
      <w:r>
        <w:rPr>
          <w:b/>
          <w:bCs/>
        </w:rPr>
        <w:t>53.</w:t>
      </w:r>
      <w:r>
        <w:tab/>
        <w:t>Deleted: No. 41 of 2006 s. 44.]</w:t>
      </w:r>
    </w:p>
    <w:p>
      <w:pPr>
        <w:pStyle w:val="Heading5"/>
      </w:pPr>
      <w:bookmarkStart w:id="147" w:name="_Toc118377728"/>
      <w:r>
        <w:rPr>
          <w:rStyle w:val="CharSectno"/>
        </w:rPr>
        <w:t>54</w:t>
      </w:r>
      <w:r>
        <w:t>.</w:t>
      </w:r>
      <w:r>
        <w:tab/>
        <w:t>RRO, nature of</w:t>
      </w:r>
      <w:bookmarkEnd w:id="147"/>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lastRenderedPageBreak/>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148" w:name="_Toc118377729"/>
      <w:r>
        <w:rPr>
          <w:rStyle w:val="CharSectno"/>
        </w:rPr>
        <w:t>55</w:t>
      </w:r>
      <w:r>
        <w:t>.</w:t>
      </w:r>
      <w:r>
        <w:tab/>
        <w:t>RRO, standard obligations</w:t>
      </w:r>
      <w:bookmarkEnd w:id="14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49" w:name="_Toc118377730"/>
      <w:r>
        <w:rPr>
          <w:rStyle w:val="CharSectno"/>
        </w:rPr>
        <w:lastRenderedPageBreak/>
        <w:t>56</w:t>
      </w:r>
      <w:r>
        <w:t>.</w:t>
      </w:r>
      <w:r>
        <w:tab/>
        <w:t>RRO, primary requirements</w:t>
      </w:r>
      <w:bookmarkEnd w:id="14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50" w:name="_Toc118377731"/>
      <w:r>
        <w:rPr>
          <w:rStyle w:val="CharSectno"/>
        </w:rPr>
        <w:t>57</w:t>
      </w:r>
      <w:r>
        <w:t>.</w:t>
      </w:r>
      <w:r>
        <w:tab/>
        <w:t>RRO, additional requirements</w:t>
      </w:r>
      <w:bookmarkEnd w:id="15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Subsection"/>
      </w:pPr>
      <w:r>
        <w:lastRenderedPageBreak/>
        <w:tab/>
        <w:t>(3)</w:t>
      </w:r>
      <w:r>
        <w:tab/>
        <w:t>If the prisoner has been serving imprisonment for a family violence offence and the prisoner is a serial family violence offender, the Board must give specific consideration as to whether to impose a requirement under subsection (2).</w:t>
      </w:r>
    </w:p>
    <w:p>
      <w:pPr>
        <w:pStyle w:val="Footnotesection"/>
      </w:pPr>
      <w:r>
        <w:tab/>
        <w:t>[Section 57 amended: No. 13 of 2020 s. 17; No. 30 of 2020 s. 35.]</w:t>
      </w:r>
    </w:p>
    <w:p>
      <w:pPr>
        <w:pStyle w:val="Heading5"/>
      </w:pPr>
      <w:bookmarkStart w:id="151" w:name="_Toc118377732"/>
      <w:r>
        <w:rPr>
          <w:rStyle w:val="CharSectno"/>
        </w:rPr>
        <w:t>58</w:t>
      </w:r>
      <w:r>
        <w:t>.</w:t>
      </w:r>
      <w:r>
        <w:tab/>
        <w:t>Prisoner’s undertaking</w:t>
      </w:r>
      <w:bookmarkEnd w:id="151"/>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52" w:name="_Toc118377733"/>
      <w:r>
        <w:rPr>
          <w:rStyle w:val="CharSectno"/>
        </w:rPr>
        <w:t>59</w:t>
      </w:r>
      <w:r>
        <w:t>.</w:t>
      </w:r>
      <w:r>
        <w:tab/>
        <w:t>CEO to ensure prisoner is supervised during RRO</w:t>
      </w:r>
      <w:bookmarkEnd w:id="152"/>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lastRenderedPageBreak/>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153" w:name="_Toc118377734"/>
      <w:r>
        <w:rPr>
          <w:rStyle w:val="CharSectno"/>
        </w:rPr>
        <w:t>61</w:t>
      </w:r>
      <w:r>
        <w:t>.</w:t>
      </w:r>
      <w:r>
        <w:tab/>
        <w:t>Suspension of RRO by Board or CEO</w:t>
      </w:r>
      <w:bookmarkEnd w:id="153"/>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lastRenderedPageBreak/>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154" w:name="_Toc118377735"/>
      <w:r>
        <w:rPr>
          <w:rStyle w:val="CharSectno"/>
        </w:rPr>
        <w:t>63</w:t>
      </w:r>
      <w:r>
        <w:t>.</w:t>
      </w:r>
      <w:r>
        <w:tab/>
        <w:t>Cancellation of RRO by Board</w:t>
      </w:r>
      <w:bookmarkEnd w:id="15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155" w:name="_Toc118361496"/>
      <w:bookmarkStart w:id="156" w:name="_Toc118365114"/>
      <w:bookmarkStart w:id="157" w:name="_Toc118377019"/>
      <w:bookmarkStart w:id="158" w:name="_Toc118377736"/>
      <w:r>
        <w:rPr>
          <w:rStyle w:val="CharPartNo"/>
        </w:rPr>
        <w:lastRenderedPageBreak/>
        <w:t>Part 5</w:t>
      </w:r>
      <w:r>
        <w:t xml:space="preserve"> — </w:t>
      </w:r>
      <w:r>
        <w:rPr>
          <w:rStyle w:val="CharPartText"/>
        </w:rPr>
        <w:t>Provisions applying to early release orders</w:t>
      </w:r>
      <w:bookmarkEnd w:id="155"/>
      <w:bookmarkEnd w:id="156"/>
      <w:bookmarkEnd w:id="157"/>
      <w:bookmarkEnd w:id="158"/>
    </w:p>
    <w:p>
      <w:pPr>
        <w:pStyle w:val="Heading3"/>
      </w:pPr>
      <w:bookmarkStart w:id="159" w:name="_Toc118361497"/>
      <w:bookmarkStart w:id="160" w:name="_Toc118365115"/>
      <w:bookmarkStart w:id="161" w:name="_Toc118377020"/>
      <w:bookmarkStart w:id="162" w:name="_Toc118377737"/>
      <w:r>
        <w:rPr>
          <w:rStyle w:val="CharDivNo"/>
        </w:rPr>
        <w:t>Division 1</w:t>
      </w:r>
      <w:r>
        <w:t xml:space="preserve"> — </w:t>
      </w:r>
      <w:r>
        <w:rPr>
          <w:rStyle w:val="CharDivText"/>
        </w:rPr>
        <w:t>General</w:t>
      </w:r>
      <w:bookmarkEnd w:id="159"/>
      <w:bookmarkEnd w:id="160"/>
      <w:bookmarkEnd w:id="161"/>
      <w:bookmarkEnd w:id="162"/>
    </w:p>
    <w:p>
      <w:pPr>
        <w:pStyle w:val="Heading5"/>
      </w:pPr>
      <w:bookmarkStart w:id="163" w:name="_Toc118377738"/>
      <w:r>
        <w:rPr>
          <w:rStyle w:val="CharSectno"/>
        </w:rPr>
        <w:t>65</w:t>
      </w:r>
      <w:r>
        <w:t>.</w:t>
      </w:r>
      <w:r>
        <w:tab/>
        <w:t>Period of early release order counts as time served</w:t>
      </w:r>
      <w:bookmarkEnd w:id="163"/>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64" w:name="_Toc118377739"/>
      <w:r>
        <w:rPr>
          <w:rStyle w:val="CharSectno"/>
        </w:rPr>
        <w:t>66</w:t>
      </w:r>
      <w:r>
        <w:t>.</w:t>
      </w:r>
      <w:r>
        <w:tab/>
        <w:t>Prisoner under sentence until discharged</w:t>
      </w:r>
      <w:bookmarkEnd w:id="164"/>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65" w:name="_Toc118361500"/>
      <w:bookmarkStart w:id="166" w:name="_Toc118365118"/>
      <w:bookmarkStart w:id="167" w:name="_Toc118377023"/>
      <w:bookmarkStart w:id="168" w:name="_Toc118377740"/>
      <w:r>
        <w:rPr>
          <w:rStyle w:val="CharDivNo"/>
        </w:rPr>
        <w:lastRenderedPageBreak/>
        <w:t>Division 1A</w:t>
      </w:r>
      <w:r>
        <w:t> — </w:t>
      </w:r>
      <w:r>
        <w:rPr>
          <w:rStyle w:val="CharDivText"/>
        </w:rPr>
        <w:t>Homicide offence or homicide related offence</w:t>
      </w:r>
      <w:bookmarkEnd w:id="165"/>
      <w:bookmarkEnd w:id="166"/>
      <w:bookmarkEnd w:id="167"/>
      <w:bookmarkEnd w:id="168"/>
    </w:p>
    <w:p>
      <w:pPr>
        <w:pStyle w:val="Footnoteheading"/>
        <w:keepNext/>
      </w:pPr>
      <w:r>
        <w:tab/>
        <w:t>[Heading inserted: No. 2 of 2018 s. 9.]</w:t>
      </w:r>
    </w:p>
    <w:p>
      <w:pPr>
        <w:pStyle w:val="Heading5"/>
      </w:pPr>
      <w:bookmarkStart w:id="169" w:name="_Toc118377741"/>
      <w:r>
        <w:rPr>
          <w:rStyle w:val="CharSectno"/>
        </w:rPr>
        <w:t>66A</w:t>
      </w:r>
      <w:r>
        <w:t>.</w:t>
      </w:r>
      <w:r>
        <w:tab/>
        <w:t>Terms used</w:t>
      </w:r>
      <w:bookmarkEnd w:id="169"/>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lastRenderedPageBreak/>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170" w:name="_Toc118377742"/>
      <w:r>
        <w:rPr>
          <w:rStyle w:val="CharSectno"/>
        </w:rPr>
        <w:t>66B</w:t>
      </w:r>
      <w:r>
        <w:t>.</w:t>
      </w:r>
      <w:r>
        <w:tab/>
        <w:t>Board not to release or recommend release unless prisoner cooperates or victim’s remains located</w:t>
      </w:r>
      <w:bookmarkEnd w:id="170"/>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keepLines/>
      </w:pPr>
      <w:r>
        <w:lastRenderedPageBreak/>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171" w:name="_Toc118377743"/>
      <w:r>
        <w:rPr>
          <w:rStyle w:val="CharSectno"/>
        </w:rPr>
        <w:t>66C</w:t>
      </w:r>
      <w:r>
        <w:t>.</w:t>
      </w:r>
      <w:r>
        <w:tab/>
        <w:t>Commissioner of Police report</w:t>
      </w:r>
      <w:bookmarkEnd w:id="171"/>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keepNext/>
      </w:pPr>
      <w:r>
        <w:lastRenderedPageBreak/>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172" w:name="_Toc103854012"/>
      <w:bookmarkStart w:id="173" w:name="_Toc103854103"/>
      <w:bookmarkStart w:id="174" w:name="_Toc103854194"/>
      <w:bookmarkStart w:id="175" w:name="_Toc103867529"/>
      <w:bookmarkStart w:id="176" w:name="_Toc118365122"/>
      <w:bookmarkStart w:id="177" w:name="_Toc118377027"/>
      <w:bookmarkStart w:id="178" w:name="_Toc118377744"/>
      <w:bookmarkStart w:id="179" w:name="_Toc118361504"/>
      <w:r>
        <w:rPr>
          <w:rStyle w:val="CharDivNo"/>
        </w:rPr>
        <w:t>Division 1B</w:t>
      </w:r>
      <w:r>
        <w:t> — </w:t>
      </w:r>
      <w:r>
        <w:rPr>
          <w:rStyle w:val="CharDivText"/>
        </w:rPr>
        <w:t>Prisoners with links to terrorism or subject to Commissioner of Police reports</w:t>
      </w:r>
      <w:bookmarkEnd w:id="172"/>
      <w:bookmarkEnd w:id="173"/>
      <w:bookmarkEnd w:id="174"/>
      <w:bookmarkEnd w:id="175"/>
      <w:bookmarkEnd w:id="176"/>
      <w:bookmarkEnd w:id="177"/>
      <w:bookmarkEnd w:id="178"/>
    </w:p>
    <w:p>
      <w:pPr>
        <w:pStyle w:val="Footnoteheading"/>
        <w:keepNext/>
      </w:pPr>
      <w:bookmarkStart w:id="180" w:name="_Toc103854013"/>
      <w:bookmarkStart w:id="181" w:name="_Toc103854104"/>
      <w:bookmarkStart w:id="182" w:name="_Toc103854195"/>
      <w:bookmarkStart w:id="183" w:name="_Toc103867530"/>
      <w:r>
        <w:tab/>
        <w:t>[Heading inserted: No. 14 of 2022 s. 16.]</w:t>
      </w:r>
    </w:p>
    <w:p>
      <w:pPr>
        <w:pStyle w:val="Heading4"/>
      </w:pPr>
      <w:bookmarkStart w:id="184" w:name="_Toc118365123"/>
      <w:bookmarkStart w:id="185" w:name="_Toc118377028"/>
      <w:bookmarkStart w:id="186" w:name="_Toc118377745"/>
      <w:r>
        <w:t>Subdivision 1 — Preliminary</w:t>
      </w:r>
      <w:bookmarkEnd w:id="180"/>
      <w:bookmarkEnd w:id="181"/>
      <w:bookmarkEnd w:id="182"/>
      <w:bookmarkEnd w:id="183"/>
      <w:bookmarkEnd w:id="184"/>
      <w:bookmarkEnd w:id="185"/>
      <w:bookmarkEnd w:id="186"/>
    </w:p>
    <w:p>
      <w:pPr>
        <w:pStyle w:val="Footnoteheading"/>
        <w:keepNext/>
      </w:pPr>
      <w:bookmarkStart w:id="187" w:name="_Toc103867531"/>
      <w:r>
        <w:tab/>
        <w:t>[Heading inserted: No. 14 of 2022 s. 16.]</w:t>
      </w:r>
    </w:p>
    <w:p>
      <w:pPr>
        <w:pStyle w:val="Heading5"/>
      </w:pPr>
      <w:bookmarkStart w:id="188" w:name="_Toc118377746"/>
      <w:r>
        <w:rPr>
          <w:rStyle w:val="CharSectno"/>
        </w:rPr>
        <w:t>66D</w:t>
      </w:r>
      <w:r>
        <w:t>.</w:t>
      </w:r>
      <w:r>
        <w:tab/>
        <w:t>Terms used</w:t>
      </w:r>
      <w:bookmarkEnd w:id="187"/>
      <w:bookmarkEnd w:id="188"/>
    </w:p>
    <w:p>
      <w:pPr>
        <w:pStyle w:val="Subsection"/>
      </w:pPr>
      <w:r>
        <w:tab/>
      </w:r>
      <w:r>
        <w:tab/>
        <w:t>In this Division —</w:t>
      </w:r>
    </w:p>
    <w:p>
      <w:pPr>
        <w:pStyle w:val="Defstart"/>
      </w:pPr>
      <w:r>
        <w:tab/>
      </w:r>
      <w:r>
        <w:rPr>
          <w:rStyle w:val="CharDefText"/>
        </w:rPr>
        <w:t>release action</w:t>
      </w:r>
      <w:r>
        <w:t xml:space="preserve"> means making a parole order under section 23(3)(b) in respect of a prisoner; </w:t>
      </w:r>
    </w:p>
    <w:p>
      <w:pPr>
        <w:pStyle w:val="Defstart"/>
        <w:keepNext/>
      </w:pPr>
      <w:r>
        <w:lastRenderedPageBreak/>
        <w:tab/>
      </w:r>
      <w:r>
        <w:rPr>
          <w:rStyle w:val="CharDefText"/>
        </w:rPr>
        <w:t>release decision</w:t>
      </w:r>
      <w:r>
        <w:t xml:space="preserve"> means — </w:t>
      </w:r>
    </w:p>
    <w:p>
      <w:pPr>
        <w:pStyle w:val="Defpara"/>
      </w:pPr>
      <w:r>
        <w:tab/>
        <w:t>(a)</w:t>
      </w:r>
      <w:r>
        <w:tab/>
        <w:t>a decision under section 20(2) that it is appropriate to release a prisoner on parole; or</w:t>
      </w:r>
    </w:p>
    <w:p>
      <w:pPr>
        <w:pStyle w:val="Defpara"/>
      </w:pPr>
      <w:r>
        <w:tab/>
        <w:t>(b)</w:t>
      </w:r>
      <w:r>
        <w:tab/>
        <w:t>a decision under section 23(3)(a) to make a parole order in respect of a prisoner; or</w:t>
      </w:r>
    </w:p>
    <w:p>
      <w:pPr>
        <w:pStyle w:val="Defpara"/>
      </w:pPr>
      <w:r>
        <w:tab/>
        <w:t>(c)</w:t>
      </w:r>
      <w:r>
        <w:tab/>
        <w:t>a decision under section 52(1)(a) to make an RRO in respect of a prisoner.</w:t>
      </w:r>
    </w:p>
    <w:p>
      <w:pPr>
        <w:pStyle w:val="Footnotesection"/>
      </w:pPr>
      <w:bookmarkStart w:id="189" w:name="_Toc103854015"/>
      <w:bookmarkStart w:id="190" w:name="_Toc103854106"/>
      <w:bookmarkStart w:id="191" w:name="_Toc103854197"/>
      <w:bookmarkStart w:id="192" w:name="_Toc103867532"/>
      <w:r>
        <w:tab/>
        <w:t>[Section 66D inserted: No. 14 of 2022 s. 16.]</w:t>
      </w:r>
    </w:p>
    <w:p>
      <w:pPr>
        <w:pStyle w:val="Heading4"/>
      </w:pPr>
      <w:bookmarkStart w:id="193" w:name="_Toc118365125"/>
      <w:bookmarkStart w:id="194" w:name="_Toc118377030"/>
      <w:bookmarkStart w:id="195" w:name="_Toc118377747"/>
      <w:r>
        <w:t>Subdivision 2 — Early release orders in cases of prisoners with links to terrorism</w:t>
      </w:r>
      <w:bookmarkEnd w:id="189"/>
      <w:bookmarkEnd w:id="190"/>
      <w:bookmarkEnd w:id="191"/>
      <w:bookmarkEnd w:id="192"/>
      <w:bookmarkEnd w:id="193"/>
      <w:bookmarkEnd w:id="194"/>
      <w:bookmarkEnd w:id="195"/>
    </w:p>
    <w:p>
      <w:pPr>
        <w:pStyle w:val="Footnoteheading"/>
        <w:keepNext/>
      </w:pPr>
      <w:bookmarkStart w:id="196" w:name="_Toc103867533"/>
      <w:r>
        <w:tab/>
        <w:t>[Heading inserted: No. 14 of 2022 s. 16.]</w:t>
      </w:r>
    </w:p>
    <w:p>
      <w:pPr>
        <w:pStyle w:val="Heading5"/>
      </w:pPr>
      <w:bookmarkStart w:id="197" w:name="_Toc118377748"/>
      <w:r>
        <w:rPr>
          <w:rStyle w:val="CharSectno"/>
        </w:rPr>
        <w:t>66E</w:t>
      </w:r>
      <w:r>
        <w:t>.</w:t>
      </w:r>
      <w:r>
        <w:tab/>
        <w:t>References to Board</w:t>
      </w:r>
      <w:bookmarkEnd w:id="196"/>
      <w:bookmarkEnd w:id="197"/>
    </w:p>
    <w:p>
      <w:pPr>
        <w:pStyle w:val="Subsection"/>
      </w:pPr>
      <w:r>
        <w:tab/>
      </w:r>
      <w:r>
        <w:tab/>
        <w:t xml:space="preserve">In this Subdivision, a reference to the </w:t>
      </w:r>
      <w:r>
        <w:rPr>
          <w:rStyle w:val="CharDefText"/>
        </w:rPr>
        <w:t>Board</w:t>
      </w:r>
      <w:r>
        <w:t xml:space="preserve"> is a reference to the Board as constituted by the chairperson alone. </w:t>
      </w:r>
    </w:p>
    <w:p>
      <w:pPr>
        <w:pStyle w:val="Footnotesection"/>
      </w:pPr>
      <w:bookmarkStart w:id="198" w:name="_Toc103867534"/>
      <w:r>
        <w:tab/>
        <w:t>[Section 66E inserted: No. 14 of 2022 s. 16.]</w:t>
      </w:r>
    </w:p>
    <w:p>
      <w:pPr>
        <w:pStyle w:val="Heading5"/>
      </w:pPr>
      <w:bookmarkStart w:id="199" w:name="_Toc118377749"/>
      <w:r>
        <w:rPr>
          <w:rStyle w:val="CharSectno"/>
        </w:rPr>
        <w:t>66F</w:t>
      </w:r>
      <w:r>
        <w:t>.</w:t>
      </w:r>
      <w:r>
        <w:tab/>
        <w:t>Additional release considerations</w:t>
      </w:r>
      <w:bookmarkEnd w:id="198"/>
      <w:bookmarkEnd w:id="199"/>
    </w:p>
    <w:p>
      <w:pPr>
        <w:pStyle w:val="Subsection"/>
      </w:pPr>
      <w:r>
        <w:tab/>
      </w:r>
      <w:r>
        <w:tab/>
        <w:t>In this Subdivision, a</w:t>
      </w:r>
      <w:r>
        <w:rPr>
          <w:szCs w:val="24"/>
        </w:rPr>
        <w:t xml:space="preserve"> reference to the </w:t>
      </w:r>
      <w:r>
        <w:rPr>
          <w:rStyle w:val="CharDefText"/>
        </w:rPr>
        <w:t>additional release considerations</w:t>
      </w:r>
      <w:r>
        <w:rPr>
          <w:szCs w:val="24"/>
        </w:rPr>
        <w:t xml:space="preserve"> relating to a prisoner is a reference to the following considerations —</w:t>
      </w:r>
    </w:p>
    <w:p>
      <w:pPr>
        <w:pStyle w:val="Indenta"/>
      </w:pPr>
      <w:r>
        <w:tab/>
        <w:t>(a)</w:t>
      </w:r>
      <w:r>
        <w:tab/>
        <w:t>the degree of risk (having regard to any likelihood of the prisoner committing a terrorism offence if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if the prisoner has made statements or carried out activities that support, or advocate support for, terrorist acts — the nature and seriousness of the statements made or activities carried out;</w:t>
      </w:r>
    </w:p>
    <w:p>
      <w:pPr>
        <w:pStyle w:val="Indenta"/>
        <w:keepLines/>
      </w:pPr>
      <w:r>
        <w:lastRenderedPageBreak/>
        <w:tab/>
        <w:t>(c)</w:t>
      </w:r>
      <w:r>
        <w:tab/>
        <w:t>if the prisoner is sentenced for a terrorism offence — any remarks made by the court that sentenced the prisoner that are relevant to the matters referred to in paragraphs (a) and (b);</w:t>
      </w:r>
    </w:p>
    <w:p>
      <w:pPr>
        <w:pStyle w:val="Indenta"/>
      </w:pPr>
      <w:r>
        <w:tab/>
        <w:t>(d)</w:t>
      </w:r>
      <w:r>
        <w:tab/>
        <w:t>if the prisoner is, or was, subject to an interim control order or confirmed control order relating to a terrorism offence —</w:t>
      </w:r>
    </w:p>
    <w:p>
      <w:pPr>
        <w:pStyle w:val="Indenti"/>
      </w:pPr>
      <w:r>
        <w:tab/>
        <w:t>(i)</w:t>
      </w:r>
      <w:r>
        <w:tab/>
        <w:t>any remarks made by the court that made the order that are relevant to the matters referred to in paragraphs (a) and (b); and</w:t>
      </w:r>
    </w:p>
    <w:p>
      <w:pPr>
        <w:pStyle w:val="Indenti"/>
      </w:pPr>
      <w:r>
        <w:tab/>
        <w:t>(ii)</w:t>
      </w:r>
      <w:r>
        <w:tab/>
        <w:t>the behaviour of the prisoner while subject to the order;</w:t>
      </w:r>
    </w:p>
    <w:p>
      <w:pPr>
        <w:pStyle w:val="Indenta"/>
      </w:pPr>
      <w:r>
        <w:tab/>
        <w:t>(e)</w:t>
      </w:r>
      <w:r>
        <w:tab/>
        <w:t>the behaviour of the prisoner when in custody to the extent that it may be relevant to the matters referred to in paragraphs (a) and (b);</w:t>
      </w:r>
    </w:p>
    <w:p>
      <w:pPr>
        <w:pStyle w:val="Indenta"/>
      </w:pPr>
      <w:r>
        <w:tab/>
        <w:t>(f)</w:t>
      </w:r>
      <w:r>
        <w:tab/>
        <w:t>whether the prisoner has participated in any programme or activity that addresses the prisoner’s risk of committing a terrorism offence and the prisoner’s performance in the programme or activity;</w:t>
      </w:r>
    </w:p>
    <w:p>
      <w:pPr>
        <w:pStyle w:val="Indenta"/>
      </w:pPr>
      <w:r>
        <w:tab/>
        <w:t>(g)</w:t>
      </w:r>
      <w:r>
        <w:tab/>
        <w:t>whether the prisoner is, or was, associated with 1 or more persons who have made statements or carried out activities that support, or advocate support for, terrorist acts, and the nature of the association.</w:t>
      </w:r>
    </w:p>
    <w:p>
      <w:pPr>
        <w:pStyle w:val="Footnotesection"/>
      </w:pPr>
      <w:bookmarkStart w:id="200" w:name="_Toc103867535"/>
      <w:r>
        <w:tab/>
        <w:t>[Section 66F inserted: No. 14 of 2022 s. 16.]</w:t>
      </w:r>
    </w:p>
    <w:p>
      <w:pPr>
        <w:pStyle w:val="Heading5"/>
      </w:pPr>
      <w:bookmarkStart w:id="201" w:name="_Toc118377750"/>
      <w:r>
        <w:rPr>
          <w:rStyle w:val="CharSectno"/>
        </w:rPr>
        <w:t>66G</w:t>
      </w:r>
      <w:r>
        <w:t>.</w:t>
      </w:r>
      <w:r>
        <w:tab/>
        <w:t>Making early release orders</w:t>
      </w:r>
      <w:bookmarkEnd w:id="200"/>
      <w:bookmarkEnd w:id="201"/>
    </w:p>
    <w:p>
      <w:pPr>
        <w:pStyle w:val="Subsection"/>
      </w:pPr>
      <w:r>
        <w:tab/>
        <w:t>(1)</w:t>
      </w:r>
      <w:r>
        <w:tab/>
        <w:t>The Board must not make a release decision, or take release action, in respect of a prisoner with links to terrorism unless the Board is satisfied that there are exceptional reasons why the prisoner should be released.</w:t>
      </w:r>
    </w:p>
    <w:p>
      <w:pPr>
        <w:pStyle w:val="Subsection"/>
      </w:pPr>
      <w:r>
        <w:tab/>
        <w:t>(2)</w:t>
      </w:r>
      <w:r>
        <w:tab/>
        <w:t xml:space="preserve">The Board must, in making any decision or taking any action for the purposes of subsection (1), have regard to all of the following — </w:t>
      </w:r>
    </w:p>
    <w:p>
      <w:pPr>
        <w:pStyle w:val="Indenta"/>
      </w:pPr>
      <w:r>
        <w:rPr>
          <w:szCs w:val="24"/>
        </w:rPr>
        <w:tab/>
        <w:t>(a)</w:t>
      </w:r>
      <w:r>
        <w:rPr>
          <w:szCs w:val="24"/>
        </w:rPr>
        <w:tab/>
        <w:t>the requirements of section 66B(1);</w:t>
      </w:r>
    </w:p>
    <w:p>
      <w:pPr>
        <w:pStyle w:val="Indenta"/>
      </w:pPr>
      <w:r>
        <w:lastRenderedPageBreak/>
        <w:tab/>
        <w:t>(b)</w:t>
      </w:r>
      <w:r>
        <w:tab/>
        <w:t>the release considerations relating to the prisoner;</w:t>
      </w:r>
    </w:p>
    <w:p>
      <w:pPr>
        <w:pStyle w:val="Indenta"/>
      </w:pPr>
      <w:r>
        <w:tab/>
        <w:t>(c)</w:t>
      </w:r>
      <w:r>
        <w:tab/>
        <w:t>the additional release considerations relating to the prisoner;</w:t>
      </w:r>
    </w:p>
    <w:p>
      <w:pPr>
        <w:pStyle w:val="Indenta"/>
      </w:pPr>
      <w:r>
        <w:tab/>
        <w:t>(d)</w:t>
      </w:r>
      <w:r>
        <w:tab/>
        <w:t>any report about the prisoner made by the CEO under section 17;</w:t>
      </w:r>
    </w:p>
    <w:p>
      <w:pPr>
        <w:pStyle w:val="Indenta"/>
      </w:pPr>
      <w:r>
        <w:tab/>
        <w:t>(e)</w:t>
      </w:r>
      <w:r>
        <w:tab/>
        <w:t>the Commissioner of Police report about the prisoner;</w:t>
      </w:r>
    </w:p>
    <w:p>
      <w:pPr>
        <w:pStyle w:val="Indenta"/>
      </w:pPr>
      <w:r>
        <w:tab/>
        <w:t>(f)</w:t>
      </w:r>
      <w:r>
        <w:tab/>
        <w:t>any other information about the prisoner brought to the attention of the Board.</w:t>
      </w:r>
    </w:p>
    <w:p>
      <w:pPr>
        <w:pStyle w:val="Subsection"/>
      </w:pPr>
      <w:r>
        <w:rPr>
          <w:szCs w:val="24"/>
        </w:rPr>
        <w:tab/>
        <w:t>(3)</w:t>
      </w:r>
      <w:r>
        <w:rPr>
          <w:szCs w:val="24"/>
        </w:rPr>
        <w:tab/>
        <w:t>Subsection (2) does not limit the matters that the Board may have regard to in making a decision or taking action for the purposes of subsection (1), including, for example, a report, advice or professional services provided by a person appointed under section 107A.</w:t>
      </w:r>
    </w:p>
    <w:p>
      <w:pPr>
        <w:pStyle w:val="Subsection"/>
      </w:pPr>
      <w:r>
        <w:tab/>
        <w:t>(4)</w:t>
      </w:r>
      <w:r>
        <w:tab/>
        <w:t>Despite subsections (2) and (3), the Board must not have regard to a Commissioner of Police report about the prisoner if the report has been withdrawn under section 66I(2).</w:t>
      </w:r>
    </w:p>
    <w:p>
      <w:pPr>
        <w:pStyle w:val="Footnotesection"/>
      </w:pPr>
      <w:bookmarkStart w:id="202" w:name="_Toc103867536"/>
      <w:r>
        <w:tab/>
        <w:t>[Section 66G inserted: No. 14 of 2022 s. 16.]</w:t>
      </w:r>
    </w:p>
    <w:p>
      <w:pPr>
        <w:pStyle w:val="Heading5"/>
      </w:pPr>
      <w:bookmarkStart w:id="203" w:name="_Toc118377751"/>
      <w:r>
        <w:rPr>
          <w:rStyle w:val="CharSectno"/>
        </w:rPr>
        <w:t>66H</w:t>
      </w:r>
      <w:r>
        <w:t>.</w:t>
      </w:r>
      <w:r>
        <w:tab/>
        <w:t>Commissioner of Police reports</w:t>
      </w:r>
      <w:bookmarkEnd w:id="202"/>
      <w:bookmarkEnd w:id="203"/>
    </w:p>
    <w:p>
      <w:pPr>
        <w:pStyle w:val="Subsection"/>
      </w:pPr>
      <w:r>
        <w:tab/>
        <w:t>(1)</w:t>
      </w:r>
      <w:r>
        <w:tab/>
        <w:t xml:space="preserve">If the Board is </w:t>
      </w:r>
      <w:r>
        <w:rPr>
          <w:szCs w:val="24"/>
        </w:rPr>
        <w:t>required to consider whether to make a release decision, or take release action, in respect of a category 1 prisoner, the Board must make a written request to the Commissioner of Police for a written report about the prisoner.</w:t>
      </w:r>
    </w:p>
    <w:p>
      <w:pPr>
        <w:pStyle w:val="Subsection"/>
        <w:rPr>
          <w:szCs w:val="24"/>
        </w:rPr>
      </w:pPr>
      <w:r>
        <w:tab/>
        <w:t>(2)</w:t>
      </w:r>
      <w:r>
        <w:tab/>
      </w:r>
      <w:r>
        <w:rPr>
          <w:szCs w:val="24"/>
        </w:rPr>
        <w:t>The report must deal with the additional release considerations relating to the prisoner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prisoner should be released; and</w:t>
      </w:r>
    </w:p>
    <w:p>
      <w:pPr>
        <w:pStyle w:val="Indenta"/>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lastRenderedPageBreak/>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prisoner.</w:t>
      </w:r>
    </w:p>
    <w:p>
      <w:pPr>
        <w:pStyle w:val="Footnotesection"/>
      </w:pPr>
      <w:bookmarkStart w:id="204" w:name="_Toc103867537"/>
      <w:r>
        <w:tab/>
        <w:t>[Section 66H inserted: No. 14 of 2022 s. 16.]</w:t>
      </w:r>
    </w:p>
    <w:p>
      <w:pPr>
        <w:pStyle w:val="Heading5"/>
      </w:pPr>
      <w:bookmarkStart w:id="205" w:name="_Toc118377752"/>
      <w:r>
        <w:rPr>
          <w:rStyle w:val="CharSectno"/>
        </w:rPr>
        <w:t>66I</w:t>
      </w:r>
      <w:r>
        <w:t>.</w:t>
      </w:r>
      <w:r>
        <w:tab/>
        <w:t>Withdrawing Commissioner of Police reports</w:t>
      </w:r>
      <w:bookmarkEnd w:id="204"/>
      <w:bookmarkEnd w:id="205"/>
      <w:r>
        <w:t xml:space="preserve"> </w:t>
      </w:r>
    </w:p>
    <w:p>
      <w:pPr>
        <w:pStyle w:val="Subsection"/>
      </w:pPr>
      <w:r>
        <w:tab/>
        <w:t>(1)</w:t>
      </w:r>
      <w:r>
        <w:tab/>
        <w:t xml:space="preserve">This section applies if the Board, as constituted by the chairperson alone — </w:t>
      </w:r>
    </w:p>
    <w:p>
      <w:pPr>
        <w:pStyle w:val="Indenta"/>
      </w:pPr>
      <w:r>
        <w:tab/>
        <w:t>(a)</w:t>
      </w:r>
      <w:r>
        <w:tab/>
        <w:t>is satisfied that a prisoner subject to a Commissioner of Police report is not a prisoner with links to terrorism; or</w:t>
      </w:r>
    </w:p>
    <w:p>
      <w:pPr>
        <w:pStyle w:val="Indenta"/>
        <w:rPr>
          <w:szCs w:val="24"/>
        </w:rPr>
      </w:pPr>
      <w:r>
        <w:tab/>
        <w:t>(b)</w:t>
      </w:r>
      <w:r>
        <w:tab/>
        <w:t xml:space="preserve">after consulting with the Commissioner of Police, is satisfied that a Commissioner of Police report about a prisoner does not include </w:t>
      </w:r>
      <w:r>
        <w:rPr>
          <w:szCs w:val="24"/>
        </w:rPr>
        <w:t>terrorist intelligence information.</w:t>
      </w:r>
    </w:p>
    <w:p>
      <w:pPr>
        <w:pStyle w:val="Subsection"/>
      </w:pPr>
      <w:r>
        <w:tab/>
        <w:t>(2)</w:t>
      </w:r>
      <w:r>
        <w:tab/>
        <w:t>Before the Board makes a release decision or takes release action in respect of the prisoner, the Board, as constituted by the chairperson alone, must give the Commissioner of Police an opportunity to withdraw the report.</w:t>
      </w:r>
    </w:p>
    <w:p>
      <w:pPr>
        <w:pStyle w:val="Subsection"/>
      </w:pPr>
      <w:r>
        <w:tab/>
        <w:t>(3)</w:t>
      </w:r>
      <w:r>
        <w:tab/>
        <w:t xml:space="preserve">If the report is withdrawn under subsection (2), the Board — </w:t>
      </w:r>
    </w:p>
    <w:p>
      <w:pPr>
        <w:pStyle w:val="Indenta"/>
      </w:pPr>
      <w:r>
        <w:tab/>
        <w:t>(a)</w:t>
      </w:r>
      <w:r>
        <w:tab/>
        <w:t xml:space="preserve">must not </w:t>
      </w:r>
      <w:r>
        <w:rPr>
          <w:szCs w:val="24"/>
        </w:rPr>
        <w:t>have regard to the report</w:t>
      </w:r>
      <w:r>
        <w:t xml:space="preserve"> for the purposes of making the release decision or taking the release action in respect of the prisoner; and </w:t>
      </w:r>
    </w:p>
    <w:p>
      <w:pPr>
        <w:pStyle w:val="Indenta"/>
      </w:pPr>
      <w:r>
        <w:tab/>
        <w:t>(b)</w:t>
      </w:r>
      <w:r>
        <w:tab/>
        <w:t>must prohibit the publication of, or a reference to, the report.</w:t>
      </w:r>
    </w:p>
    <w:p>
      <w:pPr>
        <w:pStyle w:val="Footnotesection"/>
      </w:pPr>
      <w:bookmarkStart w:id="206" w:name="_Toc103854021"/>
      <w:bookmarkStart w:id="207" w:name="_Toc103854112"/>
      <w:bookmarkStart w:id="208" w:name="_Toc103854203"/>
      <w:bookmarkStart w:id="209" w:name="_Toc103867538"/>
      <w:r>
        <w:tab/>
        <w:t>[Section 66I inserted: No. 14 of 2022 s. 16.]</w:t>
      </w:r>
    </w:p>
    <w:p>
      <w:pPr>
        <w:pStyle w:val="Heading4"/>
      </w:pPr>
      <w:bookmarkStart w:id="210" w:name="_Toc118365131"/>
      <w:bookmarkStart w:id="211" w:name="_Toc118377036"/>
      <w:bookmarkStart w:id="212" w:name="_Toc118377753"/>
      <w:r>
        <w:lastRenderedPageBreak/>
        <w:t>Subdivision 3 — Early release orders for other prisoners subject to Commissioner of Police reports</w:t>
      </w:r>
      <w:bookmarkEnd w:id="206"/>
      <w:bookmarkEnd w:id="207"/>
      <w:bookmarkEnd w:id="208"/>
      <w:bookmarkEnd w:id="209"/>
      <w:bookmarkEnd w:id="210"/>
      <w:bookmarkEnd w:id="211"/>
      <w:bookmarkEnd w:id="212"/>
    </w:p>
    <w:p>
      <w:pPr>
        <w:pStyle w:val="Footnoteheading"/>
        <w:keepNext/>
      </w:pPr>
      <w:bookmarkStart w:id="213" w:name="_Toc103867539"/>
      <w:r>
        <w:tab/>
        <w:t>[Heading inserted: No. 14 of 2022 s. 16.]</w:t>
      </w:r>
    </w:p>
    <w:p>
      <w:pPr>
        <w:pStyle w:val="Heading5"/>
      </w:pPr>
      <w:bookmarkStart w:id="214" w:name="_Toc118377754"/>
      <w:r>
        <w:rPr>
          <w:rStyle w:val="CharSectno"/>
        </w:rPr>
        <w:t>66J</w:t>
      </w:r>
      <w:r>
        <w:t>.</w:t>
      </w:r>
      <w:r>
        <w:tab/>
        <w:t>Term used: prisoner</w:t>
      </w:r>
      <w:bookmarkEnd w:id="213"/>
      <w:bookmarkEnd w:id="214"/>
    </w:p>
    <w:p>
      <w:pPr>
        <w:pStyle w:val="Subsection"/>
        <w:keepNext/>
      </w:pPr>
      <w:r>
        <w:tab/>
      </w:r>
      <w:r>
        <w:tab/>
        <w:t>In this Subdivision —</w:t>
      </w:r>
    </w:p>
    <w:p>
      <w:pPr>
        <w:pStyle w:val="Defstart"/>
        <w:keepNext/>
      </w:pPr>
      <w:r>
        <w:tab/>
      </w:r>
      <w:r>
        <w:rPr>
          <w:rStyle w:val="CharDefText"/>
        </w:rPr>
        <w:t>prisoner</w:t>
      </w:r>
      <w:r>
        <w:t xml:space="preserve"> does not include a prisoner with links to terrorism.</w:t>
      </w:r>
    </w:p>
    <w:p>
      <w:pPr>
        <w:pStyle w:val="Footnotesection"/>
      </w:pPr>
      <w:bookmarkStart w:id="215" w:name="_Toc103867540"/>
      <w:r>
        <w:tab/>
        <w:t>[Section 66J inserted: No. 14 of 2022 s. 16.]</w:t>
      </w:r>
    </w:p>
    <w:p>
      <w:pPr>
        <w:pStyle w:val="Heading5"/>
      </w:pPr>
      <w:bookmarkStart w:id="216" w:name="_Toc118377755"/>
      <w:r>
        <w:rPr>
          <w:rStyle w:val="CharSectno"/>
        </w:rPr>
        <w:t>66K</w:t>
      </w:r>
      <w:r>
        <w:t>.</w:t>
      </w:r>
      <w:r>
        <w:tab/>
        <w:t>Releasing prisoners subject to Commissioner of Police report on parole</w:t>
      </w:r>
      <w:bookmarkEnd w:id="215"/>
      <w:bookmarkEnd w:id="216"/>
      <w:r>
        <w:t xml:space="preserve"> </w:t>
      </w:r>
    </w:p>
    <w:p>
      <w:pPr>
        <w:pStyle w:val="Subsection"/>
      </w:pPr>
      <w:r>
        <w:tab/>
        <w:t>(1)</w:t>
      </w:r>
      <w:r>
        <w:tab/>
        <w:t xml:space="preserve">This section applies if — </w:t>
      </w:r>
    </w:p>
    <w:p>
      <w:pPr>
        <w:pStyle w:val="Indenta"/>
      </w:pPr>
      <w:r>
        <w:tab/>
        <w:t>(a)</w:t>
      </w:r>
      <w:r>
        <w:tab/>
        <w:t xml:space="preserve">the Board is required to consider whether to release a prisoner on parole under section 20(1); and </w:t>
      </w:r>
    </w:p>
    <w:p>
      <w:pPr>
        <w:pStyle w:val="Indenta"/>
      </w:pPr>
      <w:r>
        <w:tab/>
        <w:t>(b)</w:t>
      </w:r>
      <w:r>
        <w:tab/>
        <w:t xml:space="preserve">the prisoner is subject to a Commissioner of Police report that the Board, as constituted by the chairperson alone, is satisfied includes terrorist intelligence information. </w:t>
      </w:r>
    </w:p>
    <w:p>
      <w:pPr>
        <w:pStyle w:val="Subsection"/>
      </w:pPr>
      <w:r>
        <w:tab/>
        <w:t>(2)</w:t>
      </w:r>
      <w:r>
        <w:tab/>
        <w:t>The Board, as constituted by the chairperson alone, must decide whether to release the prisoner in accordance with section 20.</w:t>
      </w:r>
    </w:p>
    <w:p>
      <w:pPr>
        <w:pStyle w:val="Footnotesection"/>
      </w:pPr>
      <w:bookmarkStart w:id="217" w:name="_Toc103867541"/>
      <w:r>
        <w:tab/>
        <w:t>[Section 66K inserted: No. 14 of 2022 s. 16.]</w:t>
      </w:r>
    </w:p>
    <w:p>
      <w:pPr>
        <w:pStyle w:val="Heading5"/>
      </w:pPr>
      <w:bookmarkStart w:id="218" w:name="_Toc118377756"/>
      <w:r>
        <w:rPr>
          <w:rStyle w:val="CharSectno"/>
        </w:rPr>
        <w:t>66L</w:t>
      </w:r>
      <w:r>
        <w:t>.</w:t>
      </w:r>
      <w:r>
        <w:tab/>
        <w:t>Making parole order in respect of prisoner subject to Commissioner of Police report</w:t>
      </w:r>
      <w:bookmarkEnd w:id="217"/>
      <w:bookmarkEnd w:id="218"/>
      <w:r>
        <w:t xml:space="preserve"> </w:t>
      </w:r>
    </w:p>
    <w:p>
      <w:pPr>
        <w:pStyle w:val="Subsection"/>
      </w:pPr>
      <w:r>
        <w:tab/>
        <w:t>(1)</w:t>
      </w:r>
      <w:r>
        <w:tab/>
        <w:t xml:space="preserve">This section applies if — </w:t>
      </w:r>
    </w:p>
    <w:p>
      <w:pPr>
        <w:pStyle w:val="Indenta"/>
      </w:pPr>
      <w:r>
        <w:tab/>
        <w:t>(a)</w:t>
      </w:r>
      <w:r>
        <w:tab/>
        <w:t xml:space="preserve">the Board is required to decide whether to make a parole order in respect of a prisoner under section 23(3)(a);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keepNext/>
      </w:pPr>
      <w:r>
        <w:lastRenderedPageBreak/>
        <w:tab/>
        <w:t>(2)</w:t>
      </w:r>
      <w:r>
        <w:tab/>
        <w:t>The Board, as constituted by the chairperson alone, must decide whether to make the order in accordance with section 23.</w:t>
      </w:r>
    </w:p>
    <w:p>
      <w:pPr>
        <w:pStyle w:val="Footnotesection"/>
      </w:pPr>
      <w:bookmarkStart w:id="219" w:name="_Toc103867542"/>
      <w:r>
        <w:tab/>
        <w:t>[Section 66L inserted: No. 14 of 2022 s. 16.]</w:t>
      </w:r>
    </w:p>
    <w:p>
      <w:pPr>
        <w:pStyle w:val="Heading5"/>
      </w:pPr>
      <w:bookmarkStart w:id="220" w:name="_Toc118377757"/>
      <w:r>
        <w:rPr>
          <w:rStyle w:val="CharSectno"/>
        </w:rPr>
        <w:t>66M</w:t>
      </w:r>
      <w:r>
        <w:t>.</w:t>
      </w:r>
      <w:r>
        <w:tab/>
        <w:t>Making RRO in respect of prisoners subject to Commissioner of Police report</w:t>
      </w:r>
      <w:bookmarkEnd w:id="219"/>
      <w:bookmarkEnd w:id="220"/>
      <w:r>
        <w:t xml:space="preserve"> </w:t>
      </w:r>
    </w:p>
    <w:p>
      <w:pPr>
        <w:pStyle w:val="Subsection"/>
      </w:pPr>
      <w:r>
        <w:tab/>
        <w:t>(1)</w:t>
      </w:r>
      <w:r>
        <w:tab/>
        <w:t xml:space="preserve">This section applies if — </w:t>
      </w:r>
    </w:p>
    <w:p>
      <w:pPr>
        <w:pStyle w:val="Indenta"/>
      </w:pPr>
      <w:r>
        <w:tab/>
        <w:t>(a)</w:t>
      </w:r>
      <w:r>
        <w:tab/>
        <w:t xml:space="preserve">the Board is required to consider whether to make, or defer the making of, an RRO in respect of a prisoner under section 52(1);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pPr>
      <w:r>
        <w:tab/>
        <w:t>(2)</w:t>
      </w:r>
      <w:r>
        <w:tab/>
        <w:t xml:space="preserve">The Board, as constituted by the chairperson alone, must decide whether to make, or defer the making of, the RRO in accordance with section 52. </w:t>
      </w:r>
    </w:p>
    <w:p>
      <w:pPr>
        <w:pStyle w:val="Footnotesection"/>
      </w:pPr>
      <w:r>
        <w:tab/>
        <w:t>[Section 66M inserted: No. 14 of 2022 s. 16.]</w:t>
      </w:r>
    </w:p>
    <w:p>
      <w:pPr>
        <w:pStyle w:val="Heading3"/>
      </w:pPr>
      <w:bookmarkStart w:id="221" w:name="_Toc118365136"/>
      <w:bookmarkStart w:id="222" w:name="_Toc118377041"/>
      <w:bookmarkStart w:id="223" w:name="_Toc118377758"/>
      <w:r>
        <w:rPr>
          <w:rStyle w:val="CharDivNo"/>
        </w:rPr>
        <w:t>Division 2</w:t>
      </w:r>
      <w:r>
        <w:t xml:space="preserve"> — </w:t>
      </w:r>
      <w:r>
        <w:rPr>
          <w:rStyle w:val="CharDivText"/>
        </w:rPr>
        <w:t>Automatic cancellation</w:t>
      </w:r>
      <w:bookmarkEnd w:id="179"/>
      <w:bookmarkEnd w:id="221"/>
      <w:bookmarkEnd w:id="222"/>
      <w:bookmarkEnd w:id="223"/>
    </w:p>
    <w:p>
      <w:pPr>
        <w:pStyle w:val="Heading5"/>
      </w:pPr>
      <w:bookmarkStart w:id="224" w:name="_Toc103867544"/>
      <w:bookmarkStart w:id="225" w:name="_Toc118377759"/>
      <w:r>
        <w:rPr>
          <w:rStyle w:val="CharSectno"/>
        </w:rPr>
        <w:t>67A</w:t>
      </w:r>
      <w:r>
        <w:t>.</w:t>
      </w:r>
      <w:r>
        <w:tab/>
        <w:t>Cancellation automatic in case of prisoner with links to terrorism</w:t>
      </w:r>
      <w:bookmarkEnd w:id="224"/>
      <w:bookmarkEnd w:id="225"/>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The Board must cancel an early release order in respect of any of the following prisoners —</w:t>
      </w:r>
    </w:p>
    <w:p>
      <w:pPr>
        <w:pStyle w:val="Indenta"/>
      </w:pPr>
      <w:r>
        <w:tab/>
        <w:t>(a)</w:t>
      </w:r>
      <w:r>
        <w:tab/>
        <w:t>a prisoner who, during the period the prisoner is subject to the early release order —</w:t>
      </w:r>
    </w:p>
    <w:p>
      <w:pPr>
        <w:pStyle w:val="Indenti"/>
      </w:pPr>
      <w:r>
        <w:tab/>
        <w:t>(i)</w:t>
      </w:r>
      <w:r>
        <w:tab/>
      </w:r>
      <w:r>
        <w:rPr>
          <w:szCs w:val="24"/>
        </w:rPr>
        <w:t>is charged with, or convicted of, a terrorism offence; or</w:t>
      </w:r>
    </w:p>
    <w:p>
      <w:pPr>
        <w:pStyle w:val="Indenti"/>
      </w:pPr>
      <w:r>
        <w:lastRenderedPageBreak/>
        <w:tab/>
        <w:t>(ii)</w:t>
      </w:r>
      <w:r>
        <w:tab/>
      </w:r>
      <w:r>
        <w:rPr>
          <w:szCs w:val="24"/>
        </w:rPr>
        <w:t xml:space="preserve">is </w:t>
      </w:r>
      <w:r>
        <w:t xml:space="preserve">charged with, or convicted of, an offence against the </w:t>
      </w:r>
      <w:r>
        <w:rPr>
          <w:i/>
        </w:rPr>
        <w:t>Commonwealth Criminal Code</w:t>
      </w:r>
      <w:r>
        <w:t xml:space="preserv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w:t>
      </w:r>
    </w:p>
    <w:p>
      <w:pPr>
        <w:pStyle w:val="Indenta"/>
      </w:pPr>
      <w:r>
        <w:tab/>
        <w:t>(b)</w:t>
      </w:r>
      <w:r>
        <w:tab/>
        <w:t xml:space="preserve">a prisoner for whom, during the period the prisoner is subject to the early release order, an interim control order is being sought under the </w:t>
      </w:r>
      <w:r>
        <w:rPr>
          <w:szCs w:val="24"/>
        </w:rPr>
        <w:t>Commonwealth Criminal Code section 104.3(1)</w:t>
      </w:r>
      <w:r>
        <w:t xml:space="preserve">; </w:t>
      </w:r>
    </w:p>
    <w:p>
      <w:pPr>
        <w:pStyle w:val="Indenta"/>
        <w:rPr>
          <w:szCs w:val="24"/>
        </w:rPr>
      </w:pPr>
      <w:r>
        <w:tab/>
        <w:t>(c)</w:t>
      </w:r>
      <w:r>
        <w:tab/>
        <w:t>a</w:t>
      </w:r>
      <w:r>
        <w:rPr>
          <w:szCs w:val="24"/>
        </w:rPr>
        <w:t xml:space="preserve"> prisoner who the Board is satisfied — </w:t>
      </w:r>
    </w:p>
    <w:p>
      <w:pPr>
        <w:pStyle w:val="Indenti"/>
      </w:pPr>
      <w:r>
        <w:rPr>
          <w:szCs w:val="24"/>
        </w:rPr>
        <w:tab/>
        <w:t>(i)</w:t>
      </w:r>
      <w:r>
        <w:rPr>
          <w:szCs w:val="24"/>
        </w:rPr>
        <w:tab/>
        <w:t xml:space="preserve">at the time that the early release order in respect of the prisoner was made, </w:t>
      </w:r>
      <w:r>
        <w:t>was a category 1 prisoner or a category 2 prisoner;</w:t>
      </w:r>
      <w:r>
        <w:rPr>
          <w:szCs w:val="24"/>
        </w:rPr>
        <w:t xml:space="preserve"> and</w:t>
      </w:r>
      <w:r>
        <w:t xml:space="preserve"> </w:t>
      </w:r>
    </w:p>
    <w:p>
      <w:pPr>
        <w:pStyle w:val="Indenti"/>
      </w:pPr>
      <w:r>
        <w:tab/>
        <w:t>(ii)</w:t>
      </w:r>
      <w:r>
        <w:tab/>
        <w:t>in respect of whom, this fact was not known by the person who made the order at the time that the order was made.</w:t>
      </w:r>
    </w:p>
    <w:p>
      <w:pPr>
        <w:pStyle w:val="Footnotesection"/>
      </w:pPr>
      <w:r>
        <w:tab/>
        <w:t>[Section 67A inserted: No. 14 of 2022 s. 17.]</w:t>
      </w:r>
    </w:p>
    <w:p>
      <w:pPr>
        <w:pStyle w:val="Heading5"/>
      </w:pPr>
      <w:bookmarkStart w:id="226" w:name="_Toc118377760"/>
      <w:r>
        <w:rPr>
          <w:rStyle w:val="CharSectno"/>
        </w:rPr>
        <w:t>67</w:t>
      </w:r>
      <w:r>
        <w:t>.</w:t>
      </w:r>
      <w:r>
        <w:tab/>
        <w:t>Cancellation automatic if prisoner imprisoned for offence committed on early release order</w:t>
      </w:r>
      <w:bookmarkEnd w:id="226"/>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 xml:space="preserve">any early release order made in respect of the prisoner on or after the date on which the offence was committed and before the sentence of imprisonment was imposed is </w:t>
      </w:r>
      <w:r>
        <w:lastRenderedPageBreak/>
        <w:t>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27" w:name="_Toc118361506"/>
      <w:bookmarkStart w:id="228" w:name="_Toc118365139"/>
      <w:bookmarkStart w:id="229" w:name="_Toc118377044"/>
      <w:bookmarkStart w:id="230" w:name="_Toc118377761"/>
      <w:r>
        <w:rPr>
          <w:rStyle w:val="CharDivNo"/>
        </w:rPr>
        <w:t>Division 3</w:t>
      </w:r>
      <w:r>
        <w:t xml:space="preserve"> — </w:t>
      </w:r>
      <w:r>
        <w:rPr>
          <w:rStyle w:val="CharDivText"/>
        </w:rPr>
        <w:t>Consequences of suspension and cancellation</w:t>
      </w:r>
      <w:bookmarkEnd w:id="227"/>
      <w:bookmarkEnd w:id="228"/>
      <w:bookmarkEnd w:id="229"/>
      <w:bookmarkEnd w:id="230"/>
    </w:p>
    <w:p>
      <w:pPr>
        <w:pStyle w:val="Heading5"/>
      </w:pPr>
      <w:bookmarkStart w:id="231" w:name="_Toc118377762"/>
      <w:r>
        <w:rPr>
          <w:rStyle w:val="CharSectno"/>
        </w:rPr>
        <w:t>68</w:t>
      </w:r>
      <w:r>
        <w:t>.</w:t>
      </w:r>
      <w:r>
        <w:tab/>
        <w:t>Suspension, effect of</w:t>
      </w:r>
      <w:bookmarkEnd w:id="231"/>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232" w:name="_Toc118377763"/>
      <w:r>
        <w:rPr>
          <w:rStyle w:val="CharSectno"/>
        </w:rPr>
        <w:lastRenderedPageBreak/>
        <w:t>69</w:t>
      </w:r>
      <w:r>
        <w:t>.</w:t>
      </w:r>
      <w:r>
        <w:tab/>
        <w:t>Cancellation, effect of</w:t>
      </w:r>
      <w:bookmarkEnd w:id="232"/>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lastRenderedPageBreak/>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233" w:name="_Toc118377764"/>
      <w:r>
        <w:rPr>
          <w:rStyle w:val="CharSectno"/>
        </w:rPr>
        <w:t>70</w:t>
      </w:r>
      <w:r>
        <w:t>.</w:t>
      </w:r>
      <w:r>
        <w:tab/>
        <w:t>Returning prisoner to custody</w:t>
      </w:r>
      <w:bookmarkEnd w:id="233"/>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lastRenderedPageBreak/>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234" w:name="_Toc118377765"/>
      <w:r>
        <w:rPr>
          <w:rStyle w:val="CharSectno"/>
        </w:rPr>
        <w:t>71</w:t>
      </w:r>
      <w:r>
        <w:t>.</w:t>
      </w:r>
      <w:r>
        <w:tab/>
        <w:t>Clean street time counts as time served</w:t>
      </w:r>
      <w:bookmarkEnd w:id="234"/>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lastRenderedPageBreak/>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 xml:space="preserve">if it is cancelled by virtue of section 67 or 67A — </w:t>
      </w:r>
    </w:p>
    <w:p>
      <w:pPr>
        <w:pStyle w:val="Indenti"/>
      </w:pPr>
      <w:r>
        <w:tab/>
        <w:t>(i)</w:t>
      </w:r>
      <w:r>
        <w:tab/>
        <w:t>the day when the offence that resulted in the charge or conviction was committed; or</w:t>
      </w:r>
    </w:p>
    <w:p>
      <w:pPr>
        <w:pStyle w:val="Indenti"/>
      </w:pPr>
      <w:r>
        <w:tab/>
        <w:t>(ii)</w:t>
      </w:r>
      <w:r>
        <w:tab/>
        <w:t>the day when the prisoner became subject to the interim control order or confirmed control order; or</w:t>
      </w:r>
    </w:p>
    <w:p>
      <w:pPr>
        <w:pStyle w:val="Indenti"/>
      </w:pPr>
      <w:r>
        <w:tab/>
        <w:t>(iii)</w:t>
      </w:r>
      <w:r>
        <w:tab/>
        <w:t>the day when the interim control order or confirmed control order was sought in respect of the prisoner; or</w:t>
      </w:r>
    </w:p>
    <w:p>
      <w:pPr>
        <w:pStyle w:val="Indenti"/>
      </w:pPr>
      <w:r>
        <w:tab/>
        <w:t>(iv)</w:t>
      </w:r>
      <w:r>
        <w:tab/>
        <w:t>the day when the Board’s decision that resulted in the cancellation was made.</w:t>
      </w:r>
    </w:p>
    <w:p>
      <w:pPr>
        <w:pStyle w:val="Subsection"/>
      </w:pPr>
      <w:r>
        <w:tab/>
        <w:t>(3A)</w:t>
      </w:r>
      <w:r>
        <w:tab/>
        <w:t>If the day when an offence was committed cannot be ascertained — the day is taken, for the purposes of subsection (3)(b)(i), to be the latest day on which that offence could have been committed, as determined by the CEO.</w:t>
      </w:r>
    </w:p>
    <w:p>
      <w:pPr>
        <w:pStyle w:val="Subsection"/>
        <w:keepNext/>
      </w:pPr>
      <w:r>
        <w:tab/>
        <w:t>(4)</w:t>
      </w:r>
      <w:r>
        <w:tab/>
        <w:t>For the purposes of subsection (2), the day when an early release order is suspended is the day of the decision to suspend the order.</w:t>
      </w:r>
    </w:p>
    <w:p>
      <w:pPr>
        <w:pStyle w:val="Footnotesection"/>
      </w:pPr>
      <w:r>
        <w:tab/>
        <w:t>[Section 71 amended: No. 41 of 2006 s. 51; No. 14 of 2022 s. 18.]</w:t>
      </w:r>
    </w:p>
    <w:p>
      <w:pPr>
        <w:pStyle w:val="Heading3"/>
      </w:pPr>
      <w:bookmarkStart w:id="235" w:name="_Toc118361511"/>
      <w:bookmarkStart w:id="236" w:name="_Toc118365144"/>
      <w:bookmarkStart w:id="237" w:name="_Toc118377049"/>
      <w:bookmarkStart w:id="238" w:name="_Toc118377766"/>
      <w:r>
        <w:rPr>
          <w:rStyle w:val="CharDivNo"/>
        </w:rPr>
        <w:lastRenderedPageBreak/>
        <w:t>Division 4</w:t>
      </w:r>
      <w:r>
        <w:t xml:space="preserve"> — </w:t>
      </w:r>
      <w:r>
        <w:rPr>
          <w:rStyle w:val="CharDivText"/>
        </w:rPr>
        <w:t>Re</w:t>
      </w:r>
      <w:r>
        <w:rPr>
          <w:rStyle w:val="CharDivText"/>
        </w:rPr>
        <w:noBreakHyphen/>
        <w:t>release after cancellation</w:t>
      </w:r>
      <w:bookmarkEnd w:id="235"/>
      <w:bookmarkEnd w:id="236"/>
      <w:bookmarkEnd w:id="237"/>
      <w:bookmarkEnd w:id="238"/>
    </w:p>
    <w:p>
      <w:pPr>
        <w:pStyle w:val="Heading5"/>
      </w:pPr>
      <w:bookmarkStart w:id="239" w:name="_Toc118377767"/>
      <w:r>
        <w:rPr>
          <w:rStyle w:val="CharSectno"/>
        </w:rPr>
        <w:t>72</w:t>
      </w:r>
      <w:r>
        <w:t>.</w:t>
      </w:r>
      <w:r>
        <w:tab/>
        <w:t>Re</w:t>
      </w:r>
      <w:r>
        <w:noBreakHyphen/>
        <w:t>release after cancellation of order made by Board</w:t>
      </w:r>
      <w:bookmarkEnd w:id="239"/>
    </w:p>
    <w:p>
      <w:pPr>
        <w:pStyle w:val="Subsection"/>
        <w:keepNext/>
      </w:pPr>
      <w:r>
        <w:tab/>
        <w:t>(1)</w:t>
      </w:r>
      <w:r>
        <w:tab/>
        <w:t>If an early release order made by the Board —</w:t>
      </w:r>
    </w:p>
    <w:p>
      <w:pPr>
        <w:pStyle w:val="Indenta"/>
      </w:pPr>
      <w:r>
        <w:tab/>
        <w:t>(a)</w:t>
      </w:r>
      <w:r>
        <w:tab/>
        <w:t>is cancelled under section 43, 44 or 63; or</w:t>
      </w:r>
    </w:p>
    <w:p>
      <w:pPr>
        <w:pStyle w:val="Indenta"/>
        <w:keepNext/>
      </w:pPr>
      <w:r>
        <w:tab/>
        <w:t>(b)</w:t>
      </w:r>
      <w:r>
        <w:tab/>
        <w:t>is cancelled by virtue of section 67 or under section 67A(2),</w:t>
      </w:r>
    </w:p>
    <w:p>
      <w:pPr>
        <w:pStyle w:val="Subsection"/>
      </w:pPr>
      <w:r>
        <w:tab/>
      </w:r>
      <w:r>
        <w:tab/>
        <w:t>then the Board may, subject to Parts 3 and 4, subsequently make another early release order in respect of the prisoner.</w:t>
      </w:r>
    </w:p>
    <w:p>
      <w:pPr>
        <w:pStyle w:val="Subsection"/>
        <w:keepNext/>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 No. 14 of 2022 s. 19.]</w:t>
      </w:r>
    </w:p>
    <w:p>
      <w:pPr>
        <w:pStyle w:val="Heading5"/>
      </w:pPr>
      <w:bookmarkStart w:id="240" w:name="_Toc118377768"/>
      <w:r>
        <w:rPr>
          <w:rStyle w:val="CharSectno"/>
        </w:rPr>
        <w:t>73</w:t>
      </w:r>
      <w:r>
        <w:t>.</w:t>
      </w:r>
      <w:r>
        <w:tab/>
        <w:t>Re</w:t>
      </w:r>
      <w:r>
        <w:noBreakHyphen/>
        <w:t>release after cancellation of parole order made by Governor</w:t>
      </w:r>
      <w:bookmarkEnd w:id="240"/>
    </w:p>
    <w:p>
      <w:pPr>
        <w:pStyle w:val="Subsection"/>
      </w:pPr>
      <w:r>
        <w:tab/>
        <w:t>(1)</w:t>
      </w:r>
      <w:r>
        <w:tab/>
        <w:t>If a parole order made by the Governor is cancelled under section 43 or 44 or by virtue of section 67 or under section 67A(2), the Governor may subsequently make another parole order in respect of the prisoner.</w:t>
      </w:r>
    </w:p>
    <w:p>
      <w:pPr>
        <w:pStyle w:val="Subsection"/>
        <w:keepNext/>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 No. 14 of 2022 s. 20.]</w:t>
      </w:r>
    </w:p>
    <w:p>
      <w:pPr>
        <w:pStyle w:val="Heading5"/>
      </w:pPr>
      <w:bookmarkStart w:id="241" w:name="_Toc118377769"/>
      <w:r>
        <w:rPr>
          <w:rStyle w:val="CharSectno"/>
        </w:rPr>
        <w:t>74</w:t>
      </w:r>
      <w:r>
        <w:t>.</w:t>
      </w:r>
      <w:r>
        <w:tab/>
        <w:t>Parole period under new parole order deemed to be time served</w:t>
      </w:r>
      <w:bookmarkEnd w:id="241"/>
    </w:p>
    <w:p>
      <w:pPr>
        <w:pStyle w:val="Subsection"/>
        <w:keepNext/>
      </w:pPr>
      <w:r>
        <w:tab/>
      </w:r>
      <w:r>
        <w:tab/>
        <w:t>If —</w:t>
      </w:r>
    </w:p>
    <w:p>
      <w:pPr>
        <w:pStyle w:val="Indenta"/>
      </w:pPr>
      <w:r>
        <w:tab/>
        <w:t>(a)</w:t>
      </w:r>
      <w:r>
        <w:tab/>
        <w:t>for the purposes of section 72 or 73 a parole order is made in respect of a prisoner; and</w:t>
      </w:r>
    </w:p>
    <w:p>
      <w:pPr>
        <w:pStyle w:val="Indenta"/>
      </w:pPr>
      <w:r>
        <w:lastRenderedPageBreak/>
        <w:tab/>
        <w:t>(b)</w:t>
      </w:r>
      <w:r>
        <w:tab/>
        <w:t>the Board does not cancel the parole order under Part 3 Division 10; and</w:t>
      </w:r>
    </w:p>
    <w:p>
      <w:pPr>
        <w:pStyle w:val="Indenta"/>
        <w:keepNext/>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keepNext/>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242" w:name="_Toc118361515"/>
      <w:bookmarkStart w:id="243" w:name="_Toc118365148"/>
      <w:bookmarkStart w:id="244" w:name="_Toc118377053"/>
      <w:bookmarkStart w:id="245" w:name="_Toc118377770"/>
      <w:r>
        <w:rPr>
          <w:rStyle w:val="CharPartNo"/>
        </w:rPr>
        <w:lastRenderedPageBreak/>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242"/>
      <w:bookmarkEnd w:id="243"/>
      <w:bookmarkEnd w:id="244"/>
      <w:bookmarkEnd w:id="245"/>
    </w:p>
    <w:p>
      <w:pPr>
        <w:pStyle w:val="Footnoteheading"/>
      </w:pPr>
      <w:r>
        <w:tab/>
        <w:t>[Heading inserted: No. 45 of 2016 s. 25.]</w:t>
      </w:r>
    </w:p>
    <w:p>
      <w:pPr>
        <w:pStyle w:val="Heading5"/>
      </w:pPr>
      <w:bookmarkStart w:id="246" w:name="_Toc118377771"/>
      <w:r>
        <w:rPr>
          <w:rStyle w:val="CharSectno"/>
        </w:rPr>
        <w:t>74A</w:t>
      </w:r>
      <w:r>
        <w:t>.</w:t>
      </w:r>
      <w:r>
        <w:tab/>
        <w:t>Terms used</w:t>
      </w:r>
      <w:bookmarkEnd w:id="246"/>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247" w:name="_Toc118377772"/>
      <w:r>
        <w:rPr>
          <w:rStyle w:val="CharSectno"/>
        </w:rPr>
        <w:t>74B</w:t>
      </w:r>
      <w:r>
        <w:t>.</w:t>
      </w:r>
      <w:r>
        <w:tab/>
        <w:t>PSSO considerations</w:t>
      </w:r>
      <w:bookmarkEnd w:id="247"/>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lastRenderedPageBreak/>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248" w:name="_Toc118377773"/>
      <w:r>
        <w:rPr>
          <w:rStyle w:val="CharSectno"/>
        </w:rPr>
        <w:t>74C</w:t>
      </w:r>
      <w:r>
        <w:t>.</w:t>
      </w:r>
      <w:r>
        <w:tab/>
        <w:t>Reports by CEO to Board about prisoners</w:t>
      </w:r>
      <w:bookmarkEnd w:id="248"/>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lastRenderedPageBreak/>
        <w:tab/>
        <w:t>[Section 74C inserted: No. 45 of 2016 s. 25.]</w:t>
      </w:r>
    </w:p>
    <w:p>
      <w:pPr>
        <w:pStyle w:val="Heading5"/>
      </w:pPr>
      <w:bookmarkStart w:id="249" w:name="_Toc118377774"/>
      <w:r>
        <w:rPr>
          <w:rStyle w:val="CharSectno"/>
        </w:rPr>
        <w:t>74D</w:t>
      </w:r>
      <w:r>
        <w:t>.</w:t>
      </w:r>
      <w:r>
        <w:tab/>
        <w:t>Board may make PSSO</w:t>
      </w:r>
      <w:bookmarkEnd w:id="249"/>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250" w:name="_Toc118377775"/>
      <w:r>
        <w:rPr>
          <w:rStyle w:val="CharSectno"/>
        </w:rPr>
        <w:t>74E</w:t>
      </w:r>
      <w:r>
        <w:t>.</w:t>
      </w:r>
      <w:r>
        <w:tab/>
        <w:t>Nature of PSSO</w:t>
      </w:r>
      <w:bookmarkEnd w:id="250"/>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lastRenderedPageBreak/>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251" w:name="_Toc118377776"/>
      <w:r>
        <w:rPr>
          <w:rStyle w:val="CharSectno"/>
        </w:rPr>
        <w:t>74F</w:t>
      </w:r>
      <w:r>
        <w:t>.</w:t>
      </w:r>
      <w:r>
        <w:tab/>
        <w:t>Standard obligations of PSSO</w:t>
      </w:r>
      <w:bookmarkEnd w:id="251"/>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252" w:name="_Toc118377777"/>
      <w:r>
        <w:rPr>
          <w:rStyle w:val="CharSectno"/>
        </w:rPr>
        <w:t>74G</w:t>
      </w:r>
      <w:r>
        <w:t>.</w:t>
      </w:r>
      <w:r>
        <w:tab/>
        <w:t>Additional requirements of PSSO</w:t>
      </w:r>
      <w:bookmarkEnd w:id="252"/>
    </w:p>
    <w:p>
      <w:pPr>
        <w:pStyle w:val="Subsection"/>
      </w:pPr>
      <w:r>
        <w:tab/>
        <w:t>(1)</w:t>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lastRenderedPageBreak/>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Subsection"/>
      </w:pPr>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p>
    <w:p>
      <w:pPr>
        <w:pStyle w:val="Footnotesection"/>
      </w:pPr>
      <w:r>
        <w:tab/>
        <w:t>[Section 74G inserted: No. 45 of 2016 s. 25; amended: No. 13 of 2020 s. 18; No. 29 of 2020 s. 110; No. 30 of 2020 s. 36.]</w:t>
      </w:r>
    </w:p>
    <w:p>
      <w:pPr>
        <w:pStyle w:val="Heading5"/>
      </w:pPr>
      <w:bookmarkStart w:id="253" w:name="_Toc118377778"/>
      <w:r>
        <w:rPr>
          <w:rStyle w:val="CharSectno"/>
        </w:rPr>
        <w:t>74H</w:t>
      </w:r>
      <w:r>
        <w:t>.</w:t>
      </w:r>
      <w:r>
        <w:tab/>
        <w:t>CEO to ensure person subject to PSSO is supervised</w:t>
      </w:r>
      <w:bookmarkEnd w:id="253"/>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254" w:name="_Toc118377779"/>
      <w:r>
        <w:rPr>
          <w:rStyle w:val="CharSectno"/>
        </w:rPr>
        <w:t>74I</w:t>
      </w:r>
      <w:r>
        <w:t>.</w:t>
      </w:r>
      <w:r>
        <w:tab/>
        <w:t>Amendment of PSSO</w:t>
      </w:r>
      <w:bookmarkEnd w:id="254"/>
    </w:p>
    <w:p>
      <w:pPr>
        <w:pStyle w:val="Subsection"/>
      </w:pPr>
      <w:r>
        <w:tab/>
        <w:t>(1)</w:t>
      </w:r>
      <w:r>
        <w:tab/>
        <w:t>The Board may amend a PSSO at any time before the end of the PSSO period.</w:t>
      </w:r>
    </w:p>
    <w:p>
      <w:pPr>
        <w:pStyle w:val="Subsection"/>
      </w:pPr>
      <w:r>
        <w:lastRenderedPageBreak/>
        <w:tab/>
        <w:t>(2)</w:t>
      </w:r>
      <w:r>
        <w:tab/>
        <w:t>If a PSSO is amended, the amended PSSO applies accordingly.</w:t>
      </w:r>
    </w:p>
    <w:p>
      <w:pPr>
        <w:pStyle w:val="Footnotesection"/>
      </w:pPr>
      <w:r>
        <w:tab/>
        <w:t>[Section 74I inserted: No. 45 of 2016 s. 25.]</w:t>
      </w:r>
    </w:p>
    <w:p>
      <w:pPr>
        <w:pStyle w:val="Heading5"/>
      </w:pPr>
      <w:bookmarkStart w:id="255" w:name="_Toc118377780"/>
      <w:r>
        <w:rPr>
          <w:rStyle w:val="CharSectno"/>
        </w:rPr>
        <w:t>74J</w:t>
      </w:r>
      <w:r>
        <w:t>.</w:t>
      </w:r>
      <w:r>
        <w:tab/>
        <w:t>Cancellation of PSSO</w:t>
      </w:r>
      <w:bookmarkEnd w:id="255"/>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256" w:name="_Toc118377781"/>
      <w:r>
        <w:rPr>
          <w:rStyle w:val="CharSectno"/>
        </w:rPr>
        <w:t>74K</w:t>
      </w:r>
      <w:r>
        <w:t>.</w:t>
      </w:r>
      <w:r>
        <w:tab/>
        <w:t>Subsequent PSSO after cancellation for committing offence</w:t>
      </w:r>
      <w:bookmarkEnd w:id="256"/>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 xml:space="preserve">if the supervised offender is not released on parole — the day on which the supervised </w:t>
      </w:r>
      <w:r>
        <w:lastRenderedPageBreak/>
        <w:t>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257" w:name="_Toc118377782"/>
      <w:r>
        <w:rPr>
          <w:rStyle w:val="CharSectno"/>
        </w:rPr>
        <w:t>74L</w:t>
      </w:r>
      <w:r>
        <w:t>.</w:t>
      </w:r>
      <w:r>
        <w:tab/>
        <w:t>Offence for breach of PSSO</w:t>
      </w:r>
      <w:bookmarkEnd w:id="257"/>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258" w:name="_Toc118361528"/>
      <w:bookmarkStart w:id="259" w:name="_Toc118365161"/>
      <w:bookmarkStart w:id="260" w:name="_Toc118377066"/>
      <w:bookmarkStart w:id="261" w:name="_Toc118377783"/>
      <w:r>
        <w:rPr>
          <w:rStyle w:val="CharPartNo"/>
        </w:rPr>
        <w:lastRenderedPageBreak/>
        <w:t>Part 6</w:t>
      </w:r>
      <w:r>
        <w:rPr>
          <w:rStyle w:val="CharDivNo"/>
        </w:rPr>
        <w:t xml:space="preserve"> </w:t>
      </w:r>
      <w:r>
        <w:t>—</w:t>
      </w:r>
      <w:r>
        <w:rPr>
          <w:rStyle w:val="CharDivText"/>
        </w:rPr>
        <w:t xml:space="preserve"> </w:t>
      </w:r>
      <w:r>
        <w:rPr>
          <w:rStyle w:val="CharPartText"/>
        </w:rPr>
        <w:t>Provisions applying to offenders on community corrections orders</w:t>
      </w:r>
      <w:bookmarkEnd w:id="258"/>
      <w:bookmarkEnd w:id="259"/>
      <w:bookmarkEnd w:id="260"/>
      <w:bookmarkEnd w:id="261"/>
    </w:p>
    <w:p>
      <w:pPr>
        <w:pStyle w:val="Heading5"/>
        <w:spacing w:before="240"/>
      </w:pPr>
      <w:bookmarkStart w:id="262" w:name="_Toc118377784"/>
      <w:r>
        <w:rPr>
          <w:rStyle w:val="CharSectno"/>
        </w:rPr>
        <w:t>75</w:t>
      </w:r>
      <w:r>
        <w:t>.</w:t>
      </w:r>
      <w:r>
        <w:tab/>
        <w:t>Terms used</w:t>
      </w:r>
      <w:bookmarkEnd w:id="262"/>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263" w:name="_Toc118377785"/>
      <w:r>
        <w:rPr>
          <w:rStyle w:val="CharSectno"/>
        </w:rPr>
        <w:t>76</w:t>
      </w:r>
      <w:r>
        <w:t>.</w:t>
      </w:r>
      <w:r>
        <w:tab/>
        <w:t>Offender’s obligations</w:t>
      </w:r>
      <w:bookmarkEnd w:id="263"/>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lastRenderedPageBreak/>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264" w:name="_Toc118377786"/>
      <w:r>
        <w:rPr>
          <w:rStyle w:val="CharSectno"/>
        </w:rPr>
        <w:lastRenderedPageBreak/>
        <w:t>77</w:t>
      </w:r>
      <w:r>
        <w:t>.</w:t>
      </w:r>
      <w:r>
        <w:tab/>
        <w:t>Consequences of contravening s. 76 obligations</w:t>
      </w:r>
      <w:bookmarkEnd w:id="264"/>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265" w:name="_Toc118377787"/>
      <w:r>
        <w:rPr>
          <w:rStyle w:val="CharSectno"/>
        </w:rPr>
        <w:lastRenderedPageBreak/>
        <w:t>78</w:t>
      </w:r>
      <w:r>
        <w:t>.</w:t>
      </w:r>
      <w:r>
        <w:tab/>
        <w:t>CEO may suspend requirements in case of illness etc.</w:t>
      </w:r>
      <w:bookmarkEnd w:id="265"/>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lastRenderedPageBreak/>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 No 25 of 2020 s. 127.]</w:t>
      </w:r>
    </w:p>
    <w:p>
      <w:pPr>
        <w:pStyle w:val="Heading5"/>
      </w:pPr>
      <w:bookmarkStart w:id="266" w:name="_Toc118377788"/>
      <w:r>
        <w:rPr>
          <w:rStyle w:val="CharSectno"/>
        </w:rPr>
        <w:t>79</w:t>
      </w:r>
      <w:r>
        <w:t>.</w:t>
      </w:r>
      <w:r>
        <w:tab/>
        <w:t>Community service requirement, offender may be directed to do activities</w:t>
      </w:r>
      <w:bookmarkEnd w:id="266"/>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lastRenderedPageBreak/>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267" w:name="_Toc118377789"/>
      <w:r>
        <w:rPr>
          <w:rStyle w:val="CharSectno"/>
        </w:rPr>
        <w:t>80</w:t>
      </w:r>
      <w:r>
        <w:t>.</w:t>
      </w:r>
      <w:r>
        <w:tab/>
        <w:t>Programme requirement, CEO may give offender additional directions</w:t>
      </w:r>
      <w:bookmarkEnd w:id="267"/>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268" w:name="_Toc118377790"/>
      <w:r>
        <w:rPr>
          <w:rStyle w:val="CharSectno"/>
        </w:rPr>
        <w:t>81</w:t>
      </w:r>
      <w:r>
        <w:t>.</w:t>
      </w:r>
      <w:r>
        <w:tab/>
        <w:t>Compensation for injury to offenders</w:t>
      </w:r>
      <w:bookmarkEnd w:id="268"/>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269" w:name="_Toc118377791"/>
      <w:r>
        <w:rPr>
          <w:rStyle w:val="CharSectno"/>
        </w:rPr>
        <w:lastRenderedPageBreak/>
        <w:t>82</w:t>
      </w:r>
      <w:r>
        <w:t>.</w:t>
      </w:r>
      <w:r>
        <w:tab/>
        <w:t>Regulations</w:t>
      </w:r>
      <w:bookmarkEnd w:id="269"/>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270" w:name="_Toc118361537"/>
      <w:bookmarkStart w:id="271" w:name="_Toc118365170"/>
      <w:bookmarkStart w:id="272" w:name="_Toc118377075"/>
      <w:bookmarkStart w:id="273" w:name="_Toc118377792"/>
      <w:r>
        <w:rPr>
          <w:rStyle w:val="CharPartNo"/>
        </w:rPr>
        <w:lastRenderedPageBreak/>
        <w:t>Part 7</w:t>
      </w:r>
      <w:r>
        <w:t xml:space="preserve"> — </w:t>
      </w:r>
      <w:r>
        <w:rPr>
          <w:rStyle w:val="CharPartText"/>
        </w:rPr>
        <w:t>Community corrections centres</w:t>
      </w:r>
      <w:bookmarkEnd w:id="270"/>
      <w:bookmarkEnd w:id="271"/>
      <w:bookmarkEnd w:id="272"/>
      <w:bookmarkEnd w:id="273"/>
    </w:p>
    <w:p>
      <w:pPr>
        <w:pStyle w:val="Heading3"/>
      </w:pPr>
      <w:bookmarkStart w:id="274" w:name="_Toc118361538"/>
      <w:bookmarkStart w:id="275" w:name="_Toc118365171"/>
      <w:bookmarkStart w:id="276" w:name="_Toc118377076"/>
      <w:bookmarkStart w:id="277" w:name="_Toc118377793"/>
      <w:r>
        <w:rPr>
          <w:rStyle w:val="CharDivNo"/>
        </w:rPr>
        <w:t>Division 1</w:t>
      </w:r>
      <w:r>
        <w:t xml:space="preserve"> — </w:t>
      </w:r>
      <w:r>
        <w:rPr>
          <w:rStyle w:val="CharDivText"/>
        </w:rPr>
        <w:t>Preliminary</w:t>
      </w:r>
      <w:bookmarkEnd w:id="274"/>
      <w:bookmarkEnd w:id="275"/>
      <w:bookmarkEnd w:id="276"/>
      <w:bookmarkEnd w:id="277"/>
    </w:p>
    <w:p>
      <w:pPr>
        <w:pStyle w:val="Heading5"/>
      </w:pPr>
      <w:bookmarkStart w:id="278" w:name="_Toc118377794"/>
      <w:r>
        <w:rPr>
          <w:rStyle w:val="CharSectno"/>
        </w:rPr>
        <w:t>83</w:t>
      </w:r>
      <w:r>
        <w:t>.</w:t>
      </w:r>
      <w:r>
        <w:tab/>
        <w:t>Terms used</w:t>
      </w:r>
      <w:bookmarkEnd w:id="27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279" w:name="_Toc118377795"/>
      <w:r>
        <w:rPr>
          <w:rStyle w:val="CharSectno"/>
        </w:rPr>
        <w:t>84</w:t>
      </w:r>
      <w:r>
        <w:t>.</w:t>
      </w:r>
      <w:r>
        <w:tab/>
        <w:t>Community corrections centres, declaration of</w:t>
      </w:r>
      <w:bookmarkEnd w:id="279"/>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280" w:name="_Toc118377796"/>
      <w:r>
        <w:rPr>
          <w:rStyle w:val="CharSectno"/>
        </w:rPr>
        <w:t>85</w:t>
      </w:r>
      <w:r>
        <w:t>.</w:t>
      </w:r>
      <w:r>
        <w:tab/>
        <w:t>Community corrections activities, approval of</w:t>
      </w:r>
      <w:bookmarkEnd w:id="28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lastRenderedPageBreak/>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281" w:name="_Toc118361542"/>
      <w:bookmarkStart w:id="282" w:name="_Toc118365175"/>
      <w:bookmarkStart w:id="283" w:name="_Toc118377080"/>
      <w:bookmarkStart w:id="284" w:name="_Toc118377797"/>
      <w:r>
        <w:rPr>
          <w:rStyle w:val="CharDivNo"/>
        </w:rPr>
        <w:t>Division 2</w:t>
      </w:r>
      <w:r>
        <w:t xml:space="preserve"> — </w:t>
      </w:r>
      <w:r>
        <w:rPr>
          <w:rStyle w:val="CharDivText"/>
        </w:rPr>
        <w:t>Management</w:t>
      </w:r>
      <w:bookmarkEnd w:id="281"/>
      <w:bookmarkEnd w:id="282"/>
      <w:bookmarkEnd w:id="283"/>
      <w:bookmarkEnd w:id="284"/>
    </w:p>
    <w:p>
      <w:pPr>
        <w:pStyle w:val="Heading5"/>
      </w:pPr>
      <w:bookmarkStart w:id="285" w:name="_Toc118377798"/>
      <w:r>
        <w:rPr>
          <w:rStyle w:val="CharSectno"/>
        </w:rPr>
        <w:t>86</w:t>
      </w:r>
      <w:r>
        <w:t>.</w:t>
      </w:r>
      <w:r>
        <w:tab/>
        <w:t>Instructions about management etc., issue of etc.</w:t>
      </w:r>
      <w:bookmarkEnd w:id="285"/>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286" w:name="_Toc118377799"/>
      <w:r>
        <w:rPr>
          <w:rStyle w:val="CharSectno"/>
        </w:rPr>
        <w:lastRenderedPageBreak/>
        <w:t>87</w:t>
      </w:r>
      <w:r>
        <w:t>.</w:t>
      </w:r>
      <w:r>
        <w:tab/>
      </w:r>
      <w:r>
        <w:rPr>
          <w:snapToGrid w:val="0"/>
        </w:rPr>
        <w:t xml:space="preserve">Managers </w:t>
      </w:r>
      <w:r>
        <w:t>of centres, functions of etc.</w:t>
      </w:r>
      <w:bookmarkEnd w:id="286"/>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287" w:name="_Toc118377800"/>
      <w:r>
        <w:rPr>
          <w:rStyle w:val="CharSectno"/>
        </w:rPr>
        <w:t>88</w:t>
      </w:r>
      <w:r>
        <w:t>.</w:t>
      </w:r>
      <w:r>
        <w:tab/>
        <w:t>Functions of CCOs at centres</w:t>
      </w:r>
      <w:bookmarkEnd w:id="287"/>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lastRenderedPageBreak/>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288" w:name="_Toc118377801"/>
      <w:r>
        <w:rPr>
          <w:rStyle w:val="CharSectno"/>
        </w:rPr>
        <w:t>89</w:t>
      </w:r>
      <w:r>
        <w:t>.</w:t>
      </w:r>
      <w:r>
        <w:tab/>
        <w:t>Access to centres</w:t>
      </w:r>
      <w:bookmarkEnd w:id="288"/>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lastRenderedPageBreak/>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289" w:name="_Toc118377802"/>
      <w:r>
        <w:rPr>
          <w:rStyle w:val="CharSectno"/>
        </w:rPr>
        <w:t>90</w:t>
      </w:r>
      <w:r>
        <w:t>.</w:t>
      </w:r>
      <w:r>
        <w:tab/>
        <w:t>Searches</w:t>
      </w:r>
      <w:bookmarkEnd w:id="289"/>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lastRenderedPageBreak/>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290" w:name="_Toc118377803"/>
      <w:r>
        <w:rPr>
          <w:rStyle w:val="CharSectno"/>
        </w:rPr>
        <w:t>91</w:t>
      </w:r>
      <w:r>
        <w:t>.</w:t>
      </w:r>
      <w:r>
        <w:tab/>
        <w:t>Seizure</w:t>
      </w:r>
      <w:bookmarkEnd w:id="290"/>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291" w:name="_Toc118361549"/>
      <w:bookmarkStart w:id="292" w:name="_Toc118365182"/>
      <w:bookmarkStart w:id="293" w:name="_Toc118377087"/>
      <w:bookmarkStart w:id="294" w:name="_Toc118377804"/>
      <w:r>
        <w:rPr>
          <w:rStyle w:val="CharDivNo"/>
        </w:rPr>
        <w:t>Division 3</w:t>
      </w:r>
      <w:r>
        <w:t xml:space="preserve"> — </w:t>
      </w:r>
      <w:r>
        <w:rPr>
          <w:rStyle w:val="CharDivText"/>
        </w:rPr>
        <w:t>Miscellaneous</w:t>
      </w:r>
      <w:bookmarkEnd w:id="291"/>
      <w:bookmarkEnd w:id="292"/>
      <w:bookmarkEnd w:id="293"/>
      <w:bookmarkEnd w:id="294"/>
    </w:p>
    <w:p>
      <w:pPr>
        <w:pStyle w:val="Heading5"/>
      </w:pPr>
      <w:bookmarkStart w:id="295" w:name="_Toc118377805"/>
      <w:r>
        <w:rPr>
          <w:rStyle w:val="CharSectno"/>
        </w:rPr>
        <w:t>92</w:t>
      </w:r>
      <w:r>
        <w:t>.</w:t>
      </w:r>
      <w:r>
        <w:tab/>
        <w:t>Department to report on centres</w:t>
      </w:r>
      <w:bookmarkEnd w:id="295"/>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296" w:name="_Toc118377806"/>
      <w:r>
        <w:rPr>
          <w:rStyle w:val="CharSectno"/>
        </w:rPr>
        <w:lastRenderedPageBreak/>
        <w:t>93</w:t>
      </w:r>
      <w:r>
        <w:t>.</w:t>
      </w:r>
      <w:r>
        <w:tab/>
        <w:t>Regulations</w:t>
      </w:r>
      <w:bookmarkEnd w:id="296"/>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297" w:name="_Toc118361552"/>
      <w:bookmarkStart w:id="298" w:name="_Toc118365185"/>
      <w:bookmarkStart w:id="299" w:name="_Toc118377090"/>
      <w:bookmarkStart w:id="300" w:name="_Toc118377807"/>
      <w:r>
        <w:rPr>
          <w:rStyle w:val="CharPartNo"/>
        </w:rPr>
        <w:lastRenderedPageBreak/>
        <w:t>Part 8</w:t>
      </w:r>
      <w:r>
        <w:t xml:space="preserve"> — </w:t>
      </w:r>
      <w:r>
        <w:rPr>
          <w:rStyle w:val="CharPartText"/>
        </w:rPr>
        <w:t>Staff</w:t>
      </w:r>
      <w:bookmarkEnd w:id="297"/>
      <w:bookmarkEnd w:id="298"/>
      <w:bookmarkEnd w:id="299"/>
      <w:bookmarkEnd w:id="300"/>
    </w:p>
    <w:p>
      <w:pPr>
        <w:pStyle w:val="Heading3"/>
      </w:pPr>
      <w:bookmarkStart w:id="301" w:name="_Toc118361553"/>
      <w:bookmarkStart w:id="302" w:name="_Toc118365186"/>
      <w:bookmarkStart w:id="303" w:name="_Toc118377091"/>
      <w:bookmarkStart w:id="304" w:name="_Toc118377808"/>
      <w:r>
        <w:rPr>
          <w:rStyle w:val="CharDivNo"/>
        </w:rPr>
        <w:t>Division 1</w:t>
      </w:r>
      <w:r>
        <w:t xml:space="preserve"> — </w:t>
      </w:r>
      <w:r>
        <w:rPr>
          <w:rStyle w:val="CharDivText"/>
        </w:rPr>
        <w:t>Chief executive officer</w:t>
      </w:r>
      <w:bookmarkEnd w:id="301"/>
      <w:bookmarkEnd w:id="302"/>
      <w:bookmarkEnd w:id="303"/>
      <w:bookmarkEnd w:id="304"/>
    </w:p>
    <w:p>
      <w:pPr>
        <w:pStyle w:val="Heading5"/>
      </w:pPr>
      <w:bookmarkStart w:id="305" w:name="_Toc118377809"/>
      <w:r>
        <w:rPr>
          <w:rStyle w:val="CharSectno"/>
        </w:rPr>
        <w:t>94</w:t>
      </w:r>
      <w:r>
        <w:t>.</w:t>
      </w:r>
      <w:r>
        <w:tab/>
        <w:t>Functions</w:t>
      </w:r>
      <w:bookmarkEnd w:id="305"/>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306" w:name="_Toc118377810"/>
      <w:r>
        <w:rPr>
          <w:rStyle w:val="CharSectno"/>
        </w:rPr>
        <w:lastRenderedPageBreak/>
        <w:t>95</w:t>
      </w:r>
      <w:r>
        <w:t>.</w:t>
      </w:r>
      <w:r>
        <w:tab/>
        <w:t>Delegation by CEO</w:t>
      </w:r>
      <w:bookmarkEnd w:id="306"/>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307" w:name="_Toc118377811"/>
      <w:r>
        <w:rPr>
          <w:rStyle w:val="CharSectno"/>
        </w:rPr>
        <w:t>96</w:t>
      </w:r>
      <w:r>
        <w:t>.</w:t>
      </w:r>
      <w:r>
        <w:tab/>
        <w:t>CEO may confer functions of CCO on person</w:t>
      </w:r>
      <w:bookmarkEnd w:id="307"/>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308" w:name="_Toc118377812"/>
      <w:r>
        <w:rPr>
          <w:rStyle w:val="CharSectno"/>
        </w:rPr>
        <w:t>97</w:t>
      </w:r>
      <w:r>
        <w:t>.</w:t>
      </w:r>
      <w:r>
        <w:tab/>
        <w:t>CEO to make information available to Board</w:t>
      </w:r>
      <w:bookmarkEnd w:id="308"/>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w:t>
      </w:r>
      <w:r>
        <w:lastRenderedPageBreak/>
        <w:t>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309" w:name="_Toc118377813"/>
      <w:r>
        <w:rPr>
          <w:rStyle w:val="CharSectno"/>
        </w:rPr>
        <w:t>97A</w:t>
      </w:r>
      <w:r>
        <w:t>.</w:t>
      </w:r>
      <w:r>
        <w:tab/>
        <w:t>Disclosing information about offender for community safety</w:t>
      </w:r>
      <w:bookmarkEnd w:id="309"/>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310" w:name="_Toc118377814"/>
      <w:r>
        <w:rPr>
          <w:rStyle w:val="CharSectno"/>
        </w:rPr>
        <w:t>97B</w:t>
      </w:r>
      <w:r>
        <w:t>.</w:t>
      </w:r>
      <w:r>
        <w:tab/>
        <w:t>Disclosing and requesting information</w:t>
      </w:r>
      <w:bookmarkEnd w:id="31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lastRenderedPageBreak/>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lastRenderedPageBreak/>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311" w:name="_Toc118377815"/>
      <w:r>
        <w:rPr>
          <w:rStyle w:val="CharSectno"/>
        </w:rPr>
        <w:t>97C</w:t>
      </w:r>
      <w:r>
        <w:t>.</w:t>
      </w:r>
      <w:r>
        <w:tab/>
        <w:t>Disclosing information to agencies outside WA</w:t>
      </w:r>
      <w:bookmarkEnd w:id="311"/>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312" w:name="_Toc118377816"/>
      <w:r>
        <w:rPr>
          <w:rStyle w:val="CharSectno"/>
        </w:rPr>
        <w:t>97D</w:t>
      </w:r>
      <w:r>
        <w:t>.</w:t>
      </w:r>
      <w:r>
        <w:tab/>
        <w:t>Disclosing information to victims</w:t>
      </w:r>
      <w:bookmarkEnd w:id="312"/>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313" w:name="_Toc118377817"/>
      <w:r>
        <w:rPr>
          <w:rStyle w:val="CharSectno"/>
        </w:rPr>
        <w:t>97E</w:t>
      </w:r>
      <w:r>
        <w:t>.</w:t>
      </w:r>
      <w:r>
        <w:tab/>
        <w:t>Disclosure under s. 97A, 97B, 97C and 97D not subject to other laws etc.</w:t>
      </w:r>
      <w:bookmarkEnd w:id="313"/>
    </w:p>
    <w:p>
      <w:pPr>
        <w:pStyle w:val="Subsection"/>
      </w:pPr>
      <w:r>
        <w:tab/>
        <w:t>(1)</w:t>
      </w:r>
      <w:r>
        <w:tab/>
        <w:t>Information may be disclosed under section 97A, 97B, 97C or 97D despite any written law relating to confidentiality or secrecy.</w:t>
      </w:r>
    </w:p>
    <w:p>
      <w:pPr>
        <w:pStyle w:val="Subsection"/>
      </w:pPr>
      <w:r>
        <w:lastRenderedPageBreak/>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314" w:name="_Toc118361563"/>
      <w:bookmarkStart w:id="315" w:name="_Toc118365196"/>
      <w:bookmarkStart w:id="316" w:name="_Toc118377101"/>
      <w:bookmarkStart w:id="317" w:name="_Toc118377818"/>
      <w:r>
        <w:rPr>
          <w:rStyle w:val="CharDivNo"/>
        </w:rPr>
        <w:t>Division 2</w:t>
      </w:r>
      <w:r>
        <w:t xml:space="preserve"> — </w:t>
      </w:r>
      <w:r>
        <w:rPr>
          <w:rStyle w:val="CharDivText"/>
        </w:rPr>
        <w:t>Other staff</w:t>
      </w:r>
      <w:bookmarkEnd w:id="314"/>
      <w:bookmarkEnd w:id="315"/>
      <w:bookmarkEnd w:id="316"/>
      <w:bookmarkEnd w:id="317"/>
    </w:p>
    <w:p>
      <w:pPr>
        <w:pStyle w:val="Heading5"/>
        <w:spacing w:before="180"/>
      </w:pPr>
      <w:bookmarkStart w:id="318" w:name="_Toc118377819"/>
      <w:r>
        <w:rPr>
          <w:rStyle w:val="CharSectno"/>
        </w:rPr>
        <w:t>98</w:t>
      </w:r>
      <w:r>
        <w:t>.</w:t>
      </w:r>
      <w:r>
        <w:tab/>
        <w:t>Appointment</w:t>
      </w:r>
      <w:bookmarkEnd w:id="318"/>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19" w:name="_Toc118377820"/>
      <w:r>
        <w:rPr>
          <w:rStyle w:val="CharSectno"/>
        </w:rPr>
        <w:lastRenderedPageBreak/>
        <w:t>98A</w:t>
      </w:r>
      <w:r>
        <w:t>.</w:t>
      </w:r>
      <w:r>
        <w:tab/>
        <w:t>Duties of CCOs</w:t>
      </w:r>
      <w:bookmarkEnd w:id="319"/>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320" w:name="_Toc118377821"/>
      <w:r>
        <w:rPr>
          <w:rStyle w:val="CharSectno"/>
        </w:rPr>
        <w:t>99</w:t>
      </w:r>
      <w:r>
        <w:t>.</w:t>
      </w:r>
      <w:r>
        <w:tab/>
        <w:t>Volunteers</w:t>
      </w:r>
      <w:bookmarkEnd w:id="320"/>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321" w:name="_Toc118361567"/>
      <w:bookmarkStart w:id="322" w:name="_Toc118365200"/>
      <w:bookmarkStart w:id="323" w:name="_Toc118377105"/>
      <w:bookmarkStart w:id="324" w:name="_Toc118377822"/>
      <w:r>
        <w:rPr>
          <w:rStyle w:val="CharDivNo"/>
        </w:rPr>
        <w:t>Division 3</w:t>
      </w:r>
      <w:r>
        <w:t xml:space="preserve"> — </w:t>
      </w:r>
      <w:r>
        <w:rPr>
          <w:rStyle w:val="CharDivText"/>
        </w:rPr>
        <w:t>Miscellaneous</w:t>
      </w:r>
      <w:bookmarkEnd w:id="321"/>
      <w:bookmarkEnd w:id="322"/>
      <w:bookmarkEnd w:id="323"/>
      <w:bookmarkEnd w:id="324"/>
    </w:p>
    <w:p>
      <w:pPr>
        <w:pStyle w:val="Heading5"/>
      </w:pPr>
      <w:bookmarkStart w:id="325" w:name="_Toc118377823"/>
      <w:r>
        <w:rPr>
          <w:rStyle w:val="CharSectno"/>
        </w:rPr>
        <w:t>100</w:t>
      </w:r>
      <w:r>
        <w:t>.</w:t>
      </w:r>
      <w:r>
        <w:tab/>
        <w:t>Compensation for injury to volunteers etc.</w:t>
      </w:r>
      <w:bookmarkEnd w:id="325"/>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326" w:name="_Toc118377824"/>
      <w:r>
        <w:rPr>
          <w:rStyle w:val="CharSectno"/>
        </w:rPr>
        <w:t>101</w:t>
      </w:r>
      <w:r>
        <w:t>.</w:t>
      </w:r>
      <w:r>
        <w:tab/>
        <w:t>Assistance by police officers</w:t>
      </w:r>
      <w:bookmarkEnd w:id="326"/>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lastRenderedPageBreak/>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327" w:name="_Toc118361570"/>
      <w:bookmarkStart w:id="328" w:name="_Toc118365203"/>
      <w:bookmarkStart w:id="329" w:name="_Toc118377108"/>
      <w:bookmarkStart w:id="330" w:name="_Toc118377825"/>
      <w:r>
        <w:rPr>
          <w:rStyle w:val="CharPartNo"/>
        </w:rPr>
        <w:lastRenderedPageBreak/>
        <w:t>Part 9</w:t>
      </w:r>
      <w:r>
        <w:rPr>
          <w:rStyle w:val="CharDivNo"/>
        </w:rPr>
        <w:t xml:space="preserve"> </w:t>
      </w:r>
      <w:r>
        <w:t>—</w:t>
      </w:r>
      <w:r>
        <w:rPr>
          <w:rStyle w:val="CharDivText"/>
        </w:rPr>
        <w:t xml:space="preserve"> </w:t>
      </w:r>
      <w:r>
        <w:rPr>
          <w:rStyle w:val="CharPartText"/>
        </w:rPr>
        <w:t>Prisoners Review Board</w:t>
      </w:r>
      <w:bookmarkEnd w:id="327"/>
      <w:bookmarkEnd w:id="328"/>
      <w:bookmarkEnd w:id="329"/>
      <w:bookmarkEnd w:id="330"/>
    </w:p>
    <w:p>
      <w:pPr>
        <w:pStyle w:val="Footnoteheading"/>
      </w:pPr>
      <w:r>
        <w:tab/>
        <w:t>[Heading inserted: No. 41 of 2006 s. 56.]</w:t>
      </w:r>
    </w:p>
    <w:p>
      <w:pPr>
        <w:pStyle w:val="Heading5"/>
      </w:pPr>
      <w:bookmarkStart w:id="331" w:name="_Toc118377826"/>
      <w:r>
        <w:rPr>
          <w:rStyle w:val="CharSectno"/>
        </w:rPr>
        <w:t>102</w:t>
      </w:r>
      <w:r>
        <w:t>.</w:t>
      </w:r>
      <w:r>
        <w:tab/>
        <w:t>Board established</w:t>
      </w:r>
      <w:bookmarkEnd w:id="33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332" w:name="_Toc118377827"/>
      <w:r>
        <w:rPr>
          <w:rStyle w:val="CharSectno"/>
        </w:rPr>
        <w:t>103</w:t>
      </w:r>
      <w:r>
        <w:t>.</w:t>
      </w:r>
      <w:r>
        <w:tab/>
        <w:t>Membership</w:t>
      </w:r>
      <w:bookmarkEnd w:id="332"/>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lastRenderedPageBreak/>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 xml:space="preserve">In nominating persons as community members the Minister is to ensure that at all times at least one community member has the attribute mentioned in subsection (4)(b)(i) and at least one </w:t>
      </w:r>
      <w:r>
        <w:lastRenderedPageBreak/>
        <w:t>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333" w:name="_Toc118377828"/>
      <w:r>
        <w:rPr>
          <w:rStyle w:val="CharSectno"/>
        </w:rPr>
        <w:t>104</w:t>
      </w:r>
      <w:r>
        <w:rPr>
          <w:snapToGrid w:val="0"/>
        </w:rPr>
        <w:t>.</w:t>
      </w:r>
      <w:r>
        <w:rPr>
          <w:snapToGrid w:val="0"/>
        </w:rPr>
        <w:tab/>
      </w:r>
      <w:r>
        <w:t>Training of members</w:t>
      </w:r>
      <w:bookmarkEnd w:id="333"/>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334" w:name="_Toc118377829"/>
      <w:r>
        <w:rPr>
          <w:rStyle w:val="CharSectno"/>
        </w:rPr>
        <w:t>104A</w:t>
      </w:r>
      <w:r>
        <w:t>.</w:t>
      </w:r>
      <w:r>
        <w:tab/>
        <w:t>Registrar and other staff</w:t>
      </w:r>
      <w:bookmarkEnd w:id="334"/>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335" w:name="_Toc118377830"/>
      <w:r>
        <w:rPr>
          <w:rStyle w:val="CharSectno"/>
        </w:rPr>
        <w:t>105</w:t>
      </w:r>
      <w:r>
        <w:t>.</w:t>
      </w:r>
      <w:r>
        <w:tab/>
        <w:t>Tenure, meetings etc. (Sch. 1)</w:t>
      </w:r>
      <w:bookmarkEnd w:id="33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336" w:name="_Toc118377831"/>
      <w:r>
        <w:rPr>
          <w:rStyle w:val="CharSectno"/>
        </w:rPr>
        <w:t>106</w:t>
      </w:r>
      <w:r>
        <w:t>.</w:t>
      </w:r>
      <w:r>
        <w:tab/>
        <w:t>Functions</w:t>
      </w:r>
      <w:bookmarkEnd w:id="336"/>
    </w:p>
    <w:p>
      <w:pPr>
        <w:pStyle w:val="Subsection"/>
        <w:rPr>
          <w:snapToGrid w:val="0"/>
        </w:rPr>
      </w:pPr>
      <w:r>
        <w:tab/>
        <w:t>(1)</w:t>
      </w:r>
      <w:r>
        <w:tab/>
      </w:r>
      <w:r>
        <w:rPr>
          <w:snapToGrid w:val="0"/>
        </w:rPr>
        <w:t>The functions of the Board are set out in this Act.</w:t>
      </w:r>
    </w:p>
    <w:p>
      <w:pPr>
        <w:pStyle w:val="Subsection"/>
        <w:rPr>
          <w:snapToGrid w:val="0"/>
        </w:rPr>
      </w:pPr>
      <w:r>
        <w:lastRenderedPageBreak/>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337" w:name="_Toc118377832"/>
      <w:r>
        <w:rPr>
          <w:rStyle w:val="CharSectno"/>
        </w:rPr>
        <w:t>107</w:t>
      </w:r>
      <w:r>
        <w:t>.</w:t>
      </w:r>
      <w:r>
        <w:tab/>
        <w:t>Board to have powers of Royal Commission</w:t>
      </w:r>
      <w:bookmarkEnd w:id="337"/>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338" w:name="_Toc118377833"/>
      <w:r>
        <w:rPr>
          <w:rStyle w:val="CharSectno"/>
        </w:rPr>
        <w:t>107A</w:t>
      </w:r>
      <w:r>
        <w:t>.</w:t>
      </w:r>
      <w:r>
        <w:tab/>
        <w:t>Board may use experts etc.</w:t>
      </w:r>
      <w:bookmarkEnd w:id="338"/>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339" w:name="_Toc118377834"/>
      <w:r>
        <w:rPr>
          <w:rStyle w:val="CharSectno"/>
        </w:rPr>
        <w:t>107B</w:t>
      </w:r>
      <w:r>
        <w:t>.</w:t>
      </w:r>
      <w:r>
        <w:tab/>
        <w:t>Notification of Board’s decisions</w:t>
      </w:r>
      <w:bookmarkEnd w:id="339"/>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lastRenderedPageBreak/>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340" w:name="_Toc118377835"/>
      <w:r>
        <w:rPr>
          <w:rStyle w:val="CharSectno"/>
        </w:rPr>
        <w:t>107C</w:t>
      </w:r>
      <w:r>
        <w:t>.</w:t>
      </w:r>
      <w:r>
        <w:tab/>
        <w:t>Publication of Board’s decisions</w:t>
      </w:r>
      <w:bookmarkEnd w:id="340"/>
      <w:r>
        <w:t xml:space="preserve"> </w:t>
      </w:r>
    </w:p>
    <w:p>
      <w:pPr>
        <w:pStyle w:val="Subsection"/>
        <w:spacing w:before="150"/>
      </w:pPr>
      <w:r>
        <w:tab/>
        <w:t>(1)</w:t>
      </w:r>
      <w:r>
        <w:tab/>
        <w:t>This section operates despite section 119.</w:t>
      </w:r>
    </w:p>
    <w:p>
      <w:pPr>
        <w:pStyle w:val="Subsection"/>
        <w:spacing w:before="150"/>
      </w:pPr>
      <w:r>
        <w:tab/>
        <w:t>(2)</w:t>
      </w:r>
      <w:r>
        <w:tab/>
        <w:t xml:space="preserve">The chairperson of the Board may make public a decision of the Board or the reasons for it if the chairperson considers it is in the public interest to do so having regard to all the </w:t>
      </w:r>
      <w:r>
        <w:lastRenderedPageBreak/>
        <w:t>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341" w:name="_Toc118377836"/>
      <w:r>
        <w:rPr>
          <w:rStyle w:val="CharSectno"/>
        </w:rPr>
        <w:t>108</w:t>
      </w:r>
      <w:r>
        <w:t>.</w:t>
      </w:r>
      <w:r>
        <w:tab/>
        <w:t>Orders by Board</w:t>
      </w:r>
      <w:bookmarkEnd w:id="34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t>Except as provided in subsection (2A), an</w:t>
      </w:r>
      <w:r>
        <w:rPr>
          <w:snapToGrid w:val="0"/>
        </w:rPr>
        <w:t xml:space="preserve"> order giving effect to a decision made by the Board is to be signed by 2 members of the Board.</w:t>
      </w:r>
    </w:p>
    <w:p>
      <w:pPr>
        <w:pStyle w:val="Subsection"/>
      </w:pPr>
      <w:r>
        <w:tab/>
        <w:t>(2A)</w:t>
      </w:r>
      <w:r>
        <w:tab/>
        <w:t>An order giving effect to a decision made, or an action taken, by the Board under Part 5 Division 1B or section 67A must be signed by the chairperson alone.</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 No. 14 of 2022 s. 21.]</w:t>
      </w:r>
    </w:p>
    <w:p>
      <w:pPr>
        <w:pStyle w:val="Heading5"/>
      </w:pPr>
      <w:bookmarkStart w:id="342" w:name="_Toc118377837"/>
      <w:r>
        <w:rPr>
          <w:rStyle w:val="CharSectno"/>
        </w:rPr>
        <w:t>109</w:t>
      </w:r>
      <w:r>
        <w:t>.</w:t>
      </w:r>
      <w:r>
        <w:tab/>
        <w:t>Board may require person to appear before it</w:t>
      </w:r>
      <w:bookmarkEnd w:id="342"/>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w:t>
      </w:r>
      <w:r>
        <w:rPr>
          <w:snapToGrid w:val="0"/>
        </w:rPr>
        <w:lastRenderedPageBreak/>
        <w:t>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343" w:name="_Toc118377838"/>
      <w:r>
        <w:rPr>
          <w:rStyle w:val="CharSectno"/>
        </w:rPr>
        <w:t>110</w:t>
      </w:r>
      <w:r>
        <w:t>.</w:t>
      </w:r>
      <w:r>
        <w:tab/>
        <w:t>Issue of warrants by Board</w:t>
      </w:r>
      <w:bookmarkEnd w:id="34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344" w:name="_Toc118377839"/>
      <w:r>
        <w:rPr>
          <w:rStyle w:val="CharSectno"/>
        </w:rPr>
        <w:t>111</w:t>
      </w:r>
      <w:r>
        <w:t>.</w:t>
      </w:r>
      <w:r>
        <w:tab/>
        <w:t>Judicial notice of appointment and signature</w:t>
      </w:r>
      <w:bookmarkEnd w:id="344"/>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345" w:name="_Toc118377840"/>
      <w:r>
        <w:rPr>
          <w:rStyle w:val="CharSectno"/>
        </w:rPr>
        <w:lastRenderedPageBreak/>
        <w:t>112</w:t>
      </w:r>
      <w:r>
        <w:t>.</w:t>
      </w:r>
      <w:r>
        <w:tab/>
        <w:t>Annual report to Minister</w:t>
      </w:r>
      <w:bookmarkEnd w:id="345"/>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lastRenderedPageBreak/>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346" w:name="_Toc103867550"/>
      <w:bookmarkStart w:id="347" w:name="_Toc118377841"/>
      <w:r>
        <w:rPr>
          <w:rStyle w:val="CharSectno"/>
        </w:rPr>
        <w:t>112A</w:t>
      </w:r>
      <w:r>
        <w:t>.</w:t>
      </w:r>
      <w:r>
        <w:tab/>
        <w:t>Information to be excluded from annual reports</w:t>
      </w:r>
      <w:bookmarkEnd w:id="346"/>
      <w:bookmarkEnd w:id="347"/>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release action</w:t>
      </w:r>
      <w:r>
        <w:t xml:space="preserve"> has the meaning given in section 66D; </w:t>
      </w:r>
    </w:p>
    <w:p>
      <w:pPr>
        <w:pStyle w:val="Defstart"/>
      </w:pPr>
      <w:r>
        <w:tab/>
      </w:r>
      <w:r>
        <w:rPr>
          <w:rStyle w:val="CharDefText"/>
        </w:rPr>
        <w:t>release decision</w:t>
      </w:r>
      <w:r>
        <w:t xml:space="preserve"> has the meaning given in section 66D; </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lastRenderedPageBreak/>
        <w:tab/>
        <w:t>(2)</w:t>
      </w:r>
      <w:r>
        <w:tab/>
        <w:t>This section applies if, during a financial year, the chairperson decides —</w:t>
      </w:r>
    </w:p>
    <w:p>
      <w:pPr>
        <w:pStyle w:val="Indenta"/>
      </w:pPr>
      <w:r>
        <w:tab/>
        <w:t>(a)</w:t>
      </w:r>
      <w:r>
        <w:tab/>
        <w:t>to make a release decision, or take release action, under Part 5 Division 1B</w:t>
      </w:r>
      <w:r>
        <w:rPr>
          <w:szCs w:val="24"/>
        </w:rPr>
        <w:t>; or</w:t>
      </w:r>
    </w:p>
    <w:p>
      <w:pPr>
        <w:pStyle w:val="Indenta"/>
      </w:pPr>
      <w:r>
        <w:tab/>
        <w:t>(b)</w:t>
      </w:r>
      <w:r>
        <w:tab/>
        <w:t>to refuse to make a release decision, or take release action, under Part 5 Division 1B; or</w:t>
      </w:r>
    </w:p>
    <w:p>
      <w:pPr>
        <w:pStyle w:val="Indenta"/>
      </w:pPr>
      <w:r>
        <w:tab/>
        <w:t>(c)</w:t>
      </w:r>
      <w:r>
        <w:tab/>
        <w:t>to cancel an early release order under section 67A(2).</w:t>
      </w:r>
    </w:p>
    <w:p>
      <w:pPr>
        <w:pStyle w:val="Subsection"/>
      </w:pPr>
      <w:r>
        <w:tab/>
        <w:t>(3)</w:t>
      </w:r>
      <w:r>
        <w:tab/>
        <w:t>Before giving an annual report for the financial year, the chairperson must notify the Commissioner of Police and the Attorney General of the number of decisions referred to in subsection (2) that are made in the financial year (</w:t>
      </w:r>
      <w:r>
        <w:rPr>
          <w:rStyle w:val="CharDefText"/>
        </w:rPr>
        <w:t>notifiable information</w:t>
      </w:r>
      <w:r>
        <w:t xml:space="preserve">). </w:t>
      </w:r>
    </w:p>
    <w:p>
      <w:pPr>
        <w:pStyle w:val="Subsection"/>
      </w:pPr>
      <w:r>
        <w:tab/>
        <w:t>(4)</w:t>
      </w:r>
      <w:r>
        <w:tab/>
        <w:t>The Commissioner of Police must advise the Attorney General whether, in the Commissioner’s opinion, some or all of the notifiable information is, or is likely to be, sensitive information.</w:t>
      </w:r>
    </w:p>
    <w:p>
      <w:pPr>
        <w:pStyle w:val="Subsection"/>
      </w:pPr>
      <w:r>
        <w:tab/>
        <w:t>(5)</w:t>
      </w:r>
      <w:r>
        <w:tab/>
        <w:t xml:space="preserve">If the Attorney General is satisfied that some or all of the notifiable information is protected information or, on advice given under subsection (4), is satisfied that some or all of the notifiable information is sensitive information, the Attorney General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tab/>
        <w:t>(7)</w:t>
      </w:r>
      <w:r>
        <w:tab/>
        <w:t>The Attorney General may obtain legal advice as to the matters in subsection (5).</w:t>
      </w:r>
    </w:p>
    <w:p>
      <w:pPr>
        <w:pStyle w:val="Subsection"/>
        <w:keepNext/>
      </w:pPr>
      <w:r>
        <w:lastRenderedPageBreak/>
        <w:tab/>
        <w:t>(8)</w:t>
      </w:r>
      <w:r>
        <w:tab/>
        <w:t>If the Attorney General does not give a direction under subsection (5), the Board must include the notifiable information in the annual report.</w:t>
      </w:r>
    </w:p>
    <w:p>
      <w:pPr>
        <w:pStyle w:val="Footnotesection"/>
      </w:pPr>
      <w:r>
        <w:tab/>
        <w:t>[Section 112A inserted: No. 14 of 2022 s. 22.]</w:t>
      </w:r>
    </w:p>
    <w:p>
      <w:pPr>
        <w:pStyle w:val="Heading5"/>
      </w:pPr>
      <w:bookmarkStart w:id="348" w:name="_Toc118377842"/>
      <w:r>
        <w:rPr>
          <w:rStyle w:val="CharSectno"/>
        </w:rPr>
        <w:t>113</w:t>
      </w:r>
      <w:r>
        <w:t>.</w:t>
      </w:r>
      <w:r>
        <w:tab/>
        <w:t>Special reports to Minister</w:t>
      </w:r>
      <w:bookmarkEnd w:id="348"/>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349" w:name="_Toc118361587"/>
      <w:bookmarkStart w:id="350" w:name="_Toc118365221"/>
      <w:bookmarkStart w:id="351" w:name="_Toc118377126"/>
      <w:bookmarkStart w:id="352" w:name="_Toc118377843"/>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349"/>
      <w:bookmarkEnd w:id="350"/>
      <w:bookmarkEnd w:id="351"/>
      <w:bookmarkEnd w:id="352"/>
    </w:p>
    <w:p>
      <w:pPr>
        <w:pStyle w:val="Heading5"/>
      </w:pPr>
      <w:bookmarkStart w:id="353" w:name="_Toc118377844"/>
      <w:r>
        <w:rPr>
          <w:rStyle w:val="CharSectno"/>
        </w:rPr>
        <w:t>114</w:t>
      </w:r>
      <w:r>
        <w:t>.</w:t>
      </w:r>
      <w:r>
        <w:tab/>
        <w:t>Reasons for decision may be withheld</w:t>
      </w:r>
      <w:bookmarkEnd w:id="353"/>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354" w:name="_Toc118377845"/>
      <w:r>
        <w:rPr>
          <w:rStyle w:val="CharSectno"/>
        </w:rPr>
        <w:t>115</w:t>
      </w:r>
      <w:r>
        <w:t>.</w:t>
      </w:r>
      <w:r>
        <w:tab/>
        <w:t>Rules of natural justice excluded</w:t>
      </w:r>
      <w:bookmarkEnd w:id="354"/>
    </w:p>
    <w:p>
      <w:pPr>
        <w:pStyle w:val="Subsection"/>
        <w:rPr>
          <w:snapToGrid w:val="0"/>
          <w:spacing w:val="-4"/>
        </w:rPr>
      </w:pPr>
      <w:r>
        <w:rPr>
          <w:spacing w:val="-4"/>
        </w:rPr>
        <w:tab/>
      </w:r>
      <w:r>
        <w:rPr>
          <w:spacing w:val="-4"/>
        </w:rPr>
        <w:tab/>
      </w:r>
      <w:r>
        <w:rPr>
          <w:snapToGrid w:val="0"/>
          <w:spacing w:val="-4"/>
        </w:rPr>
        <w:t xml:space="preserve">The rules known as the rules of natural justice (including any duty of procedural fairness) do not apply to or in relation to the doing or omission of any act, matter or thing under </w:t>
      </w:r>
      <w:r>
        <w:t xml:space="preserve">Parts 1 </w:t>
      </w:r>
      <w:r>
        <w:rPr>
          <w:snapToGrid w:val="0"/>
          <w:spacing w:val="-4"/>
        </w:rPr>
        <w:t>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Footnotesection"/>
      </w:pPr>
      <w:r>
        <w:tab/>
        <w:t>[Section 115 amended: No. 14 of 2022 s. 23.]</w:t>
      </w:r>
    </w:p>
    <w:p>
      <w:pPr>
        <w:pStyle w:val="Heading5"/>
      </w:pPr>
      <w:bookmarkStart w:id="355" w:name="_Toc118377846"/>
      <w:r>
        <w:rPr>
          <w:rStyle w:val="CharSectno"/>
        </w:rPr>
        <w:t>115A</w:t>
      </w:r>
      <w:r>
        <w:t>.</w:t>
      </w:r>
      <w:r>
        <w:tab/>
        <w:t>Board may review decisions about release</w:t>
      </w:r>
      <w:bookmarkEnd w:id="355"/>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keepNext/>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w:t>
      </w:r>
      <w:r>
        <w:lastRenderedPageBreak/>
        <w:t xml:space="preserve">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 xml:space="preserve">For the purposes of this section, the following decisions are not reviewable decisions — </w:t>
      </w:r>
    </w:p>
    <w:p>
      <w:pPr>
        <w:pStyle w:val="Indenta"/>
      </w:pPr>
      <w:r>
        <w:tab/>
        <w:t>(a)</w:t>
      </w:r>
      <w:r>
        <w:tab/>
        <w:t>a decision made by the Board under Part 5 Division 1B or</w:t>
      </w:r>
      <w:r>
        <w:rPr>
          <w:szCs w:val="24"/>
        </w:rPr>
        <w:t xml:space="preserve"> section 67A(2)</w:t>
      </w:r>
      <w:r>
        <w:t xml:space="preserve"> in relation to an early release order; </w:t>
      </w:r>
    </w:p>
    <w:p>
      <w:pPr>
        <w:pStyle w:val="Indenta"/>
      </w:pPr>
      <w:r>
        <w:tab/>
        <w:t>(b)</w:t>
      </w:r>
      <w:r>
        <w:tab/>
        <w:t xml:space="preserve">a decision made by the Board in relation to a prisoner with links to terrorism — </w:t>
      </w:r>
    </w:p>
    <w:p>
      <w:pPr>
        <w:pStyle w:val="Indenti"/>
      </w:pPr>
      <w:r>
        <w:tab/>
        <w:t>(i)</w:t>
      </w:r>
      <w:r>
        <w:tab/>
        <w:t xml:space="preserve">not to make a request under section 13(4) after receiving a report about the prisoner under section 13(3); or </w:t>
      </w:r>
    </w:p>
    <w:p>
      <w:pPr>
        <w:pStyle w:val="Indenti"/>
      </w:pPr>
      <w:r>
        <w:tab/>
        <w:t>(ii)</w:t>
      </w:r>
      <w:r>
        <w:tab/>
        <w:t>not to endorse, with or without variations, the prisoner’s participation in a re</w:t>
      </w:r>
      <w:r>
        <w:noBreakHyphen/>
        <w:t xml:space="preserve">socialisation programme received under section 13(4); </w:t>
      </w:r>
    </w:p>
    <w:p>
      <w:pPr>
        <w:pStyle w:val="Indenta"/>
      </w:pPr>
      <w:r>
        <w:tab/>
        <w:t>(c)</w:t>
      </w:r>
      <w:r>
        <w:tab/>
        <w:t>a decision made by the Board as to the nature or content of a re</w:t>
      </w:r>
      <w:r>
        <w:noBreakHyphen/>
        <w:t xml:space="preserve">socialisation programme endorsed under section 13(5) or approved under section 14(5) in relation to a prisoner with links to terrorism; </w:t>
      </w:r>
    </w:p>
    <w:p>
      <w:pPr>
        <w:pStyle w:val="Indenta"/>
      </w:pPr>
      <w:r>
        <w:lastRenderedPageBreak/>
        <w:tab/>
        <w:t>(d)</w:t>
      </w:r>
      <w:r>
        <w:tab/>
        <w:t>a decision made by the Board under subsection (8), or by the Board on further consideration of a matter pursuant to a decision under subsection (8).</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keepNext/>
      </w:pPr>
      <w:r>
        <w:lastRenderedPageBreak/>
        <w:tab/>
        <w:t>(11)</w:t>
      </w:r>
      <w:r>
        <w:tab/>
        <w:t>The Board must give the applicant written notice of any decision on a review requested under this section.</w:t>
      </w:r>
    </w:p>
    <w:p>
      <w:pPr>
        <w:pStyle w:val="Footnotesection"/>
      </w:pPr>
      <w:r>
        <w:tab/>
        <w:t>[Section 115A amended: No. 41 of 2006 s. 65; No. 45 of 2016 s. 37; No. 14 of 2022 s. 24.]</w:t>
      </w:r>
    </w:p>
    <w:p>
      <w:pPr>
        <w:pStyle w:val="Heading5"/>
      </w:pPr>
      <w:bookmarkStart w:id="356" w:name="_Toc103867554"/>
      <w:bookmarkStart w:id="357" w:name="_Toc118377847"/>
      <w:r>
        <w:rPr>
          <w:rStyle w:val="CharSectno"/>
        </w:rPr>
        <w:t>115B</w:t>
      </w:r>
      <w:r>
        <w:t>.</w:t>
      </w:r>
      <w:r>
        <w:tab/>
        <w:t>Decisions made by Board as constituted by chairperson alone may be reconsidered</w:t>
      </w:r>
      <w:bookmarkEnd w:id="356"/>
      <w:bookmarkEnd w:id="357"/>
    </w:p>
    <w:p>
      <w:pPr>
        <w:pStyle w:val="Subsection"/>
      </w:pPr>
      <w:r>
        <w:tab/>
        <w:t>(1)</w:t>
      </w:r>
      <w:r>
        <w:tab/>
        <w:t>This section applies to decisions referred to in section 115A(4)(a), (b) and (c).</w:t>
      </w:r>
    </w:p>
    <w:p>
      <w:pPr>
        <w:pStyle w:val="Subsection"/>
      </w:pPr>
      <w:r>
        <w:tab/>
        <w:t>(2)</w:t>
      </w:r>
      <w:r>
        <w:tab/>
        <w:t>A prisoner about whom the decision is made may request that the Board, as constituted by the chairperson alone, reconsider the decision.</w:t>
      </w:r>
    </w:p>
    <w:p>
      <w:pPr>
        <w:pStyle w:val="Subsection"/>
      </w:pPr>
      <w:r>
        <w:tab/>
        <w:t>(3)</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(4)</w:t>
      </w:r>
      <w:r>
        <w:tab/>
        <w:t xml:space="preserve">A request may be made only on the grounds that the Board in making the decision —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(5)</w:t>
      </w:r>
      <w:r>
        <w:tab/>
        <w:t>When a request is made, the Board, as constituted by the chairperson alone, must consider any submissions included in it and reconsider the decision concerned and may —</w:t>
      </w:r>
    </w:p>
    <w:p>
      <w:pPr>
        <w:pStyle w:val="Indenta"/>
      </w:pPr>
      <w:r>
        <w:tab/>
        <w:t>(a)</w:t>
      </w:r>
      <w:r>
        <w:tab/>
        <w:t>confirm, amend or cancel the decision; or</w:t>
      </w:r>
    </w:p>
    <w:p>
      <w:pPr>
        <w:pStyle w:val="Indenta"/>
      </w:pPr>
      <w:r>
        <w:tab/>
        <w:t>(b)</w:t>
      </w:r>
      <w:r>
        <w:tab/>
        <w:t>make another decision.</w:t>
      </w:r>
    </w:p>
    <w:p>
      <w:pPr>
        <w:pStyle w:val="Subsection"/>
      </w:pPr>
      <w:r>
        <w:lastRenderedPageBreak/>
        <w:tab/>
        <w:t>(6)</w:t>
      </w:r>
      <w:r>
        <w:tab/>
        <w:t>The Board, as constituted by the chairperson alone, must give the applicant written notice of any decision made under subsection (5).</w:t>
      </w:r>
    </w:p>
    <w:p>
      <w:pPr>
        <w:pStyle w:val="Subsection"/>
      </w:pPr>
      <w:r>
        <w:tab/>
        <w:t>(7)</w:t>
      </w:r>
      <w:r>
        <w:tab/>
        <w:t>A decision made under subsection (5) is not subject to reconsideration under this section.</w:t>
      </w:r>
    </w:p>
    <w:p>
      <w:pPr>
        <w:pStyle w:val="Footnotesection"/>
      </w:pPr>
      <w:r>
        <w:tab/>
        <w:t>[Section 115B inserted: No. 14 of 2022 s. 25.]</w:t>
      </w:r>
    </w:p>
    <w:p>
      <w:pPr>
        <w:pStyle w:val="Heading5"/>
      </w:pPr>
      <w:bookmarkStart w:id="358" w:name="_Toc118377848"/>
      <w:r>
        <w:rPr>
          <w:rStyle w:val="CharSectno"/>
        </w:rPr>
        <w:t>116</w:t>
      </w:r>
      <w:r>
        <w:t>.</w:t>
      </w:r>
      <w:r>
        <w:tab/>
        <w:t>Arrest warrant may be issued if warrant of commitment in force</w:t>
      </w:r>
      <w:bookmarkEnd w:id="358"/>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359" w:name="_Toc118377849"/>
      <w:r>
        <w:rPr>
          <w:rStyle w:val="CharSectno"/>
        </w:rPr>
        <w:t>117</w:t>
      </w:r>
      <w:r>
        <w:t>.</w:t>
      </w:r>
      <w:r>
        <w:tab/>
        <w:t>Issue and execution of warrants</w:t>
      </w:r>
      <w:bookmarkEnd w:id="359"/>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keepNext/>
        <w:rPr>
          <w:snapToGrid w:val="0"/>
        </w:rPr>
      </w:pPr>
      <w:r>
        <w:lastRenderedPageBreak/>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360" w:name="_Toc118377850"/>
      <w:r>
        <w:rPr>
          <w:rStyle w:val="CharSectno"/>
        </w:rPr>
        <w:t>118</w:t>
      </w:r>
      <w:r>
        <w:t>.</w:t>
      </w:r>
      <w:r>
        <w:tab/>
        <w:t>Monitoring equipment, retrieval of etc.</w:t>
      </w:r>
      <w:bookmarkEnd w:id="360"/>
    </w:p>
    <w:p>
      <w:pPr>
        <w:pStyle w:val="Subsection"/>
        <w:keepNext/>
      </w:pPr>
      <w:r>
        <w:tab/>
        <w:t>(1)</w:t>
      </w:r>
      <w:r>
        <w:tab/>
        <w:t>In this section —</w:t>
      </w:r>
    </w:p>
    <w:p>
      <w:pPr>
        <w:pStyle w:val="Defstart"/>
        <w:keepNex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keepNext/>
        <w:rPr>
          <w:snapToGrid w:val="0"/>
        </w:rPr>
      </w:pPr>
      <w:r>
        <w:lastRenderedPageBreak/>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keepNext/>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keepNext/>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keepNext/>
      </w:pPr>
      <w:r>
        <w:tab/>
        <w:t>Penalty for this subsection: a fine of $12 000 or imprisonment for 12 months.</w:t>
      </w:r>
    </w:p>
    <w:p>
      <w:pPr>
        <w:pStyle w:val="Footnotesection"/>
      </w:pPr>
      <w:r>
        <w:tab/>
        <w:t>[Section 118 amended: No. 13 of 2020 s. 19.]</w:t>
      </w:r>
    </w:p>
    <w:p>
      <w:pPr>
        <w:pStyle w:val="Heading5"/>
      </w:pPr>
      <w:bookmarkStart w:id="361" w:name="_Toc118377851"/>
      <w:r>
        <w:rPr>
          <w:rStyle w:val="CharSectno"/>
        </w:rPr>
        <w:t>119</w:t>
      </w:r>
      <w:r>
        <w:t>.</w:t>
      </w:r>
      <w:r>
        <w:tab/>
        <w:t>Information, disclosure and use of by departmental staff etc.</w:t>
      </w:r>
      <w:bookmarkEnd w:id="361"/>
    </w:p>
    <w:p>
      <w:pPr>
        <w:pStyle w:val="Subsection"/>
        <w:keepNext/>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lastRenderedPageBreak/>
        <w:tab/>
        <w:t>(ba)</w:t>
      </w:r>
      <w:r>
        <w:tab/>
        <w:t xml:space="preserve">under the </w:t>
      </w:r>
      <w:r>
        <w:rPr>
          <w:i/>
        </w:rPr>
        <w:t xml:space="preserve">High Risk Serious Offenders Act 2020 </w:t>
      </w:r>
      <w:r>
        <w:t>section 25(1) or 40(2); or</w:t>
      </w:r>
    </w:p>
    <w:p>
      <w:pPr>
        <w:pStyle w:val="Indenta"/>
        <w:keepNext/>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keepNext/>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keepNext/>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362" w:name="_Toc103867556"/>
      <w:bookmarkStart w:id="363" w:name="_Toc118377852"/>
      <w:r>
        <w:rPr>
          <w:rStyle w:val="CharSectno"/>
        </w:rPr>
        <w:t>119A</w:t>
      </w:r>
      <w:r>
        <w:t>.</w:t>
      </w:r>
      <w:r>
        <w:tab/>
        <w:t>Protection of Commissioner of Police reports that may be withdrawn</w:t>
      </w:r>
      <w:bookmarkEnd w:id="362"/>
      <w:bookmarkEnd w:id="363"/>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This section applies if the Board must, under section 66I(2), give the Commissioner of Police an opportunity to withdraw a Commissioner of Police report.</w:t>
      </w:r>
    </w:p>
    <w:p>
      <w:pPr>
        <w:pStyle w:val="Subsection"/>
      </w:pPr>
      <w:r>
        <w:tab/>
        <w:t>(3)</w:t>
      </w:r>
      <w:r>
        <w:tab/>
        <w:t xml:space="preserve">Until the Commissioner of Police is given a reasonable opportunity to withdraw the report, the Board must take all reasonable steps to prohibit the publication of, or a reference to, the report. </w:t>
      </w:r>
    </w:p>
    <w:p>
      <w:pPr>
        <w:pStyle w:val="Footnotesection"/>
      </w:pPr>
      <w:bookmarkStart w:id="364" w:name="_Toc103867557"/>
      <w:r>
        <w:tab/>
        <w:t>[Section 119A inserted: No. 14 of 2022 s. 26.]</w:t>
      </w:r>
    </w:p>
    <w:p>
      <w:pPr>
        <w:pStyle w:val="Heading5"/>
      </w:pPr>
      <w:bookmarkStart w:id="365" w:name="_Toc118377853"/>
      <w:r>
        <w:rPr>
          <w:rStyle w:val="CharSectno"/>
        </w:rPr>
        <w:t>119B</w:t>
      </w:r>
      <w:r>
        <w:t>.</w:t>
      </w:r>
      <w:r>
        <w:tab/>
        <w:t>Protection of Commissioner of Police reports containing terrorist intelligence information</w:t>
      </w:r>
      <w:bookmarkEnd w:id="364"/>
      <w:bookmarkEnd w:id="365"/>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keepNext/>
      </w:pPr>
      <w:r>
        <w:tab/>
        <w:t>(2)</w:t>
      </w:r>
      <w:r>
        <w:tab/>
        <w:t xml:space="preserve">The Board must take all reasonable steps to maintain the confidentiality of a Commissioner of Police report that the </w:t>
      </w:r>
      <w:r>
        <w:lastRenderedPageBreak/>
        <w:t>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 under section 114.</w:t>
      </w:r>
    </w:p>
    <w:p>
      <w:pPr>
        <w:pStyle w:val="Subsection"/>
        <w:keepNext/>
      </w:pPr>
      <w:r>
        <w:tab/>
        <w:t>(3)</w:t>
      </w:r>
      <w:r>
        <w:tab/>
        <w:t xml:space="preserve">Despite subsection (2), the Board may give the report to — </w:t>
      </w:r>
    </w:p>
    <w:p>
      <w:pPr>
        <w:pStyle w:val="Indenta"/>
      </w:pPr>
      <w:r>
        <w:tab/>
        <w:t>(a)</w:t>
      </w:r>
      <w:r>
        <w:tab/>
        <w:t xml:space="preserve">the Attorney General; or </w:t>
      </w:r>
    </w:p>
    <w:p>
      <w:pPr>
        <w:pStyle w:val="Indenta"/>
      </w:pPr>
      <w:r>
        <w:tab/>
        <w:t>(b)</w:t>
      </w:r>
      <w:r>
        <w:tab/>
        <w:t>a court; or</w:t>
      </w:r>
    </w:p>
    <w:p>
      <w:pPr>
        <w:pStyle w:val="Indenta"/>
      </w:pPr>
      <w:r>
        <w:tab/>
        <w:t>(c)</w:t>
      </w:r>
      <w:r>
        <w:tab/>
        <w:t>a person to whom the Board authorises disclosure.</w:t>
      </w:r>
    </w:p>
    <w:p>
      <w:pPr>
        <w:pStyle w:val="Subsection"/>
        <w:keepNext/>
      </w:pPr>
      <w:r>
        <w:tab/>
        <w:t>(4)</w:t>
      </w:r>
      <w:r>
        <w:tab/>
        <w:t xml:space="preserve">Before giving a report under subsection (3)(b) or (c), the Board must, in writing, notify the Commissioner of Police of the Board’s intention to give the report. </w:t>
      </w:r>
    </w:p>
    <w:p>
      <w:pPr>
        <w:pStyle w:val="Footnotesection"/>
      </w:pPr>
      <w:bookmarkStart w:id="366" w:name="_Toc103867558"/>
      <w:r>
        <w:tab/>
        <w:t>[Section 119B inserted: No. 14 of 2022 s. 26.]</w:t>
      </w:r>
    </w:p>
    <w:p>
      <w:pPr>
        <w:pStyle w:val="Heading5"/>
      </w:pPr>
      <w:bookmarkStart w:id="367" w:name="_Toc118377854"/>
      <w:r>
        <w:rPr>
          <w:rStyle w:val="CharSectno"/>
        </w:rPr>
        <w:t>119C</w:t>
      </w:r>
      <w:r>
        <w:t>.</w:t>
      </w:r>
      <w:r>
        <w:tab/>
        <w:t>Protection of terrorist intelligence information in legal proceedings</w:t>
      </w:r>
      <w:bookmarkEnd w:id="366"/>
      <w:bookmarkEnd w:id="367"/>
    </w:p>
    <w:p>
      <w:pPr>
        <w:pStyle w:val="Subsection"/>
      </w:pPr>
      <w:r>
        <w:tab/>
        <w:t>(1)</w:t>
      </w:r>
      <w:r>
        <w:tab/>
        <w:t xml:space="preserve">In this section — </w:t>
      </w:r>
    </w:p>
    <w:p>
      <w:pPr>
        <w:pStyle w:val="Defstart"/>
      </w:pPr>
      <w:r>
        <w:tab/>
      </w:r>
      <w:r>
        <w:rPr>
          <w:rStyle w:val="CharDefText"/>
        </w:rPr>
        <w:t>court</w:t>
      </w:r>
      <w:r>
        <w:t xml:space="preserve"> includes any tribunal, authority or person having the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keepNext/>
      </w:pPr>
      <w:r>
        <w:tab/>
        <w:t>(2)</w:t>
      </w:r>
      <w:r>
        <w:tab/>
      </w:r>
      <w:r>
        <w:rPr>
          <w:szCs w:val="24"/>
        </w:rPr>
        <w:t xml:space="preserve">In any legal proceeding relating to, or requiring the disclosure of, information included in a </w:t>
      </w:r>
      <w:r>
        <w:t xml:space="preserve">Commissioner of Police report that </w:t>
      </w:r>
      <w:r>
        <w:lastRenderedPageBreak/>
        <w:t>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119C inserted: No. 14 of 2022 s. 26.]</w:t>
      </w:r>
    </w:p>
    <w:p>
      <w:pPr>
        <w:pStyle w:val="Heading5"/>
      </w:pPr>
      <w:bookmarkStart w:id="368" w:name="_Toc118377855"/>
      <w:r>
        <w:rPr>
          <w:rStyle w:val="CharSectno"/>
        </w:rPr>
        <w:t>120</w:t>
      </w:r>
      <w:r>
        <w:t>.</w:t>
      </w:r>
      <w:r>
        <w:tab/>
        <w:t>Protection from personal liability for torts</w:t>
      </w:r>
      <w:bookmarkEnd w:id="368"/>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369" w:name="_Toc103867560"/>
      <w:bookmarkStart w:id="370" w:name="_Toc118377856"/>
      <w:r>
        <w:rPr>
          <w:rStyle w:val="CharSectno"/>
        </w:rPr>
        <w:lastRenderedPageBreak/>
        <w:t>120A</w:t>
      </w:r>
      <w:r>
        <w:t>.</w:t>
      </w:r>
      <w:r>
        <w:tab/>
        <w:t>Delegation by Commissioner of Police</w:t>
      </w:r>
      <w:bookmarkEnd w:id="369"/>
      <w:bookmarkEnd w:id="370"/>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120A inserted: No. 14 of 2022 s. 27.]</w:t>
      </w:r>
    </w:p>
    <w:p>
      <w:pPr>
        <w:pStyle w:val="Heading5"/>
      </w:pPr>
      <w:bookmarkStart w:id="371" w:name="_Toc118377857"/>
      <w:r>
        <w:rPr>
          <w:rStyle w:val="CharSectno"/>
        </w:rPr>
        <w:t>121</w:t>
      </w:r>
      <w:r>
        <w:t>.</w:t>
      </w:r>
      <w:r>
        <w:tab/>
        <w:t>Regulations</w:t>
      </w:r>
      <w:bookmarkEnd w:id="371"/>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372" w:name="_Toc118377858"/>
      <w:r>
        <w:rPr>
          <w:rStyle w:val="CharSectno"/>
        </w:rPr>
        <w:t>122</w:t>
      </w:r>
      <w:r>
        <w:t>.</w:t>
      </w:r>
      <w:r>
        <w:tab/>
        <w:t>Review of Act</w:t>
      </w:r>
      <w:bookmarkEnd w:id="372"/>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373" w:name="_Toc118361598"/>
      <w:bookmarkStart w:id="374" w:name="_Toc118365237"/>
      <w:bookmarkStart w:id="375" w:name="_Toc118377142"/>
      <w:bookmarkStart w:id="376" w:name="_Toc118377859"/>
      <w:r>
        <w:rPr>
          <w:rStyle w:val="CharPartNo"/>
        </w:rPr>
        <w:lastRenderedPageBreak/>
        <w:t>Part 11</w:t>
      </w:r>
      <w:r>
        <w:t> — </w:t>
      </w:r>
      <w:r>
        <w:rPr>
          <w:rStyle w:val="CharPartText"/>
        </w:rPr>
        <w:t>Transitional and validation provisions</w:t>
      </w:r>
      <w:bookmarkEnd w:id="373"/>
      <w:bookmarkEnd w:id="374"/>
      <w:bookmarkEnd w:id="375"/>
      <w:bookmarkEnd w:id="376"/>
    </w:p>
    <w:p>
      <w:pPr>
        <w:pStyle w:val="Footnoteheading"/>
      </w:pPr>
      <w:r>
        <w:tab/>
        <w:t>[Heading inserted: No. 45 of 2016 s. 14; amended: No. 45 of 2016 s. 38.]</w:t>
      </w:r>
    </w:p>
    <w:p>
      <w:pPr>
        <w:pStyle w:val="Heading3"/>
      </w:pPr>
      <w:bookmarkStart w:id="377" w:name="_Toc118361599"/>
      <w:bookmarkStart w:id="378" w:name="_Toc118365238"/>
      <w:bookmarkStart w:id="379" w:name="_Toc118377143"/>
      <w:bookmarkStart w:id="380" w:name="_Toc118377860"/>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377"/>
      <w:bookmarkEnd w:id="378"/>
      <w:bookmarkEnd w:id="379"/>
      <w:bookmarkEnd w:id="380"/>
    </w:p>
    <w:p>
      <w:pPr>
        <w:pStyle w:val="Footnoteheading"/>
      </w:pPr>
      <w:r>
        <w:tab/>
        <w:t>[Heading inserted: No. 45 of 2016 s. 39.]</w:t>
      </w:r>
    </w:p>
    <w:p>
      <w:pPr>
        <w:pStyle w:val="Heading5"/>
      </w:pPr>
      <w:bookmarkStart w:id="381" w:name="_Toc118377861"/>
      <w:r>
        <w:rPr>
          <w:rStyle w:val="CharSectno"/>
        </w:rPr>
        <w:t>123</w:t>
      </w:r>
      <w:r>
        <w:t>.</w:t>
      </w:r>
      <w:r>
        <w:tab/>
        <w:t>Terms used</w:t>
      </w:r>
      <w:bookmarkEnd w:id="381"/>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382" w:name="_Toc118377862"/>
      <w:r>
        <w:rPr>
          <w:rStyle w:val="CharSectno"/>
        </w:rPr>
        <w:lastRenderedPageBreak/>
        <w:t>124</w:t>
      </w:r>
      <w:r>
        <w:t>.</w:t>
      </w:r>
      <w:r>
        <w:tab/>
        <w:t>Reports during the transitional period: pre</w:t>
      </w:r>
      <w:r>
        <w:noBreakHyphen/>
        <w:t>1996 prisoners</w:t>
      </w:r>
      <w:bookmarkEnd w:id="382"/>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383" w:name="_Toc118377863"/>
      <w:r>
        <w:rPr>
          <w:rStyle w:val="CharSectno"/>
        </w:rPr>
        <w:t>125</w:t>
      </w:r>
      <w:r>
        <w:t>.</w:t>
      </w:r>
      <w:r>
        <w:tab/>
        <w:t>Participation in re</w:t>
      </w:r>
      <w:r>
        <w:noBreakHyphen/>
        <w:t>socialisation programmes: pre</w:t>
      </w:r>
      <w:r>
        <w:noBreakHyphen/>
        <w:t>1996 prisoners</w:t>
      </w:r>
      <w:bookmarkEnd w:id="383"/>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384" w:name="_Toc118377864"/>
      <w:r>
        <w:rPr>
          <w:rStyle w:val="CharSectno"/>
        </w:rPr>
        <w:lastRenderedPageBreak/>
        <w:t>126</w:t>
      </w:r>
      <w:r>
        <w:t>.</w:t>
      </w:r>
      <w:r>
        <w:tab/>
        <w:t>Release on parole: pre</w:t>
      </w:r>
      <w:r>
        <w:noBreakHyphen/>
        <w:t>1996 prisoners</w:t>
      </w:r>
      <w:bookmarkEnd w:id="384"/>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385" w:name="_Toc118377865"/>
      <w:r>
        <w:rPr>
          <w:rStyle w:val="CharSectno"/>
        </w:rPr>
        <w:t>127</w:t>
      </w:r>
      <w:r>
        <w:t>.</w:t>
      </w:r>
      <w:r>
        <w:tab/>
        <w:t>Validation of parole orders: pre</w:t>
      </w:r>
      <w:r>
        <w:noBreakHyphen/>
        <w:t>1996 prisoner</w:t>
      </w:r>
      <w:bookmarkEnd w:id="385"/>
    </w:p>
    <w:p>
      <w:pPr>
        <w:pStyle w:val="Subsection"/>
      </w:pPr>
      <w:r>
        <w:tab/>
      </w:r>
      <w:r>
        <w:tab/>
        <w:t>A parole order made in relation to the release from custody of a pre</w:t>
      </w:r>
      <w:r>
        <w:noBreakHyphen/>
        <w:t xml:space="preserve">1996 prisoner is, and is taken to have always been, as valid </w:t>
      </w:r>
      <w:r>
        <w:lastRenderedPageBreak/>
        <w:t>as it would have been if this Division had been if force when it was made.</w:t>
      </w:r>
    </w:p>
    <w:p>
      <w:pPr>
        <w:pStyle w:val="Footnotesection"/>
      </w:pPr>
      <w:r>
        <w:tab/>
        <w:t>[Section 127 inserted: No. 45 of 2016 s. 14; amended: No. 45 of 2016 s. 41.]</w:t>
      </w:r>
    </w:p>
    <w:p>
      <w:pPr>
        <w:pStyle w:val="Heading5"/>
      </w:pPr>
      <w:bookmarkStart w:id="386" w:name="_Toc118377866"/>
      <w:r>
        <w:rPr>
          <w:rStyle w:val="CharSectno"/>
        </w:rPr>
        <w:t>128</w:t>
      </w:r>
      <w:r>
        <w:t>.</w:t>
      </w:r>
      <w:r>
        <w:tab/>
        <w:t>Inconsistency with former transitional provisions</w:t>
      </w:r>
      <w:bookmarkEnd w:id="386"/>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387" w:name="_Toc118361606"/>
      <w:bookmarkStart w:id="388" w:name="_Toc118365245"/>
      <w:bookmarkStart w:id="389" w:name="_Toc118377150"/>
      <w:bookmarkStart w:id="390" w:name="_Toc118377867"/>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387"/>
      <w:bookmarkEnd w:id="388"/>
      <w:bookmarkEnd w:id="389"/>
      <w:bookmarkEnd w:id="390"/>
    </w:p>
    <w:p>
      <w:pPr>
        <w:pStyle w:val="Footnoteheading"/>
      </w:pPr>
      <w:r>
        <w:tab/>
        <w:t>[Heading inserted: No. 45 of 2016 s. 43.]</w:t>
      </w:r>
    </w:p>
    <w:p>
      <w:pPr>
        <w:pStyle w:val="Heading5"/>
      </w:pPr>
      <w:bookmarkStart w:id="391" w:name="_Toc118377868"/>
      <w:r>
        <w:t>129.</w:t>
      </w:r>
      <w:r>
        <w:tab/>
        <w:t>Continued application of former Part 3 Division 4</w:t>
      </w:r>
      <w:bookmarkEnd w:id="39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2" w:name="_Toc118361608"/>
      <w:bookmarkStart w:id="393" w:name="_Toc118365247"/>
      <w:bookmarkStart w:id="394" w:name="_Toc118377152"/>
      <w:bookmarkStart w:id="395" w:name="_Toc118377869"/>
      <w:r>
        <w:rPr>
          <w:rStyle w:val="CharSchNo"/>
        </w:rPr>
        <w:lastRenderedPageBreak/>
        <w:t>Schedule 1</w:t>
      </w:r>
      <w:r>
        <w:t> — </w:t>
      </w:r>
      <w:r>
        <w:rPr>
          <w:rStyle w:val="CharSchText"/>
        </w:rPr>
        <w:t>Provisions applying to the Prisoners Review Board</w:t>
      </w:r>
      <w:bookmarkEnd w:id="392"/>
      <w:bookmarkEnd w:id="393"/>
      <w:bookmarkEnd w:id="394"/>
      <w:bookmarkEnd w:id="395"/>
    </w:p>
    <w:p>
      <w:pPr>
        <w:pStyle w:val="yShoulderClause"/>
      </w:pPr>
      <w:r>
        <w:t>[s. 105]</w:t>
      </w:r>
    </w:p>
    <w:p>
      <w:pPr>
        <w:pStyle w:val="yFootnoteheading"/>
      </w:pPr>
      <w:r>
        <w:tab/>
        <w:t>[Heading inserted: No. 41 of 2006 s. 68.]</w:t>
      </w:r>
    </w:p>
    <w:p>
      <w:pPr>
        <w:pStyle w:val="yHeading5"/>
      </w:pPr>
      <w:bookmarkStart w:id="396" w:name="_Toc118377870"/>
      <w:r>
        <w:rPr>
          <w:rStyle w:val="CharSClsNo"/>
        </w:rPr>
        <w:t>1</w:t>
      </w:r>
      <w:r>
        <w:t>.</w:t>
      </w:r>
      <w:r>
        <w:tab/>
        <w:t>Term used: member</w:t>
      </w:r>
      <w:bookmarkEnd w:id="396"/>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397" w:name="_Toc118377871"/>
      <w:r>
        <w:rPr>
          <w:rStyle w:val="CharSClsNo"/>
        </w:rPr>
        <w:t>2</w:t>
      </w:r>
      <w:r>
        <w:t>.</w:t>
      </w:r>
      <w:r>
        <w:tab/>
        <w:t>Term etc. of office</w:t>
      </w:r>
      <w:bookmarkEnd w:id="397"/>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 xml:space="preserve">A member appointed by the CEO ceases to be a member by resignation under clause 3, or on ceasing to be an officer of the Public Sector agency of which the CEO is the chief executive officer, or </w:t>
      </w:r>
      <w:r>
        <w:rPr>
          <w:snapToGrid w:val="0"/>
        </w:rPr>
        <w:lastRenderedPageBreak/>
        <w:t>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398" w:name="_Toc118377872"/>
      <w:r>
        <w:rPr>
          <w:rStyle w:val="CharSClsNo"/>
        </w:rPr>
        <w:t>3</w:t>
      </w:r>
      <w:r>
        <w:t>.</w:t>
      </w:r>
      <w:r>
        <w:tab/>
        <w:t>Resignation</w:t>
      </w:r>
      <w:bookmarkEnd w:id="398"/>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399" w:name="_Toc118377873"/>
      <w:r>
        <w:rPr>
          <w:rStyle w:val="CharSClsNo"/>
        </w:rPr>
        <w:t>4</w:t>
      </w:r>
      <w:r>
        <w:t>.</w:t>
      </w:r>
      <w:r>
        <w:tab/>
        <w:t>Terminating appointments</w:t>
      </w:r>
      <w:bookmarkEnd w:id="399"/>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lastRenderedPageBreak/>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400" w:name="_Toc118377874"/>
      <w:r>
        <w:rPr>
          <w:rStyle w:val="CharSClsNo"/>
        </w:rPr>
        <w:t>5</w:t>
      </w:r>
      <w:r>
        <w:t>.</w:t>
      </w:r>
      <w:r>
        <w:tab/>
        <w:t>Meetings</w:t>
      </w:r>
      <w:bookmarkEnd w:id="400"/>
    </w:p>
    <w:p>
      <w:pPr>
        <w:pStyle w:val="ySubsection"/>
      </w:pPr>
      <w:r>
        <w:tab/>
        <w:t>(1A)</w:t>
      </w:r>
      <w:r>
        <w:tab/>
        <w:t>This clause does not apply in relation to a meeting of the Board held for the purposes of Part 5 Division 1B or section 67A.</w:t>
      </w:r>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lastRenderedPageBreak/>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 amended: No. 14 of 2022 s. 28.]</w:t>
      </w:r>
    </w:p>
    <w:p>
      <w:pPr>
        <w:pStyle w:val="yHeading5"/>
      </w:pPr>
      <w:bookmarkStart w:id="401" w:name="_Toc118377875"/>
      <w:r>
        <w:rPr>
          <w:rStyle w:val="CharSClsNo"/>
        </w:rPr>
        <w:t>6</w:t>
      </w:r>
      <w:r>
        <w:rPr>
          <w:snapToGrid w:val="0"/>
        </w:rPr>
        <w:t>.</w:t>
      </w:r>
      <w:r>
        <w:rPr>
          <w:snapToGrid w:val="0"/>
        </w:rPr>
        <w:tab/>
      </w:r>
      <w:r>
        <w:t>Conditions of service</w:t>
      </w:r>
      <w:bookmarkEnd w:id="401"/>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402" w:name="_Toc118377876"/>
      <w:r>
        <w:rPr>
          <w:rStyle w:val="CharSClsNo"/>
        </w:rPr>
        <w:t>7</w:t>
      </w:r>
      <w:r>
        <w:t>.</w:t>
      </w:r>
      <w:r>
        <w:tab/>
        <w:t>Leave of absence</w:t>
      </w:r>
      <w:bookmarkEnd w:id="402"/>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04" w:name="_Toc118361616"/>
      <w:bookmarkStart w:id="405" w:name="_Toc118365255"/>
      <w:bookmarkStart w:id="406" w:name="_Toc118377160"/>
      <w:bookmarkStart w:id="407" w:name="_Toc118377877"/>
      <w:r>
        <w:rPr>
          <w:rStyle w:val="CharSchNo"/>
        </w:rPr>
        <w:lastRenderedPageBreak/>
        <w:t>Schedule 2</w:t>
      </w:r>
      <w:r>
        <w:t xml:space="preserve"> — </w:t>
      </w:r>
      <w:r>
        <w:rPr>
          <w:rStyle w:val="CharSchText"/>
        </w:rPr>
        <w:t>Serious offences</w:t>
      </w:r>
      <w:bookmarkEnd w:id="404"/>
      <w:bookmarkEnd w:id="405"/>
      <w:bookmarkEnd w:id="406"/>
      <w:bookmarkEnd w:id="407"/>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408" w:name="_Toc118361617"/>
      <w:bookmarkStart w:id="409" w:name="_Toc118365256"/>
      <w:bookmarkStart w:id="410" w:name="_Toc118377161"/>
      <w:bookmarkStart w:id="411" w:name="_Toc118377878"/>
      <w:r>
        <w:rPr>
          <w:rStyle w:val="CharSchNo"/>
        </w:rPr>
        <w:lastRenderedPageBreak/>
        <w:t>Schedule 3</w:t>
      </w:r>
      <w:r>
        <w:t> — </w:t>
      </w:r>
      <w:r>
        <w:rPr>
          <w:rStyle w:val="CharSchText"/>
        </w:rPr>
        <w:t>Reports and re</w:t>
      </w:r>
      <w:r>
        <w:rPr>
          <w:rStyle w:val="CharSchText"/>
        </w:rPr>
        <w:noBreakHyphen/>
        <w:t>socialisation programmes for certain prisoners</w:t>
      </w:r>
      <w:bookmarkEnd w:id="408"/>
      <w:bookmarkEnd w:id="409"/>
      <w:bookmarkEnd w:id="410"/>
      <w:bookmarkEnd w:id="411"/>
    </w:p>
    <w:p>
      <w:pPr>
        <w:pStyle w:val="yShoulderClause"/>
      </w:pPr>
      <w:r>
        <w:t>[s. 12A and 13]</w:t>
      </w:r>
    </w:p>
    <w:p>
      <w:pPr>
        <w:pStyle w:val="yFootnoteheading"/>
      </w:pPr>
      <w:r>
        <w:tab/>
        <w:t>[Heading inserted: No. 45 of 2016 s. 15.]</w:t>
      </w:r>
    </w:p>
    <w:p>
      <w:pPr>
        <w:pStyle w:val="yHeading3"/>
      </w:pPr>
      <w:bookmarkStart w:id="412" w:name="_Toc118361618"/>
      <w:bookmarkStart w:id="413" w:name="_Toc118365257"/>
      <w:bookmarkStart w:id="414" w:name="_Toc118377162"/>
      <w:bookmarkStart w:id="415" w:name="_Toc118377879"/>
      <w:r>
        <w:rPr>
          <w:rStyle w:val="CharSDivNo"/>
        </w:rPr>
        <w:t>Division 1</w:t>
      </w:r>
      <w:r>
        <w:rPr>
          <w:b w:val="0"/>
        </w:rPr>
        <w:t> — </w:t>
      </w:r>
      <w:r>
        <w:rPr>
          <w:rStyle w:val="CharSDivText"/>
        </w:rPr>
        <w:t>Current sentence types</w:t>
      </w:r>
      <w:bookmarkEnd w:id="412"/>
      <w:bookmarkEnd w:id="413"/>
      <w:bookmarkEnd w:id="414"/>
      <w:bookmarkEnd w:id="415"/>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416" w:name="_Toc118361619"/>
      <w:bookmarkStart w:id="417" w:name="_Toc118365258"/>
      <w:bookmarkStart w:id="418" w:name="_Toc118377163"/>
      <w:bookmarkStart w:id="419" w:name="_Toc118377880"/>
      <w:r>
        <w:rPr>
          <w:rStyle w:val="CharSDivNo"/>
        </w:rPr>
        <w:lastRenderedPageBreak/>
        <w:t>Division 2</w:t>
      </w:r>
      <w:r>
        <w:t> — </w:t>
      </w:r>
      <w:r>
        <w:rPr>
          <w:rStyle w:val="CharSDivText"/>
        </w:rPr>
        <w:t>Former sentence types</w:t>
      </w:r>
      <w:bookmarkEnd w:id="416"/>
      <w:bookmarkEnd w:id="417"/>
      <w:bookmarkEnd w:id="418"/>
      <w:bookmarkEnd w:id="419"/>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lastRenderedPageBreak/>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lastRenderedPageBreak/>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420" w:name="_Toc118361620"/>
      <w:bookmarkStart w:id="421" w:name="_Toc118365259"/>
      <w:bookmarkStart w:id="422" w:name="_Toc118377164"/>
      <w:bookmarkStart w:id="423" w:name="_Toc118377881"/>
      <w:r>
        <w:lastRenderedPageBreak/>
        <w:t>Notes</w:t>
      </w:r>
      <w:bookmarkEnd w:id="420"/>
      <w:bookmarkEnd w:id="421"/>
      <w:bookmarkEnd w:id="422"/>
      <w:bookmarkEnd w:id="423"/>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424" w:name="_Toc118377882"/>
      <w:r>
        <w:t>Compilation table</w:t>
      </w:r>
      <w:bookmarkEnd w:id="42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keepNext/>
              <w:spacing w:after="40"/>
              <w:rPr>
                <w:snapToGrid w:val="0"/>
              </w:rPr>
            </w:pPr>
            <w:r>
              <w:rPr>
                <w:b/>
                <w:bCs/>
                <w:snapToGrid w:val="0"/>
              </w:rPr>
              <w:lastRenderedPageBreak/>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pPr>
              <w:pStyle w:val="nTable"/>
              <w:spacing w:after="40"/>
            </w:pPr>
            <w:r>
              <w:t>25 of 2020</w:t>
            </w:r>
          </w:p>
        </w:tc>
        <w:tc>
          <w:tcPr>
            <w:tcW w:w="1190" w:type="dxa"/>
            <w:gridSpan w:val="2"/>
            <w:tcBorders>
              <w:top w:val="nil"/>
              <w:left w:val="nil"/>
              <w:bottom w:val="nil"/>
              <w:right w:val="nil"/>
            </w:tcBorders>
            <w:shd w:val="clear" w:color="auto" w:fill="auto"/>
          </w:tcPr>
          <w:p>
            <w:pPr>
              <w:pStyle w:val="nTable"/>
              <w:spacing w:after="40"/>
            </w:pPr>
            <w:r>
              <w:t>19 Jun 2020</w:t>
            </w:r>
          </w:p>
        </w:tc>
        <w:tc>
          <w:tcPr>
            <w:tcW w:w="2496" w:type="dxa"/>
            <w:tcBorders>
              <w:top w:val="nil"/>
              <w:left w:val="nil"/>
              <w:bottom w:val="nil"/>
            </w:tcBorders>
            <w:shd w:val="clear" w:color="auto" w:fill="auto"/>
          </w:tcPr>
          <w:p>
            <w:pPr>
              <w:pStyle w:val="nTable"/>
              <w:spacing w:after="40"/>
              <w:rPr>
                <w:snapToGrid w:val="0"/>
              </w:rPr>
            </w:pPr>
            <w:r>
              <w:t>29 Sep 2020 (see s. 2(1)(c) and SL 2020/159 cl. 2(a))</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lastRenderedPageBreak/>
              <w:t>Family Violence Legislation Reform Act 2020</w:t>
            </w:r>
            <w:r>
              <w:t xml:space="preserve"> Pt. 4 (other than s. 37)</w:t>
            </w:r>
          </w:p>
        </w:tc>
        <w:tc>
          <w:tcPr>
            <w:tcW w:w="1134" w:type="dxa"/>
            <w:tcBorders>
              <w:top w:val="nil"/>
              <w:left w:val="nil"/>
              <w:bottom w:val="nil"/>
              <w:right w:val="nil"/>
            </w:tcBorders>
            <w:shd w:val="clear" w:color="auto" w:fill="auto"/>
          </w:tcPr>
          <w:p>
            <w:pPr>
              <w:pStyle w:val="nTable"/>
              <w:spacing w:after="40"/>
            </w:pPr>
            <w:r>
              <w:t>30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1 Jan 2021 (see s. 2(1)(c) and SL 2020/125 cl. 2(c)(ii))</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nil"/>
              <w:right w:val="nil"/>
            </w:tcBorders>
            <w:shd w:val="clear" w:color="auto" w:fill="auto"/>
          </w:tcPr>
          <w:p>
            <w:pPr>
              <w:pStyle w:val="nTable"/>
              <w:spacing w:after="40"/>
            </w:pPr>
            <w:r>
              <w:t>34 of 2020</w:t>
            </w:r>
          </w:p>
        </w:tc>
        <w:tc>
          <w:tcPr>
            <w:tcW w:w="1190" w:type="dxa"/>
            <w:gridSpan w:val="2"/>
            <w:tcBorders>
              <w:top w:val="nil"/>
              <w:left w:val="nil"/>
              <w:bottom w:val="nil"/>
              <w:right w:val="nil"/>
            </w:tcBorders>
            <w:shd w:val="clear" w:color="auto" w:fill="auto"/>
          </w:tcPr>
          <w:p>
            <w:pPr>
              <w:pStyle w:val="nTable"/>
              <w:spacing w:after="40"/>
            </w:pPr>
            <w:r>
              <w:t>11 Sep 2020</w:t>
            </w:r>
          </w:p>
        </w:tc>
        <w:tc>
          <w:tcPr>
            <w:tcW w:w="2496" w:type="dxa"/>
            <w:tcBorders>
              <w:top w:val="nil"/>
              <w:left w:val="nil"/>
              <w:bottom w:val="nil"/>
            </w:tcBorders>
            <w:shd w:val="clear" w:color="auto" w:fill="auto"/>
          </w:tcPr>
          <w:p>
            <w:pPr>
              <w:pStyle w:val="nTable"/>
              <w:spacing w:after="40"/>
              <w:rPr>
                <w:snapToGrid w:val="0"/>
              </w:rPr>
            </w:pPr>
            <w:r>
              <w:rPr>
                <w:snapToGrid w:val="0"/>
              </w:rPr>
              <w:t>12 Sep 2020 (see s. 2(b))</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rPr>
            </w:pPr>
            <w:r>
              <w:rPr>
                <w:i/>
              </w:rPr>
              <w:t xml:space="preserve">Sentencing Legislation Amendment (Persons Linked to Terrorism) Act 2022 </w:t>
            </w:r>
            <w:r>
              <w:t>Pt. 2</w:t>
            </w:r>
          </w:p>
        </w:tc>
        <w:tc>
          <w:tcPr>
            <w:tcW w:w="1134" w:type="dxa"/>
            <w:tcBorders>
              <w:top w:val="nil"/>
              <w:left w:val="nil"/>
              <w:bottom w:val="single" w:sz="4" w:space="0" w:color="auto"/>
              <w:right w:val="nil"/>
            </w:tcBorders>
            <w:shd w:val="clear" w:color="auto" w:fill="auto"/>
          </w:tcPr>
          <w:p>
            <w:pPr>
              <w:pStyle w:val="nTable"/>
              <w:spacing w:after="40"/>
            </w:pPr>
            <w:r>
              <w:t>14 of 2022</w:t>
            </w:r>
          </w:p>
        </w:tc>
        <w:tc>
          <w:tcPr>
            <w:tcW w:w="1190" w:type="dxa"/>
            <w:gridSpan w:val="2"/>
            <w:tcBorders>
              <w:top w:val="nil"/>
              <w:left w:val="nil"/>
              <w:bottom w:val="single" w:sz="4" w:space="0" w:color="auto"/>
              <w:right w:val="nil"/>
            </w:tcBorders>
            <w:shd w:val="clear" w:color="auto" w:fill="auto"/>
          </w:tcPr>
          <w:p>
            <w:pPr>
              <w:pStyle w:val="nTable"/>
              <w:spacing w:after="40"/>
            </w:pPr>
            <w:r>
              <w:t>18 May 2022</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11 Nov 2022 (see s. 2(b) and SL 2022/182 cl. 2)</w:t>
            </w:r>
          </w:p>
        </w:tc>
      </w:tr>
    </w:tbl>
    <w:p>
      <w:pPr>
        <w:pStyle w:val="nHeading3"/>
      </w:pPr>
      <w:bookmarkStart w:id="425" w:name="_Toc118377883"/>
      <w:r>
        <w:t>Uncommenced provisions table</w:t>
      </w:r>
      <w:bookmarkEnd w:id="42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top w:val="single" w:sz="8" w:space="0" w:color="auto"/>
              <w:bottom w:val="single" w:sz="4" w:space="0" w:color="auto"/>
            </w:tcBorders>
          </w:tcPr>
          <w:p>
            <w:pPr>
              <w:pStyle w:val="nTable"/>
              <w:keepNext/>
              <w:keepLines/>
              <w:spacing w:after="40"/>
              <w:rPr>
                <w:vertAlign w:val="superscript"/>
              </w:rPr>
            </w:pPr>
            <w:r>
              <w:rPr>
                <w:i/>
              </w:rPr>
              <w:t>Family Violence Legislation Reform Act 2020</w:t>
            </w:r>
            <w:r>
              <w:t xml:space="preserve"> s. 37 </w:t>
            </w:r>
            <w:r>
              <w:rPr>
                <w:vertAlign w:val="superscript"/>
              </w:rPr>
              <w:t>7</w:t>
            </w:r>
          </w:p>
        </w:tc>
        <w:tc>
          <w:tcPr>
            <w:tcW w:w="1134" w:type="dxa"/>
            <w:tcBorders>
              <w:top w:val="single" w:sz="8" w:space="0" w:color="auto"/>
              <w:bottom w:val="single" w:sz="4" w:space="0" w:color="auto"/>
            </w:tcBorders>
          </w:tcPr>
          <w:p>
            <w:pPr>
              <w:pStyle w:val="nTable"/>
              <w:keepNext/>
              <w:spacing w:after="40"/>
            </w:pPr>
            <w:r>
              <w:t>30 of 2020</w:t>
            </w:r>
          </w:p>
        </w:tc>
        <w:tc>
          <w:tcPr>
            <w:tcW w:w="1134" w:type="dxa"/>
            <w:tcBorders>
              <w:top w:val="single" w:sz="8" w:space="0" w:color="auto"/>
              <w:bottom w:val="single" w:sz="4" w:space="0" w:color="auto"/>
            </w:tcBorders>
          </w:tcPr>
          <w:p>
            <w:pPr>
              <w:pStyle w:val="nTable"/>
              <w:keepNext/>
              <w:spacing w:after="40"/>
            </w:pPr>
            <w:r>
              <w:t>9 Jul 2020</w:t>
            </w:r>
          </w:p>
        </w:tc>
        <w:tc>
          <w:tcPr>
            <w:tcW w:w="2552" w:type="dxa"/>
            <w:tcBorders>
              <w:top w:val="single" w:sz="8" w:space="0" w:color="auto"/>
              <w:bottom w:val="single" w:sz="4" w:space="0" w:color="auto"/>
            </w:tcBorders>
          </w:tcPr>
          <w:p>
            <w:pPr>
              <w:pStyle w:val="nTable"/>
              <w:keepNext/>
              <w:spacing w:after="40"/>
              <w:rPr>
                <w:snapToGrid w:val="0"/>
              </w:rPr>
            </w:pPr>
            <w:r>
              <w:rPr>
                <w:snapToGrid w:val="0"/>
              </w:rPr>
              <w:t>To be proclaimed (see s. 2(1)(c))</w:t>
            </w:r>
          </w:p>
        </w:tc>
      </w:tr>
    </w:tbl>
    <w:p>
      <w:pPr>
        <w:pStyle w:val="nHeading3"/>
      </w:pPr>
      <w:bookmarkStart w:id="426" w:name="_Toc118377884"/>
      <w:r>
        <w:t>Other notes</w:t>
      </w:r>
      <w:bookmarkEnd w:id="426"/>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lastRenderedPageBreak/>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lastRenderedPageBreak/>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Note"/>
      </w:pPr>
      <w:r>
        <w:rPr>
          <w:vertAlign w:val="superscript"/>
        </w:rPr>
        <w:lastRenderedPageBreak/>
        <w:t>7</w:t>
      </w:r>
      <w:r>
        <w:rPr>
          <w:vertAlign w:val="superscript"/>
        </w:rPr>
        <w:tab/>
      </w:r>
      <w:r>
        <w:t>The</w:t>
      </w:r>
      <w:r>
        <w:rPr>
          <w:vertAlign w:val="superscript"/>
        </w:rPr>
        <w:t xml:space="preserve"> </w:t>
      </w:r>
      <w:r>
        <w:rPr>
          <w:i/>
        </w:rPr>
        <w:t>Family Violence Legislation Reform Act 2020</w:t>
      </w:r>
      <w:r>
        <w:t xml:space="preserve"> s. 37 will not come into operation as the Schedule it sought to amend has been deleted by the </w:t>
      </w:r>
      <w:r>
        <w:rPr>
          <w:i/>
        </w:rPr>
        <w:t xml:space="preserve">High Risk Serious Offenders Act 2020 </w:t>
      </w:r>
      <w:r>
        <w:t xml:space="preserve">s. 116. </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28" w:name="_Toc118377168"/>
      <w:bookmarkStart w:id="429" w:name="_Toc118377885"/>
      <w:r>
        <w:rPr>
          <w:sz w:val="28"/>
        </w:rPr>
        <w:lastRenderedPageBreak/>
        <w:t>Defined terms</w:t>
      </w:r>
      <w:bookmarkEnd w:id="428"/>
      <w:bookmarkEnd w:id="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release considerations</w:t>
      </w:r>
      <w:r>
        <w:tab/>
        <w:t>66F</w:t>
      </w:r>
    </w:p>
    <w:p>
      <w:pPr>
        <w:pStyle w:val="DefinedTerms"/>
      </w:pPr>
      <w:r>
        <w:t>approved electronic monitoring device</w:t>
      </w:r>
      <w:r>
        <w:tab/>
        <w:t>4(2)</w:t>
      </w:r>
    </w:p>
    <w:p>
      <w:pPr>
        <w:pStyle w:val="DefinedTerms"/>
      </w:pPr>
      <w:r>
        <w:t>authorised person</w:t>
      </w:r>
      <w:r>
        <w:tab/>
        <w:t>108(1)</w:t>
      </w:r>
    </w:p>
    <w:p>
      <w:pPr>
        <w:pStyle w:val="DefinedTerms"/>
      </w:pPr>
      <w:r>
        <w:t>Board</w:t>
      </w:r>
      <w:r>
        <w:tab/>
        <w:t>4(2), 12C, 66E, 67A(1), 119A(1), 119B(1)</w:t>
      </w:r>
    </w:p>
    <w:p>
      <w:pPr>
        <w:pStyle w:val="DefinedTerms"/>
      </w:pPr>
      <w:r>
        <w:t>breach</w:t>
      </w:r>
      <w:r>
        <w:tab/>
        <w:t>74A</w:t>
      </w:r>
    </w:p>
    <w:p>
      <w:pPr>
        <w:pStyle w:val="DefinedTerms"/>
      </w:pPr>
      <w:r>
        <w:t>cancelled PSSO</w:t>
      </w:r>
      <w:r>
        <w:tab/>
        <w:t>74A, 74K(1)</w:t>
      </w:r>
    </w:p>
    <w:p>
      <w:pPr>
        <w:pStyle w:val="DefinedTerms"/>
      </w:pPr>
      <w:r>
        <w:t>category 1 prisoner</w:t>
      </w:r>
      <w:r>
        <w:tab/>
        <w:t>4(2)</w:t>
      </w:r>
    </w:p>
    <w:p>
      <w:pPr>
        <w:pStyle w:val="DefinedTerms"/>
      </w:pPr>
      <w:r>
        <w:t>category 2 prisoner</w:t>
      </w:r>
      <w:r>
        <w:tab/>
        <w:t>4(2)</w:t>
      </w:r>
    </w:p>
    <w:p>
      <w:pPr>
        <w:pStyle w:val="DefinedTerms"/>
      </w:pPr>
      <w:r>
        <w:t>CCO</w:t>
      </w:r>
      <w:r>
        <w:tab/>
        <w:t>4(3)</w:t>
      </w:r>
    </w:p>
    <w:p>
      <w:pPr>
        <w:pStyle w:val="DefinedTerms"/>
      </w:pPr>
      <w:r>
        <w:t>centre</w:t>
      </w:r>
      <w:r>
        <w:tab/>
        <w:t>75, 83</w:t>
      </w:r>
    </w:p>
    <w:p>
      <w:pPr>
        <w:pStyle w:val="DefinedTerms"/>
      </w:pPr>
      <w:r>
        <w:t>CEO</w:t>
      </w:r>
      <w:r>
        <w:tab/>
        <w:t>4(2)</w:t>
      </w:r>
    </w:p>
    <w:p>
      <w:pPr>
        <w:pStyle w:val="DefinedTerms"/>
      </w:pPr>
      <w:r>
        <w:t>chairperson</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Commissioner of Police report</w:t>
      </w:r>
      <w:r>
        <w:tab/>
        <w:t>4(2)</w:t>
      </w:r>
    </w:p>
    <w:p>
      <w:pPr>
        <w:pStyle w:val="DefinedTerms"/>
      </w:pPr>
      <w:r>
        <w:t>Commonwealth Criminal Code</w:t>
      </w:r>
      <w:r>
        <w:tab/>
        <w:t>4(2)</w:t>
      </w:r>
    </w:p>
    <w:p>
      <w:pPr>
        <w:pStyle w:val="DefinedTerms"/>
      </w:pPr>
      <w:r>
        <w:t>community</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confirmed control order</w:t>
      </w:r>
      <w:r>
        <w:tab/>
        <w:t>4(2)</w:t>
      </w:r>
    </w:p>
    <w:p>
      <w:pPr>
        <w:pStyle w:val="DefinedTerms"/>
      </w:pPr>
      <w:r>
        <w:t>contractor</w:t>
      </w:r>
      <w:r>
        <w:tab/>
        <w:t>97B(1)</w:t>
      </w:r>
    </w:p>
    <w:p>
      <w:pPr>
        <w:pStyle w:val="DefinedTerms"/>
      </w:pPr>
      <w:r>
        <w:t>court</w:t>
      </w:r>
      <w:r>
        <w:tab/>
        <w:t>119C(1)</w:t>
      </w:r>
    </w:p>
    <w:p>
      <w:pPr>
        <w:pStyle w:val="DefinedTerms"/>
      </w:pPr>
      <w:r>
        <w:t>CSI</w:t>
      </w:r>
      <w:r>
        <w:tab/>
        <w:t>4(3)</w:t>
      </w:r>
    </w:p>
    <w:p>
      <w:pPr>
        <w:pStyle w:val="DefinedTerms"/>
      </w:pPr>
      <w:r>
        <w:t>current sentence</w:t>
      </w:r>
      <w:r>
        <w:tab/>
        <w:t>4(2)</w:t>
      </w:r>
    </w:p>
    <w:p>
      <w:pPr>
        <w:pStyle w:val="DefinedTerms"/>
      </w:pPr>
      <w:r>
        <w:t>departmental staff</w:t>
      </w:r>
      <w:r>
        <w:tab/>
        <w:t>4(2)</w:t>
      </w:r>
    </w:p>
    <w:p>
      <w:pPr>
        <w:pStyle w:val="DefinedTerms"/>
      </w:pPr>
      <w:r>
        <w:t>designated family relationship</w:t>
      </w:r>
      <w:r>
        <w:tab/>
        <w:t>4(2)</w:t>
      </w:r>
    </w:p>
    <w:p>
      <w:pPr>
        <w:pStyle w:val="DefinedTerms"/>
      </w:pPr>
      <w:r>
        <w:t>designated prisoner</w:t>
      </w:r>
      <w:r>
        <w:tab/>
        <w:t>14B</w:t>
      </w:r>
    </w:p>
    <w:p>
      <w:pPr>
        <w:pStyle w:val="DefinedTerms"/>
      </w:pPr>
      <w:r>
        <w:t>disclosure requirement</w:t>
      </w:r>
      <w:r>
        <w:tab/>
        <w:t>119C(1)</w:t>
      </w:r>
    </w:p>
    <w:p>
      <w:pPr>
        <w:pStyle w:val="DefinedTerms"/>
      </w:pPr>
      <w:r>
        <w:t>early release order</w:t>
      </w:r>
      <w:r>
        <w:tab/>
        <w:t>4(2)</w:t>
      </w:r>
    </w:p>
    <w:p>
      <w:pPr>
        <w:pStyle w:val="DefinedTerms"/>
      </w:pPr>
      <w:r>
        <w:t>family violence offence</w:t>
      </w:r>
      <w:r>
        <w:tab/>
        <w:t>4(2)</w:t>
      </w:r>
    </w:p>
    <w:p>
      <w:pPr>
        <w:pStyle w:val="DefinedTerms"/>
      </w:pPr>
      <w:r>
        <w:t>first relevant offence</w:t>
      </w:r>
      <w:r>
        <w:tab/>
        <w:t>14B</w:t>
      </w:r>
    </w:p>
    <w:p>
      <w:pPr>
        <w:pStyle w:val="DefinedTerms"/>
      </w:pPr>
      <w:r>
        <w:t>first report</w:t>
      </w:r>
      <w:r>
        <w:tab/>
        <w:t>12B(1)</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lastRenderedPageBreak/>
        <w:t>further offence</w:t>
      </w:r>
      <w:r>
        <w:tab/>
        <w:t>74K(1)</w:t>
      </w:r>
    </w:p>
    <w:p>
      <w:pPr>
        <w:pStyle w:val="DefinedTerms"/>
      </w:pPr>
      <w:r>
        <w:t>further term</w:t>
      </w:r>
      <w:r>
        <w:tab/>
        <w:t>74K(1)</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interim control order</w:t>
      </w:r>
      <w:r>
        <w:tab/>
        <w:t>4(2)</w:t>
      </w:r>
    </w:p>
    <w:p>
      <w:pPr>
        <w:pStyle w:val="DefinedTerms"/>
      </w:pPr>
      <w:r>
        <w:t>intimate personal relationship</w:t>
      </w:r>
      <w:r>
        <w:tab/>
        <w:t>4(2A)</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non-parole period</w:t>
      </w:r>
      <w:r>
        <w:tab/>
        <w:t>7(1)</w:t>
      </w:r>
    </w:p>
    <w:p>
      <w:pPr>
        <w:pStyle w:val="DefinedTerms"/>
      </w:pPr>
      <w:r>
        <w:t>notice</w:t>
      </w:r>
      <w:r>
        <w:tab/>
        <w:t>84(3)</w:t>
      </w:r>
    </w:p>
    <w:p>
      <w:pPr>
        <w:pStyle w:val="DefinedTerms"/>
      </w:pPr>
      <w:r>
        <w:t>notifiable information</w:t>
      </w:r>
      <w:r>
        <w:tab/>
        <w:t>112A(3)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post-sentence supervision order</w:t>
      </w:r>
      <w:r>
        <w:tab/>
        <w:t>4(2)</w:t>
      </w:r>
    </w:p>
    <w:p>
      <w:pPr>
        <w:pStyle w:val="DefinedTerms"/>
      </w:pPr>
      <w:r>
        <w:t>pre-1996 prisoner</w:t>
      </w:r>
      <w:r>
        <w:tab/>
        <w:t>123</w:t>
      </w:r>
    </w:p>
    <w:p>
      <w:pPr>
        <w:pStyle w:val="DefinedTerms"/>
      </w:pPr>
      <w:r>
        <w:t>prescribed prisoner</w:t>
      </w:r>
      <w:r>
        <w:tab/>
        <w:t>23(1)</w:t>
      </w:r>
    </w:p>
    <w:p>
      <w:pPr>
        <w:pStyle w:val="DefinedTerms"/>
      </w:pPr>
      <w:r>
        <w:t>prisoner</w:t>
      </w:r>
      <w:r>
        <w:tab/>
        <w:t>4(2), 11A(1), 13(1), 14(1), 19, 25(1), 66J, 74A</w:t>
      </w:r>
    </w:p>
    <w:p>
      <w:pPr>
        <w:pStyle w:val="DefinedTerms"/>
      </w:pPr>
      <w:r>
        <w:t>prisoner management report</w:t>
      </w:r>
      <w:r>
        <w:tab/>
        <w:t>11A(2)</w:t>
      </w:r>
    </w:p>
    <w:p>
      <w:pPr>
        <w:pStyle w:val="DefinedTerms"/>
      </w:pPr>
      <w:r>
        <w:t>prisoner with links to terrorism</w:t>
      </w:r>
      <w:r>
        <w:tab/>
        <w:t>4(2)</w:t>
      </w:r>
    </w:p>
    <w:p>
      <w:pPr>
        <w:pStyle w:val="DefinedTerms"/>
      </w:pPr>
      <w:r>
        <w:t>prohibited act</w:t>
      </w:r>
      <w:r>
        <w:tab/>
        <w:t>4(2C)</w:t>
      </w:r>
    </w:p>
    <w:p>
      <w:pPr>
        <w:pStyle w:val="DefinedTerms"/>
      </w:pPr>
      <w:r>
        <w:t>protected information</w:t>
      </w:r>
      <w:r>
        <w:tab/>
        <w:t>112A(1)</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re-entry release order</w:t>
      </w:r>
      <w:r>
        <w:tab/>
        <w:t>4(2)</w:t>
      </w:r>
    </w:p>
    <w:p>
      <w:pPr>
        <w:pStyle w:val="DefinedTerms"/>
      </w:pPr>
      <w:r>
        <w:t>release</w:t>
      </w:r>
      <w:r>
        <w:tab/>
        <w:t>4(2)</w:t>
      </w:r>
    </w:p>
    <w:p>
      <w:pPr>
        <w:pStyle w:val="DefinedTerms"/>
      </w:pPr>
      <w:r>
        <w:t>release action</w:t>
      </w:r>
      <w:r>
        <w:tab/>
        <w:t>66A, 66D, 112A(1)</w:t>
      </w:r>
    </w:p>
    <w:p>
      <w:pPr>
        <w:pStyle w:val="DefinedTerms"/>
      </w:pPr>
      <w:r>
        <w:t>release considerations</w:t>
      </w:r>
      <w:r>
        <w:tab/>
        <w:t>4(2), 5A</w:t>
      </w:r>
    </w:p>
    <w:p>
      <w:pPr>
        <w:pStyle w:val="DefinedTerms"/>
      </w:pPr>
      <w:r>
        <w:t>release decision</w:t>
      </w:r>
      <w:r>
        <w:tab/>
        <w:t>66A, 66D, 112A(1)</w:t>
      </w:r>
    </w:p>
    <w:p>
      <w:pPr>
        <w:pStyle w:val="DefinedTerms"/>
      </w:pPr>
      <w:r>
        <w:t>relevant information</w:t>
      </w:r>
      <w:r>
        <w:tab/>
        <w:t>97B(1)</w:t>
      </w:r>
    </w:p>
    <w:p>
      <w:pPr>
        <w:pStyle w:val="DefinedTerms"/>
      </w:pPr>
      <w:r>
        <w:t>relevant offence</w:t>
      </w:r>
      <w:r>
        <w:tab/>
        <w:t>14B</w:t>
      </w:r>
    </w:p>
    <w:p>
      <w:pPr>
        <w:pStyle w:val="DefinedTerms"/>
      </w:pPr>
      <w:r>
        <w:t>relevant prisoner</w:t>
      </w:r>
      <w:r>
        <w:tab/>
        <w:t>66A</w:t>
      </w:r>
    </w:p>
    <w:p>
      <w:pPr>
        <w:pStyle w:val="DefinedTerms"/>
      </w:pPr>
      <w:r>
        <w:t>relevant report</w:t>
      </w:r>
      <w:r>
        <w:tab/>
        <w:t>14B</w:t>
      </w:r>
    </w:p>
    <w:p>
      <w:pPr>
        <w:pStyle w:val="DefinedTerms"/>
      </w:pPr>
      <w:r>
        <w:t>remains of the victim</w:t>
      </w:r>
      <w:r>
        <w:tab/>
        <w:t>66A</w:t>
      </w:r>
    </w:p>
    <w:p>
      <w:pPr>
        <w:pStyle w:val="DefinedTerms"/>
      </w:pPr>
      <w:r>
        <w:t>research</w:t>
      </w:r>
      <w:r>
        <w:tab/>
        <w:t>97B(1)</w:t>
      </w:r>
    </w:p>
    <w:p>
      <w:pPr>
        <w:pStyle w:val="DefinedTerms"/>
      </w:pPr>
      <w:r>
        <w:t>re-socialisation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sensitive information</w:t>
      </w:r>
      <w:r>
        <w:tab/>
        <w:t>112A(1)</w:t>
      </w:r>
    </w:p>
    <w:p>
      <w:pPr>
        <w:pStyle w:val="DefinedTerms"/>
      </w:pPr>
      <w:r>
        <w:lastRenderedPageBreak/>
        <w:t>sentence</w:t>
      </w:r>
      <w:r>
        <w:tab/>
        <w:t>4(2)</w:t>
      </w:r>
    </w:p>
    <w:p>
      <w:pPr>
        <w:pStyle w:val="DefinedTerms"/>
      </w:pPr>
      <w:r>
        <w:t>serial family violence offender</w:t>
      </w:r>
      <w:r>
        <w:tab/>
        <w:t>4(2)</w:t>
      </w:r>
    </w:p>
    <w:p>
      <w:pPr>
        <w:pStyle w:val="DefinedTerms"/>
      </w:pPr>
      <w:r>
        <w:t>serious offence</w:t>
      </w:r>
      <w:r>
        <w:tab/>
        <w:t>4(2), 74A</w:t>
      </w:r>
    </w:p>
    <w:p>
      <w:pPr>
        <w:pStyle w:val="DefinedTerms"/>
      </w:pPr>
      <w:r>
        <w:t>serious offender under restriction</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terrorism offence</w:t>
      </w:r>
      <w:r>
        <w:tab/>
        <w:t>4(2)</w:t>
      </w:r>
    </w:p>
    <w:p>
      <w:pPr>
        <w:pStyle w:val="DefinedTerms"/>
      </w:pPr>
      <w:r>
        <w:t>terrorist act</w:t>
      </w:r>
      <w:r>
        <w:tab/>
        <w:t>4(2)</w:t>
      </w:r>
    </w:p>
    <w:p>
      <w:pPr>
        <w:pStyle w:val="DefinedTerms"/>
      </w:pPr>
      <w:r>
        <w:t>terrorist intelligence information</w:t>
      </w:r>
      <w:r>
        <w:tab/>
        <w:t>4(2)</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3" w:name="Schedule"/>
    <w:bookmarkEnd w:id="4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30" w:name="DefinedTerms"/>
    <w:bookmarkEnd w:id="43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49"/>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 w:name="WAFER_2022051914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32_GUID" w:val="834117c2-8197-4cf9-b423-953e2e6cd423"/>
    <w:docVar w:name="WAFER_20221103093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49_GUID" w:val="1116bff5-7e3a-4b81-bc91-aaac6a441d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17A3-903E-4A18-AF62-84B2D399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36657</Words>
  <Characters>173388</Characters>
  <Application>Microsoft Office Word</Application>
  <DocSecurity>0</DocSecurity>
  <Lines>4953</Lines>
  <Paragraphs>2958</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207087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2003 - 03-k0-00</dc:title>
  <dc:subject/>
  <dc:creator/>
  <cp:keywords/>
  <dc:description/>
  <cp:lastModifiedBy>Master Repository Process</cp:lastModifiedBy>
  <cp:revision>4</cp:revision>
  <cp:lastPrinted>2018-12-13T03:03:00Z</cp:lastPrinted>
  <dcterms:created xsi:type="dcterms:W3CDTF">2022-11-10T03:22:00Z</dcterms:created>
  <dcterms:modified xsi:type="dcterms:W3CDTF">2022-11-10T03:22:00Z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11 Nov 2022</vt:lpwstr>
  </property>
  <property fmtid="{D5CDD505-2E9C-101B-9397-08002B2CF9AE}" pid="8" name="Suffix">
    <vt:lpwstr>03-k0-00</vt:lpwstr>
  </property>
  <property fmtid="{D5CDD505-2E9C-101B-9397-08002B2CF9AE}" pid="9" name="CommencementDate">
    <vt:lpwstr>20221111</vt:lpwstr>
  </property>
</Properties>
</file>