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_Toc119509955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_Toc119509956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Clerk</w:t>
      </w:r>
      <w:r>
        <w:tab/>
      </w:r>
      <w:r>
        <w:fldChar w:fldCharType="begin"/>
      </w:r>
      <w:r>
        <w:instrText xml:space="preserve"> PAGEREF _Toc119509957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Employment records</w:t>
      </w:r>
    </w:p>
    <w:p>
      <w:pPr>
        <w:pStyle w:val="TOC8"/>
        <w:rPr>
          <w:rFonts w:asciiTheme="minorHAnsi" w:eastAsiaTheme="minorEastAsia" w:hAnsiTheme="minorHAnsi" w:cstheme="minorBidi"/>
          <w:szCs w:val="22"/>
        </w:rPr>
      </w:pPr>
      <w:r>
        <w:t>4</w:t>
      </w:r>
      <w:r>
        <w:rPr>
          <w:snapToGrid w:val="0"/>
        </w:rPr>
        <w:t>.</w:t>
      </w:r>
      <w:r>
        <w:rPr>
          <w:snapToGrid w:val="0"/>
        </w:rPr>
        <w:tab/>
        <w:t>How employment records must be kept (Act s. 49D(3))</w:t>
      </w:r>
      <w:r>
        <w:tab/>
      </w:r>
      <w:r>
        <w:fldChar w:fldCharType="begin"/>
      </w:r>
      <w:r>
        <w:instrText xml:space="preserve"> PAGEREF _Toc119509959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_Toc119509961 \h </w:instrText>
      </w:r>
      <w:r>
        <w:fldChar w:fldCharType="separate"/>
      </w:r>
      <w:r>
        <w:t>3</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_Toc119509962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Employers declared not to be national system employers</w:t>
      </w:r>
    </w:p>
    <w:p>
      <w:pPr>
        <w:pStyle w:val="TOC8"/>
        <w:rPr>
          <w:rFonts w:asciiTheme="minorHAnsi" w:eastAsiaTheme="minorEastAsia" w:hAnsiTheme="minorHAnsi" w:cstheme="minorBidi"/>
          <w:szCs w:val="22"/>
        </w:rPr>
      </w:pPr>
      <w:r>
        <w:t>7.</w:t>
      </w:r>
      <w:r>
        <w:tab/>
        <w:t>Employers declared not to be national system employers (Act s. 80A(2))</w:t>
      </w:r>
      <w:r>
        <w:tab/>
      </w:r>
      <w:r>
        <w:fldChar w:fldCharType="begin"/>
      </w:r>
      <w:r>
        <w:instrText xml:space="preserve"> PAGEREF _Toc119509964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_Toc119509966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_Toc119509967 \h </w:instrText>
      </w:r>
      <w:r>
        <w:fldChar w:fldCharType="separate"/>
      </w:r>
      <w:r>
        <w:t>7</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_Toc119509968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_Toc119509970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Response to notice initiating bargaining</w:t>
      </w:r>
      <w:r>
        <w:tab/>
      </w:r>
      <w:r>
        <w:fldChar w:fldCharType="begin"/>
      </w:r>
      <w:r>
        <w:instrText xml:space="preserve"> PAGEREF _Toc119509971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_Toc119509972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Miscellaneous</w:t>
      </w:r>
    </w:p>
    <w:p>
      <w:pPr>
        <w:pStyle w:val="TOC8"/>
        <w:rPr>
          <w:rFonts w:asciiTheme="minorHAnsi" w:eastAsiaTheme="minorEastAsia" w:hAnsiTheme="minorHAnsi" w:cstheme="minorBidi"/>
          <w:szCs w:val="22"/>
        </w:rPr>
      </w:pPr>
      <w:r>
        <w:t>15.</w:t>
      </w:r>
      <w:r>
        <w:tab/>
        <w:t>Police Force prescribed as a public sector entity: section 26</w:t>
      </w:r>
      <w:r>
        <w:tab/>
      </w:r>
      <w:r>
        <w:fldChar w:fldCharType="begin"/>
      </w:r>
      <w:r>
        <w:instrText xml:space="preserve"> PAGEREF _Toc119509974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taken by the Registrar</w:t>
      </w:r>
    </w:p>
    <w:p>
      <w:pPr>
        <w:pStyle w:val="TOC2"/>
        <w:tabs>
          <w:tab w:val="right" w:leader="dot" w:pos="7077"/>
        </w:tabs>
        <w:rPr>
          <w:rFonts w:asciiTheme="minorHAnsi" w:eastAsiaTheme="minorEastAsia" w:hAnsiTheme="minorHAnsi" w:cstheme="minorBidi"/>
          <w:b w:val="0"/>
          <w:sz w:val="22"/>
          <w:szCs w:val="22"/>
        </w:rPr>
      </w:pPr>
      <w:r>
        <w:t>Schedule 2 — Fees to be taken by the Clerk</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Local government employers</w:t>
      </w:r>
    </w:p>
    <w:p>
      <w:pPr>
        <w:pStyle w:val="TOC4"/>
        <w:tabs>
          <w:tab w:val="right" w:leader="dot" w:pos="7077"/>
        </w:tabs>
        <w:rPr>
          <w:rFonts w:asciiTheme="minorHAnsi" w:eastAsiaTheme="minorEastAsia" w:hAnsiTheme="minorHAnsi" w:cstheme="minorBidi"/>
          <w:b w:val="0"/>
          <w:szCs w:val="22"/>
        </w:rPr>
      </w:pPr>
      <w:r>
        <w:t>Division 2 — Regional local government employers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_Toc119509982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_Toc119509983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3" w:name="_Toc119423288"/>
      <w:bookmarkStart w:id="4" w:name="_Toc119481562"/>
      <w:bookmarkStart w:id="5" w:name="_Toc1195099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509955"/>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7" w:name="_Toc11950995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8" w:name="_Toc119509957"/>
      <w:r>
        <w:rPr>
          <w:rStyle w:val="CharSectno"/>
        </w:rPr>
        <w:t>3</w:t>
      </w:r>
      <w:r>
        <w:t>.</w:t>
      </w:r>
      <w:r>
        <w:tab/>
        <w:t>Term used: Clerk</w:t>
      </w:r>
      <w:bookmarkEnd w:id="8"/>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9" w:name="_Toc119423292"/>
      <w:bookmarkStart w:id="10" w:name="_Toc119481566"/>
      <w:bookmarkStart w:id="11" w:name="_Toc119509958"/>
      <w:r>
        <w:rPr>
          <w:rStyle w:val="CharPartNo"/>
        </w:rPr>
        <w:lastRenderedPageBreak/>
        <w:t>Part 2</w:t>
      </w:r>
      <w:r>
        <w:t> — </w:t>
      </w:r>
      <w:r>
        <w:rPr>
          <w:rStyle w:val="CharPartText"/>
        </w:rPr>
        <w:t>Employment records</w:t>
      </w:r>
      <w:bookmarkEnd w:id="9"/>
      <w:bookmarkEnd w:id="10"/>
      <w:bookmarkEnd w:id="11"/>
    </w:p>
    <w:p>
      <w:pPr>
        <w:pStyle w:val="Footnoteheading"/>
      </w:pPr>
      <w:r>
        <w:tab/>
        <w:t>[Heading inserted: SL 2022/100 r. 51.]</w:t>
      </w:r>
    </w:p>
    <w:p>
      <w:pPr>
        <w:pStyle w:val="Heading5"/>
        <w:rPr>
          <w:snapToGrid w:val="0"/>
        </w:rPr>
      </w:pPr>
      <w:bookmarkStart w:id="12" w:name="_Toc119509959"/>
      <w:r>
        <w:rPr>
          <w:rStyle w:val="CharSectno"/>
        </w:rPr>
        <w:t>4</w:t>
      </w:r>
      <w:r>
        <w:rPr>
          <w:snapToGrid w:val="0"/>
        </w:rPr>
        <w:t>.</w:t>
      </w:r>
      <w:r>
        <w:rPr>
          <w:snapToGrid w:val="0"/>
        </w:rPr>
        <w:tab/>
        <w:t>How employment records must be kept (Act s. 49D(3))</w:t>
      </w:r>
      <w:bookmarkEnd w:id="12"/>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13" w:name="_Toc119423294"/>
      <w:bookmarkStart w:id="14" w:name="_Toc119481568"/>
      <w:bookmarkStart w:id="15" w:name="_Toc119509960"/>
      <w:r>
        <w:rPr>
          <w:rStyle w:val="CharPartNo"/>
        </w:rPr>
        <w:lastRenderedPageBreak/>
        <w:t>Part 3</w:t>
      </w:r>
      <w:r>
        <w:t xml:space="preserve"> — </w:t>
      </w:r>
      <w:r>
        <w:rPr>
          <w:rStyle w:val="CharPartText"/>
        </w:rPr>
        <w:t>Unfair dismissal and contractual benefit claims</w:t>
      </w:r>
      <w:bookmarkEnd w:id="13"/>
      <w:bookmarkEnd w:id="14"/>
      <w:bookmarkEnd w:id="15"/>
    </w:p>
    <w:p>
      <w:pPr>
        <w:pStyle w:val="Footnoteheading"/>
        <w:tabs>
          <w:tab w:val="left" w:pos="851"/>
        </w:tabs>
      </w:pPr>
      <w:r>
        <w:tab/>
        <w:t>[Heading inserted: Gazette 26 Jul 2002 p. 3460.]</w:t>
      </w:r>
    </w:p>
    <w:p>
      <w:pPr>
        <w:pStyle w:val="Heading5"/>
        <w:spacing w:before="180"/>
      </w:pPr>
      <w:bookmarkStart w:id="16" w:name="_Toc119509961"/>
      <w:r>
        <w:rPr>
          <w:rStyle w:val="CharSectno"/>
        </w:rPr>
        <w:t>5</w:t>
      </w:r>
      <w:r>
        <w:t>.</w:t>
      </w:r>
      <w:r>
        <w:tab/>
        <w:t>Prescribed amount — section 29AA</w:t>
      </w:r>
      <w:bookmarkEnd w:id="16"/>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44.5pt" o:ole="" fillcolor="window">
            <v:imagedata r:id="rId20" o:title=""/>
          </v:shape>
          <o:OLEObject Type="Embed" ProgID="Equation.3" ShapeID="_x0000_i1025" DrawAspect="Content" ObjectID="_1730205390" r:id="rId21"/>
        </w:object>
      </w:r>
    </w:p>
    <w:p>
      <w:pPr>
        <w:pStyle w:val="Indenta"/>
      </w:pPr>
      <w:r>
        <w:lastRenderedPageBreak/>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1.4pt;height:32.75pt" o:ole="" fillcolor="window">
            <v:imagedata r:id="rId22" o:title=""/>
          </v:shape>
          <o:OLEObject Type="Embed" ProgID="Equation.3" ShapeID="_x0000_i1026" DrawAspect="Content" ObjectID="_1730205391" r:id="rId23"/>
        </w:object>
      </w:r>
    </w:p>
    <w:p>
      <w:pPr>
        <w:pStyle w:val="Footnotesection"/>
      </w:pPr>
      <w:r>
        <w:tab/>
        <w:t>[Regulation 5 inserted: Gazette 26 Jul 2002 p. 3460</w:t>
      </w:r>
      <w:r>
        <w:noBreakHyphen/>
        <w:t>1.]</w:t>
      </w:r>
    </w:p>
    <w:p>
      <w:pPr>
        <w:pStyle w:val="Heading5"/>
      </w:pPr>
      <w:bookmarkStart w:id="17" w:name="_Toc119509962"/>
      <w:r>
        <w:rPr>
          <w:rStyle w:val="CharSectno"/>
        </w:rPr>
        <w:t>6</w:t>
      </w:r>
      <w:r>
        <w:t>.</w:t>
      </w:r>
      <w:r>
        <w:tab/>
        <w:t>Annual indexation</w:t>
      </w:r>
      <w:bookmarkEnd w:id="17"/>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55pt;height:32.75pt" o:ole="">
            <v:imagedata r:id="rId24" o:title=""/>
          </v:shape>
          <o:OLEObject Type="Embed" ProgID="Equation.3" ShapeID="_x0000_i1027" DrawAspect="Content" ObjectID="_1730205392" r:id="rId25"/>
        </w:object>
      </w:r>
    </w:p>
    <w:p>
      <w:pPr>
        <w:pStyle w:val="Subsection"/>
      </w:pPr>
      <w:r>
        <w:tab/>
        <w:t>(3)</w:t>
      </w:r>
      <w:r>
        <w:tab/>
        <w:t xml:space="preserve">If at any time (whether before or after the commencement of this regulation) the Australian Statistician publishes an estimate </w:t>
      </w:r>
      <w:r>
        <w:lastRenderedPageBreak/>
        <w:t>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18" w:name="_Toc119423297"/>
      <w:bookmarkStart w:id="19" w:name="_Toc119481571"/>
      <w:bookmarkStart w:id="20" w:name="_Toc119509963"/>
      <w:r>
        <w:rPr>
          <w:rStyle w:val="CharPartNo"/>
        </w:rPr>
        <w:lastRenderedPageBreak/>
        <w:t>Part 4</w:t>
      </w:r>
      <w:r>
        <w:t> — </w:t>
      </w:r>
      <w:r>
        <w:rPr>
          <w:rStyle w:val="CharPartText"/>
        </w:rPr>
        <w:t>Employers declared not to be national system employers</w:t>
      </w:r>
      <w:bookmarkEnd w:id="18"/>
      <w:bookmarkEnd w:id="19"/>
      <w:bookmarkEnd w:id="20"/>
    </w:p>
    <w:p>
      <w:pPr>
        <w:pStyle w:val="Footnoteheading"/>
      </w:pPr>
      <w:r>
        <w:tab/>
        <w:t>[Heading inserted: SL 2022/100 r. 52.]</w:t>
      </w:r>
    </w:p>
    <w:p>
      <w:pPr>
        <w:pStyle w:val="Heading5"/>
      </w:pPr>
      <w:bookmarkStart w:id="21" w:name="_Toc119509964"/>
      <w:r>
        <w:rPr>
          <w:rStyle w:val="CharSectno"/>
        </w:rPr>
        <w:t>7</w:t>
      </w:r>
      <w:r>
        <w:t>.</w:t>
      </w:r>
      <w:r>
        <w:tab/>
        <w:t>Employers declared not to be national system employers (Act s. 80A(2))</w:t>
      </w:r>
      <w:bookmarkEnd w:id="21"/>
    </w:p>
    <w:p>
      <w:pPr>
        <w:pStyle w:val="Subsection"/>
      </w:pPr>
      <w:r>
        <w:tab/>
      </w:r>
      <w:r>
        <w:tab/>
        <w:t>For the purposes of section 80A(2) of the Act, each employer specified in Schedule 4 is declared not to be a national system employer for the purposes of the FW Act.</w:t>
      </w:r>
    </w:p>
    <w:p>
      <w:pPr>
        <w:pStyle w:val="Footnotesection"/>
      </w:pPr>
      <w:r>
        <w:tab/>
        <w:t>[Regulation 7 inserted: SL 2022/100 r. 52.]</w:t>
      </w:r>
    </w:p>
    <w:p>
      <w:pPr>
        <w:pStyle w:val="Heading2"/>
      </w:pPr>
      <w:bookmarkStart w:id="22" w:name="_Toc119423299"/>
      <w:bookmarkStart w:id="23" w:name="_Toc119481573"/>
      <w:bookmarkStart w:id="24" w:name="_Toc119509965"/>
      <w:r>
        <w:rPr>
          <w:rStyle w:val="CharPartNo"/>
        </w:rPr>
        <w:lastRenderedPageBreak/>
        <w:t>Part 5</w:t>
      </w:r>
      <w:r>
        <w:rPr>
          <w:rStyle w:val="CharDivNo"/>
        </w:rPr>
        <w:t xml:space="preserve"> </w:t>
      </w:r>
      <w:r>
        <w:t>—</w:t>
      </w:r>
      <w:r>
        <w:rPr>
          <w:rStyle w:val="CharDivText"/>
        </w:rPr>
        <w:t xml:space="preserve"> </w:t>
      </w:r>
      <w:r>
        <w:rPr>
          <w:rStyle w:val="CharPartText"/>
        </w:rPr>
        <w:t>Fees</w:t>
      </w:r>
      <w:bookmarkEnd w:id="22"/>
      <w:bookmarkEnd w:id="23"/>
      <w:bookmarkEnd w:id="24"/>
    </w:p>
    <w:p>
      <w:pPr>
        <w:pStyle w:val="Footnoteheading"/>
        <w:tabs>
          <w:tab w:val="left" w:pos="851"/>
        </w:tabs>
      </w:pPr>
      <w:r>
        <w:tab/>
        <w:t>[Heading inserted: Gazette 26 Jul 2002 p. 3462.]</w:t>
      </w:r>
    </w:p>
    <w:p>
      <w:pPr>
        <w:pStyle w:val="Ednotesection"/>
      </w:pPr>
      <w:r>
        <w:t>[</w:t>
      </w:r>
      <w:r>
        <w:rPr>
          <w:b/>
        </w:rPr>
        <w:t>8.</w:t>
      </w:r>
      <w:r>
        <w:tab/>
        <w:t>Deleted: SL 2022/100 r. 53.]</w:t>
      </w:r>
    </w:p>
    <w:p>
      <w:pPr>
        <w:pStyle w:val="Heading5"/>
      </w:pPr>
      <w:bookmarkStart w:id="25" w:name="_Toc119509966"/>
      <w:r>
        <w:rPr>
          <w:rStyle w:val="CharSectno"/>
        </w:rPr>
        <w:t>9</w:t>
      </w:r>
      <w:r>
        <w:t>.</w:t>
      </w:r>
      <w:r>
        <w:tab/>
        <w:t>Fees to be charged</w:t>
      </w:r>
      <w:bookmarkEnd w:id="25"/>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26" w:name="_Toc119509967"/>
      <w:r>
        <w:rPr>
          <w:rStyle w:val="CharSectno"/>
        </w:rPr>
        <w:t>10</w:t>
      </w:r>
      <w:r>
        <w:t>.</w:t>
      </w:r>
      <w:r>
        <w:tab/>
        <w:t>Registrar and Clerk may waive certain fees</w:t>
      </w:r>
      <w:bookmarkEnd w:id="26"/>
    </w:p>
    <w:p>
      <w:pPr>
        <w:pStyle w:val="Subsection"/>
      </w:pPr>
      <w:r>
        <w:tab/>
        <w:t>(1)</w:t>
      </w:r>
      <w:r>
        <w:tab/>
        <w:t>The Registrar or a Deputy Registrar may waive a fee referred to in Schedule 1 when the Registrar or Deputy Registrar considers it reasonable to do so.</w:t>
      </w:r>
    </w:p>
    <w:p>
      <w:pPr>
        <w:pStyle w:val="Subsection"/>
      </w:pPr>
      <w:r>
        <w:lastRenderedPageBreak/>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27" w:name="_Toc119509968"/>
      <w:r>
        <w:rPr>
          <w:rStyle w:val="CharSectno"/>
        </w:rPr>
        <w:t>11</w:t>
      </w:r>
      <w:r>
        <w:t>.</w:t>
      </w:r>
      <w:r>
        <w:tab/>
        <w:t>Fees paid to Consolidated Fund</w:t>
      </w:r>
      <w:bookmarkEnd w:id="27"/>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28" w:name="_Toc119423303"/>
      <w:bookmarkStart w:id="29" w:name="_Toc119481577"/>
      <w:bookmarkStart w:id="30" w:name="_Toc119509969"/>
      <w:r>
        <w:rPr>
          <w:rStyle w:val="CharPartNo"/>
        </w:rPr>
        <w:lastRenderedPageBreak/>
        <w:t>Part 6</w:t>
      </w:r>
      <w:r>
        <w:rPr>
          <w:b w:val="0"/>
        </w:rPr>
        <w:t> </w:t>
      </w:r>
      <w:r>
        <w:t>—</w:t>
      </w:r>
      <w:r>
        <w:rPr>
          <w:b w:val="0"/>
        </w:rPr>
        <w:t> </w:t>
      </w:r>
      <w:r>
        <w:rPr>
          <w:rStyle w:val="CharPartText"/>
        </w:rPr>
        <w:t>Bargaining for industrial agreement</w:t>
      </w:r>
      <w:bookmarkEnd w:id="28"/>
      <w:bookmarkEnd w:id="29"/>
      <w:bookmarkEnd w:id="30"/>
    </w:p>
    <w:p>
      <w:pPr>
        <w:pStyle w:val="Footnoteheading"/>
        <w:tabs>
          <w:tab w:val="left" w:pos="851"/>
        </w:tabs>
      </w:pPr>
      <w:r>
        <w:tab/>
        <w:t>[Heading inserted: Gazette 29 Jun 2004 p. 2517.]</w:t>
      </w:r>
    </w:p>
    <w:p>
      <w:pPr>
        <w:pStyle w:val="Heading5"/>
      </w:pPr>
      <w:bookmarkStart w:id="31" w:name="_Toc119509970"/>
      <w:r>
        <w:rPr>
          <w:rStyle w:val="CharSectno"/>
        </w:rPr>
        <w:t>12</w:t>
      </w:r>
      <w:r>
        <w:t>.</w:t>
      </w:r>
      <w:r>
        <w:tab/>
        <w:t>Notice initiating bargaining</w:t>
      </w:r>
      <w:bookmarkEnd w:id="31"/>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32" w:name="_Toc119509971"/>
      <w:r>
        <w:rPr>
          <w:rStyle w:val="CharSectno"/>
        </w:rPr>
        <w:t>13</w:t>
      </w:r>
      <w:r>
        <w:t>.</w:t>
      </w:r>
      <w:r>
        <w:tab/>
        <w:t>Response to notice initiating bargaining</w:t>
      </w:r>
      <w:bookmarkEnd w:id="32"/>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33" w:name="_Toc119509972"/>
      <w:r>
        <w:rPr>
          <w:rStyle w:val="CharSectno"/>
        </w:rPr>
        <w:t>14</w:t>
      </w:r>
      <w:r>
        <w:t>.</w:t>
      </w:r>
      <w:r>
        <w:tab/>
        <w:t>Notice and response to be given to Commission</w:t>
      </w:r>
      <w:bookmarkEnd w:id="33"/>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34" w:name="_Toc119423307"/>
      <w:bookmarkStart w:id="35" w:name="_Toc119481581"/>
      <w:bookmarkStart w:id="36" w:name="_Toc119509973"/>
      <w:r>
        <w:rPr>
          <w:rStyle w:val="CharPartNo"/>
        </w:rPr>
        <w:lastRenderedPageBreak/>
        <w:t>Part 7</w:t>
      </w:r>
      <w:r>
        <w:rPr>
          <w:b w:val="0"/>
        </w:rPr>
        <w:t> </w:t>
      </w:r>
      <w:r>
        <w:t>—</w:t>
      </w:r>
      <w:r>
        <w:rPr>
          <w:b w:val="0"/>
        </w:rPr>
        <w:t> </w:t>
      </w:r>
      <w:r>
        <w:rPr>
          <w:rStyle w:val="CharPartText"/>
        </w:rPr>
        <w:t>Miscellaneous</w:t>
      </w:r>
      <w:bookmarkEnd w:id="34"/>
      <w:bookmarkEnd w:id="35"/>
      <w:bookmarkEnd w:id="36"/>
    </w:p>
    <w:p>
      <w:pPr>
        <w:pStyle w:val="Footnoteheading"/>
      </w:pPr>
      <w:r>
        <w:tab/>
        <w:t>[Heading inserted: Gazette 27 Jun 2014 p. 2332.]</w:t>
      </w:r>
    </w:p>
    <w:p>
      <w:pPr>
        <w:pStyle w:val="Heading5"/>
      </w:pPr>
      <w:bookmarkStart w:id="37" w:name="_Toc119509974"/>
      <w:r>
        <w:rPr>
          <w:rStyle w:val="CharSectno"/>
        </w:rPr>
        <w:t>15</w:t>
      </w:r>
      <w:r>
        <w:t>.</w:t>
      </w:r>
      <w:r>
        <w:tab/>
        <w:t>Police Force prescribed as a public sector entity: section 26</w:t>
      </w:r>
      <w:bookmarkEnd w:id="37"/>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26"/>
          <w:headerReference w:type="default" r:id="rId27"/>
          <w:headerReference w:type="first" r:id="rId28"/>
          <w:pgSz w:w="11907" w:h="16840" w:code="9"/>
          <w:pgMar w:top="2381" w:right="2409" w:bottom="3543" w:left="2409" w:header="720" w:footer="3380" w:gutter="0"/>
          <w:pgNumType w:start="1"/>
          <w:cols w:space="720"/>
          <w:noEndnote/>
          <w:titlePg/>
          <w:docGrid w:linePitch="326"/>
        </w:sectPr>
      </w:pPr>
    </w:p>
    <w:p>
      <w:pPr>
        <w:pStyle w:val="yScheduleHeading"/>
      </w:pPr>
      <w:bookmarkStart w:id="38" w:name="_Toc119423309"/>
      <w:bookmarkStart w:id="39" w:name="_Toc119481583"/>
      <w:bookmarkStart w:id="40" w:name="_Toc119509975"/>
      <w:r>
        <w:rPr>
          <w:rStyle w:val="CharSchNo"/>
        </w:rPr>
        <w:lastRenderedPageBreak/>
        <w:t>Schedule 1</w:t>
      </w:r>
      <w:r>
        <w:t xml:space="preserve"> — </w:t>
      </w:r>
      <w:r>
        <w:rPr>
          <w:rStyle w:val="CharSchText"/>
        </w:rPr>
        <w:t>Fees to be taken by the Registrar</w:t>
      </w:r>
      <w:bookmarkEnd w:id="38"/>
      <w:bookmarkEnd w:id="39"/>
      <w:bookmarkEnd w:id="40"/>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41" w:name="_Toc119423310"/>
      <w:bookmarkStart w:id="42" w:name="_Toc119481584"/>
      <w:bookmarkStart w:id="43" w:name="_Toc119509976"/>
      <w:r>
        <w:rPr>
          <w:rStyle w:val="CharSchNo"/>
        </w:rPr>
        <w:lastRenderedPageBreak/>
        <w:t>Schedule 2</w:t>
      </w:r>
      <w:r>
        <w:t xml:space="preserve"> — </w:t>
      </w:r>
      <w:r>
        <w:rPr>
          <w:rStyle w:val="CharSchText"/>
        </w:rPr>
        <w:t>Fees to be taken by the Clerk</w:t>
      </w:r>
      <w:bookmarkEnd w:id="41"/>
      <w:bookmarkEnd w:id="42"/>
      <w:bookmarkEnd w:id="43"/>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44" w:name="_Toc119423311"/>
      <w:bookmarkStart w:id="45" w:name="_Toc119481585"/>
      <w:bookmarkStart w:id="46" w:name="_Toc119509977"/>
      <w:r>
        <w:rPr>
          <w:rStyle w:val="CharSchNo"/>
        </w:rPr>
        <w:lastRenderedPageBreak/>
        <w:t>Schedule 3</w:t>
      </w:r>
      <w:r>
        <w:t xml:space="preserve"> — </w:t>
      </w:r>
      <w:r>
        <w:rPr>
          <w:rStyle w:val="CharSchText"/>
        </w:rPr>
        <w:t>Forms</w:t>
      </w:r>
      <w:bookmarkEnd w:id="44"/>
      <w:bookmarkEnd w:id="45"/>
      <w:bookmarkEnd w:id="46"/>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lastRenderedPageBreak/>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lastRenderedPageBreak/>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47" w:name="_Toc119423312"/>
      <w:bookmarkStart w:id="48" w:name="_Toc119481586"/>
      <w:bookmarkStart w:id="49" w:name="_Toc119509978"/>
      <w:r>
        <w:rPr>
          <w:rStyle w:val="CharSchNo"/>
        </w:rPr>
        <w:lastRenderedPageBreak/>
        <w:t>Schedule 4</w:t>
      </w:r>
      <w:r>
        <w:t> — </w:t>
      </w:r>
      <w:r>
        <w:rPr>
          <w:rStyle w:val="CharSchText"/>
        </w:rPr>
        <w:t>Employers declared not to be national system employers</w:t>
      </w:r>
      <w:bookmarkEnd w:id="47"/>
      <w:bookmarkEnd w:id="48"/>
      <w:bookmarkEnd w:id="49"/>
    </w:p>
    <w:p>
      <w:pPr>
        <w:pStyle w:val="yShoulderClause"/>
      </w:pPr>
      <w:r>
        <w:t>[r. 7]</w:t>
      </w:r>
    </w:p>
    <w:p>
      <w:pPr>
        <w:pStyle w:val="yFootnoteheading"/>
      </w:pPr>
      <w:r>
        <w:tab/>
        <w:t>[Heading inserted: SL 2022/100 r. 55.]</w:t>
      </w:r>
    </w:p>
    <w:p>
      <w:pPr>
        <w:pStyle w:val="yHeading3"/>
      </w:pPr>
      <w:bookmarkStart w:id="50" w:name="_Toc119423313"/>
      <w:bookmarkStart w:id="51" w:name="_Toc119481587"/>
      <w:bookmarkStart w:id="52" w:name="_Toc119509979"/>
      <w:r>
        <w:rPr>
          <w:rStyle w:val="CharSDivNo"/>
        </w:rPr>
        <w:t>Division 1</w:t>
      </w:r>
      <w:r>
        <w:t> — </w:t>
      </w:r>
      <w:r>
        <w:rPr>
          <w:rStyle w:val="CharSDivText"/>
        </w:rPr>
        <w:t>Local government employers</w:t>
      </w:r>
      <w:bookmarkEnd w:id="50"/>
      <w:bookmarkEnd w:id="51"/>
      <w:bookmarkEnd w:id="52"/>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lastRenderedPageBreak/>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lastRenderedPageBreak/>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lastRenderedPageBreak/>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r>
        <w:tab/>
        <w:t>[Division 1 inserted: SL 2022/100 r. 55.]</w:t>
      </w:r>
    </w:p>
    <w:p>
      <w:pPr>
        <w:pStyle w:val="yHeading3"/>
      </w:pPr>
      <w:bookmarkStart w:id="53" w:name="_Toc119423314"/>
      <w:bookmarkStart w:id="54" w:name="_Toc119481588"/>
      <w:bookmarkStart w:id="55" w:name="_Toc119509980"/>
      <w:r>
        <w:rPr>
          <w:rStyle w:val="CharSDivNo"/>
        </w:rPr>
        <w:t>Division 2</w:t>
      </w:r>
      <w:r>
        <w:t> — </w:t>
      </w:r>
      <w:r>
        <w:rPr>
          <w:rStyle w:val="CharSDivText"/>
        </w:rPr>
        <w:t>Regional local government employers</w:t>
      </w:r>
      <w:bookmarkEnd w:id="53"/>
      <w:bookmarkEnd w:id="54"/>
      <w:bookmarkEnd w:id="55"/>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t>Eastern Metropolitan Regional Council</w:t>
            </w:r>
          </w:p>
        </w:tc>
      </w:tr>
      <w:tr>
        <w:tc>
          <w:tcPr>
            <w:tcW w:w="3402" w:type="dxa"/>
          </w:tcPr>
          <w:p>
            <w:pPr>
              <w:pStyle w:val="yTableNAm"/>
            </w:pPr>
            <w:r>
              <w:t>Mindarie Regional Council</w:t>
            </w:r>
          </w:p>
        </w:tc>
        <w:tc>
          <w:tcPr>
            <w:tcW w:w="3402" w:type="dxa"/>
          </w:tcPr>
          <w:p>
            <w:pPr>
              <w:pStyle w:val="yTableNAm"/>
            </w:pPr>
            <w:r>
              <w:t>Murchison Regional Vermin Council</w:t>
            </w:r>
          </w:p>
        </w:tc>
      </w:tr>
      <w:tr>
        <w:tc>
          <w:tcPr>
            <w:tcW w:w="3402" w:type="dxa"/>
          </w:tcPr>
          <w:p>
            <w:pPr>
              <w:pStyle w:val="yTableNAm"/>
            </w:pPr>
            <w:r>
              <w:lastRenderedPageBreak/>
              <w:t>Resource Recovery Group</w:t>
            </w:r>
          </w:p>
        </w:tc>
        <w:tc>
          <w:tcPr>
            <w:tcW w:w="3402" w:type="dxa"/>
          </w:tcPr>
          <w:p>
            <w:pPr>
              <w:pStyle w:val="yTableNAm"/>
            </w:pPr>
            <w:r>
              <w:t>Rivers Regional Council</w:t>
            </w:r>
          </w:p>
        </w:tc>
      </w:tr>
      <w:tr>
        <w:tc>
          <w:tcPr>
            <w:tcW w:w="3402" w:type="dxa"/>
          </w:tcPr>
          <w:p>
            <w:pPr>
              <w:pStyle w:val="yTableNAm"/>
            </w:pPr>
            <w:r>
              <w:t>Tamala Park Regional Council</w:t>
            </w:r>
          </w:p>
        </w:tc>
        <w:tc>
          <w:tcPr>
            <w:tcW w:w="3402" w:type="dxa"/>
          </w:tcPr>
          <w:p>
            <w:pPr>
              <w:pStyle w:val="yTableNAm"/>
            </w:pPr>
            <w:r>
              <w:t>Western Metropolitan Regional Council</w:t>
            </w:r>
          </w:p>
        </w:tc>
      </w:tr>
    </w:tbl>
    <w:p>
      <w:pPr>
        <w:pStyle w:val="yFootnotesection"/>
      </w:pPr>
      <w:r>
        <w:tab/>
        <w:t>[Division 2 inserted: SL 2022/100 r. 55.]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57" w:name="_Toc119423315"/>
      <w:bookmarkStart w:id="58" w:name="_Toc119481589"/>
      <w:bookmarkStart w:id="59" w:name="_Toc119509981"/>
      <w:r>
        <w:lastRenderedPageBreak/>
        <w:t>Notes</w:t>
      </w:r>
      <w:bookmarkEnd w:id="57"/>
      <w:bookmarkEnd w:id="58"/>
      <w:bookmarkEnd w:id="59"/>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 w:name="_Toc119509982"/>
      <w:r>
        <w:t>Compilation table</w:t>
      </w:r>
      <w:bookmarkEnd w:id="6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Regulations (Consequential Amendments) Regulations 2022</w:t>
            </w:r>
            <w:r>
              <w:t xml:space="preserve"> Pt. 3</w:t>
            </w:r>
          </w:p>
        </w:tc>
        <w:tc>
          <w:tcPr>
            <w:tcW w:w="1276" w:type="dxa"/>
            <w:tcBorders>
              <w:bottom w:val="single" w:sz="4" w:space="0" w:color="auto"/>
            </w:tcBorders>
          </w:tcPr>
          <w:p>
            <w:pPr>
              <w:pStyle w:val="nTable"/>
              <w:spacing w:after="40"/>
            </w:pPr>
            <w:r>
              <w:t>SL 2022/100 17 Jun 2022</w:t>
            </w:r>
          </w:p>
        </w:tc>
        <w:tc>
          <w:tcPr>
            <w:tcW w:w="2693" w:type="dxa"/>
            <w:tcBorders>
              <w:bottom w:val="single" w:sz="4" w:space="0" w:color="auto"/>
            </w:tcBorders>
          </w:tcPr>
          <w:p>
            <w:pPr>
              <w:pStyle w:val="nTable"/>
              <w:spacing w:after="40"/>
              <w:rPr>
                <w:bCs/>
                <w:snapToGrid w:val="0"/>
                <w:spacing w:val="-2"/>
              </w:rPr>
            </w:pPr>
            <w:r>
              <w:rPr>
                <w:bCs/>
                <w:snapToGrid w:val="0"/>
                <w:spacing w:val="-2"/>
              </w:rPr>
              <w:t>20 Jun 2022 (see r. 2(b))</w:t>
            </w:r>
          </w:p>
        </w:tc>
      </w:tr>
    </w:tbl>
    <w:p>
      <w:pPr>
        <w:pStyle w:val="nHeading3"/>
      </w:pPr>
      <w:bookmarkStart w:id="61" w:name="_Toc119509983"/>
      <w:r>
        <w:t>Uncommenced provisions table</w:t>
      </w:r>
      <w:bookmarkEnd w:id="6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Industrial Relations (General) Amendment Regulations 2022 </w:t>
            </w:r>
            <w:r>
              <w:t>r. 3-5</w:t>
            </w:r>
          </w:p>
        </w:tc>
        <w:tc>
          <w:tcPr>
            <w:tcW w:w="1276" w:type="dxa"/>
          </w:tcPr>
          <w:p>
            <w:pPr>
              <w:pStyle w:val="nTable"/>
              <w:spacing w:after="40"/>
            </w:pPr>
            <w:r>
              <w:t>SL 2022/196 18 Nov 2022</w:t>
            </w:r>
          </w:p>
        </w:tc>
        <w:tc>
          <w:tcPr>
            <w:tcW w:w="2693" w:type="dxa"/>
          </w:tcPr>
          <w:p>
            <w:pPr>
              <w:pStyle w:val="nTable"/>
              <w:spacing w:after="40"/>
            </w:pPr>
            <w:r>
              <w:t>1 Jan 2023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63" w:name="_Toc119423317"/>
      <w:bookmarkStart w:id="64" w:name="_Toc119481592"/>
      <w:bookmarkStart w:id="65" w:name="_Toc119509984"/>
      <w:r>
        <w:rPr>
          <w:sz w:val="28"/>
        </w:rPr>
        <w:lastRenderedPageBreak/>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 weekly earnings</w:t>
      </w:r>
      <w:r>
        <w:tab/>
        <w:t>6(2)</w:t>
      </w:r>
    </w:p>
    <w:p>
      <w:pPr>
        <w:pStyle w:val="DefinedTerms"/>
      </w:pPr>
      <w:r>
        <w:t>Clerk</w:t>
      </w:r>
      <w:r>
        <w:tab/>
        <w:t>3</w:t>
      </w:r>
    </w:p>
    <w:p>
      <w:pPr>
        <w:pStyle w:val="DefinedTerms"/>
      </w:pPr>
      <w:r>
        <w:t>current weekly earnings</w:t>
      </w:r>
      <w:r>
        <w:tab/>
        <w:t>6(2)</w:t>
      </w:r>
    </w:p>
    <w:p>
      <w:pPr>
        <w:pStyle w:val="DefinedTerms"/>
      </w:pPr>
      <w:r>
        <w:t>indexation day</w:t>
      </w:r>
      <w:r>
        <w:tab/>
        <w:t>6(2)</w:t>
      </w:r>
    </w:p>
    <w:p>
      <w:pPr>
        <w:pStyle w:val="DefinedTerms"/>
      </w:pPr>
      <w:r>
        <w:t>indexation factor</w:t>
      </w:r>
      <w:r>
        <w:tab/>
        <w:t>6(2)</w:t>
      </w:r>
    </w:p>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4506"/>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Heading3"/>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5.jpe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3820</Words>
  <Characters>20171</Characters>
  <Application>Microsoft Office Word</Application>
  <DocSecurity>0</DocSecurity>
  <Lines>720</Lines>
  <Paragraphs>557</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23434</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1997 - 01-e0-00</dc:title>
  <dc:subject/>
  <dc:creator/>
  <cp:keywords/>
  <dc:description/>
  <cp:lastModifiedBy>Master Repository Process</cp:lastModifiedBy>
  <cp:revision>4</cp:revision>
  <cp:lastPrinted>2004-09-07T01:49:00Z</cp:lastPrinted>
  <dcterms:created xsi:type="dcterms:W3CDTF">2022-11-17T07:50:00Z</dcterms:created>
  <dcterms:modified xsi:type="dcterms:W3CDTF">2022-11-17T07:50:00Z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AsAtDate">
    <vt:lpwstr>18 Nov 2022</vt:lpwstr>
  </property>
  <property fmtid="{D5CDD505-2E9C-101B-9397-08002B2CF9AE}" pid="7" name="Suffix">
    <vt:lpwstr>01-e0-00</vt:lpwstr>
  </property>
  <property fmtid="{D5CDD505-2E9C-101B-9397-08002B2CF9AE}" pid="8" name="CommencementDate">
    <vt:lpwstr>20221118</vt:lpwstr>
  </property>
</Properties>
</file>