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(Prescribed Persons)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(Prescribed Persons)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_Toc120710164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_Toc120710165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PathWest Laboratory Medicine WA</w:t>
      </w:r>
      <w:r>
        <w:tab/>
      </w:r>
      <w:r>
        <w:fldChar w:fldCharType="begin"/>
      </w:r>
      <w:r>
        <w:instrText xml:space="preserve"> PAGEREF _Toc120710166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Office prescribed (Act s. 50B </w:t>
      </w:r>
      <w:r>
        <w:rPr>
          <w:i/>
        </w:rPr>
        <w:t>authorised officer</w:t>
      </w:r>
      <w:r>
        <w:t>)</w:t>
      </w:r>
      <w:r>
        <w:tab/>
      </w:r>
      <w:r>
        <w:fldChar w:fldCharType="begin"/>
      </w:r>
      <w:r>
        <w:instrText xml:space="preserve"> PAGEREF _Toc120710167 \h </w:instrText>
      </w:r>
      <w:r>
        <w:fldChar w:fldCharType="separate"/>
      </w:r>
      <w:r>
        <w:t>1</w:t>
      </w:r>
      <w:r>
        <w:fldChar w:fldCharType="end"/>
      </w:r>
    </w:p>
    <w:p>
      <w:pPr>
        <w:pStyle w:val="TOC8"/>
        <w:rPr>
          <w:rFonts w:asciiTheme="minorHAnsi" w:eastAsiaTheme="minorEastAsia" w:hAnsiTheme="minorHAnsi" w:cstheme="minorBidi"/>
          <w:szCs w:val="22"/>
        </w:rPr>
      </w:pPr>
      <w:r>
        <w:t>5.</w:t>
      </w:r>
      <w:r>
        <w:tab/>
        <w:t xml:space="preserve">Persons prescribed (Act s. 50B </w:t>
      </w:r>
      <w:r>
        <w:rPr>
          <w:i/>
        </w:rPr>
        <w:t>forensic scientist</w:t>
      </w:r>
      <w:r>
        <w:t>)</w:t>
      </w:r>
      <w:r>
        <w:tab/>
      </w:r>
      <w:r>
        <w:fldChar w:fldCharType="begin"/>
      </w:r>
      <w:r>
        <w:instrText xml:space="preserve"> PAGEREF _Toc120710168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_Toc120710170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Evidence Act 1906</w:t>
      </w:r>
    </w:p>
    <w:p>
      <w:pPr>
        <w:pStyle w:val="NameofActReg"/>
      </w:pPr>
      <w:r>
        <w:t>Evidence (Prescribed Persons) Regulations 2005</w:t>
      </w:r>
    </w:p>
    <w:p>
      <w:pPr>
        <w:pStyle w:val="Heading5"/>
      </w:pPr>
      <w:bookmarkStart w:id="3" w:name="_Toc120710164"/>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are the </w:t>
      </w:r>
      <w:r>
        <w:rPr>
          <w:i/>
        </w:rPr>
        <w:t>Evidence (Prescribed Persons) Regulations 2005</w:t>
      </w:r>
      <w:r>
        <w:t>.</w:t>
      </w:r>
    </w:p>
    <w:p>
      <w:pPr>
        <w:pStyle w:val="Heading5"/>
      </w:pPr>
      <w:bookmarkStart w:id="4" w:name="_Toc120710165"/>
      <w:r>
        <w:rPr>
          <w:rStyle w:val="CharSectno"/>
        </w:rPr>
        <w:t>2</w:t>
      </w:r>
      <w:r>
        <w:t>.</w:t>
      </w:r>
      <w:r>
        <w:tab/>
        <w:t>Commencement</w:t>
      </w:r>
      <w:bookmarkEnd w:id="4"/>
    </w:p>
    <w:p>
      <w:pPr>
        <w:pStyle w:val="Subsection"/>
      </w:pPr>
      <w:r>
        <w:tab/>
      </w:r>
      <w:r>
        <w:tab/>
        <w:t xml:space="preserve">These regulations come into operation on the day on which they are published in the </w:t>
      </w:r>
      <w:r>
        <w:rPr>
          <w:i/>
          <w:iCs/>
        </w:rPr>
        <w:t>Gazette</w:t>
      </w:r>
      <w:r>
        <w:t xml:space="preserve">, or the day on which the </w:t>
      </w:r>
      <w:r>
        <w:rPr>
          <w:i/>
          <w:iCs/>
        </w:rPr>
        <w:t>Evidence Amendment Act 2004</w:t>
      </w:r>
      <w:r>
        <w:t xml:space="preserve"> section 4 comes into operation, whichever is the later.</w:t>
      </w:r>
    </w:p>
    <w:p>
      <w:pPr>
        <w:pStyle w:val="Heading5"/>
      </w:pPr>
      <w:bookmarkStart w:id="5" w:name="_Toc118359692"/>
      <w:bookmarkStart w:id="6" w:name="_Toc120614048"/>
      <w:bookmarkStart w:id="7" w:name="_Toc120710166"/>
      <w:r>
        <w:rPr>
          <w:rStyle w:val="CharSectno"/>
        </w:rPr>
        <w:t>3</w:t>
      </w:r>
      <w:r>
        <w:t>.</w:t>
      </w:r>
      <w:r>
        <w:tab/>
        <w:t>Term used: PathWest Laboratory Medicine WA</w:t>
      </w:r>
      <w:bookmarkEnd w:id="5"/>
      <w:bookmarkEnd w:id="6"/>
      <w:bookmarkEnd w:id="7"/>
    </w:p>
    <w:p>
      <w:pPr>
        <w:pStyle w:val="Subsection"/>
      </w:pPr>
      <w:r>
        <w:tab/>
      </w:r>
      <w:r>
        <w:tab/>
        <w:t xml:space="preserve">In these regulations — </w:t>
      </w:r>
    </w:p>
    <w:p>
      <w:pPr>
        <w:pStyle w:val="Defstart"/>
      </w:pPr>
      <w:r>
        <w:tab/>
      </w:r>
      <w:r>
        <w:rPr>
          <w:rStyle w:val="CharDefText"/>
        </w:rPr>
        <w:t>PathWest Laboratory Medicine WA</w:t>
      </w:r>
      <w:r>
        <w:t xml:space="preserve"> means the health service provider with that corporate name established by order under the </w:t>
      </w:r>
      <w:r>
        <w:rPr>
          <w:i/>
        </w:rPr>
        <w:t xml:space="preserve">Health Services Act 2016 </w:t>
      </w:r>
      <w:r>
        <w:t>section 32(1).</w:t>
      </w:r>
    </w:p>
    <w:p>
      <w:pPr>
        <w:pStyle w:val="Footnotesection"/>
      </w:pPr>
      <w:r>
        <w:tab/>
        <w:t>[Regulation 3 inserted: SL 2022/204 r. 4.]</w:t>
      </w:r>
    </w:p>
    <w:p>
      <w:pPr>
        <w:pStyle w:val="Heading5"/>
      </w:pPr>
      <w:bookmarkStart w:id="8" w:name="_Toc120710167"/>
      <w:r>
        <w:rPr>
          <w:rStyle w:val="CharSectno"/>
        </w:rPr>
        <w:t>4</w:t>
      </w:r>
      <w:r>
        <w:t>.</w:t>
      </w:r>
      <w:r>
        <w:tab/>
        <w:t xml:space="preserve">Office prescribed (Act s. 50B </w:t>
      </w:r>
      <w:r>
        <w:rPr>
          <w:i/>
        </w:rPr>
        <w:t>authorised officer</w:t>
      </w:r>
      <w:r>
        <w:t>)</w:t>
      </w:r>
      <w:bookmarkEnd w:id="8"/>
    </w:p>
    <w:p>
      <w:pPr>
        <w:pStyle w:val="Ednotesubsection"/>
      </w:pPr>
      <w:r>
        <w:tab/>
        <w:t>[(1)</w:t>
      </w:r>
      <w:r>
        <w:tab/>
        <w:t>deleted]</w:t>
      </w:r>
    </w:p>
    <w:p>
      <w:pPr>
        <w:pStyle w:val="Subsection"/>
      </w:pPr>
      <w:r>
        <w:tab/>
        <w:t>(2)</w:t>
      </w:r>
      <w:r>
        <w:tab/>
        <w:t xml:space="preserve">The office of the chief pathologist in PathWest Laboratory Medicine WA is prescribed for the purposes of the definition of </w:t>
      </w:r>
      <w:r>
        <w:rPr>
          <w:b/>
          <w:i/>
        </w:rPr>
        <w:t>authorised officer</w:t>
      </w:r>
      <w:r>
        <w:t xml:space="preserve"> in section 50B(1) of the Act.</w:t>
      </w:r>
    </w:p>
    <w:p>
      <w:pPr>
        <w:pStyle w:val="Footnotesection"/>
      </w:pPr>
      <w:r>
        <w:tab/>
        <w:t>[Regulation 4 inserted: Gazette 19 Jun 2018 p. 2077; amended: SL 2022/204 r. 5.]</w:t>
      </w:r>
    </w:p>
    <w:p>
      <w:pPr>
        <w:pStyle w:val="Heading5"/>
      </w:pPr>
      <w:bookmarkStart w:id="9" w:name="_Toc118359695"/>
      <w:bookmarkStart w:id="10" w:name="_Toc120614051"/>
      <w:bookmarkStart w:id="11" w:name="_Toc120710168"/>
      <w:r>
        <w:rPr>
          <w:rStyle w:val="CharSectno"/>
        </w:rPr>
        <w:lastRenderedPageBreak/>
        <w:t>5</w:t>
      </w:r>
      <w:r>
        <w:t>.</w:t>
      </w:r>
      <w:r>
        <w:tab/>
        <w:t xml:space="preserve">Persons prescribed (Act s. 50B </w:t>
      </w:r>
      <w:r>
        <w:rPr>
          <w:i/>
        </w:rPr>
        <w:t>forensic scientist</w:t>
      </w:r>
      <w:r>
        <w:t>)</w:t>
      </w:r>
      <w:bookmarkEnd w:id="9"/>
      <w:bookmarkEnd w:id="10"/>
      <w:bookmarkEnd w:id="11"/>
    </w:p>
    <w:p>
      <w:pPr>
        <w:pStyle w:val="Subsection"/>
      </w:pPr>
      <w:r>
        <w:tab/>
      </w:r>
      <w:r>
        <w:tab/>
        <w:t>The persons listed in the Table, employed in the Forensic Biology Department of PathWest Laboratory Medicine WA, are forensic scientists for the purposes of the definition of that term in section 50B(1) of the Act.</w:t>
      </w:r>
    </w:p>
    <w:p>
      <w:pPr>
        <w:pStyle w:val="THeadingNAm"/>
      </w:pPr>
      <w:r>
        <w:t>Table</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Given names</w:t>
            </w:r>
          </w:p>
        </w:tc>
        <w:tc>
          <w:tcPr>
            <w:tcW w:w="3034" w:type="dxa"/>
          </w:tcPr>
          <w:p>
            <w:pPr>
              <w:pStyle w:val="TableNAm"/>
              <w:jc w:val="center"/>
              <w:rPr>
                <w:b/>
              </w:rPr>
            </w:pPr>
            <w:r>
              <w:rPr>
                <w:b/>
              </w:rPr>
              <w:t>Family name</w:t>
            </w:r>
          </w:p>
        </w:tc>
      </w:tr>
      <w:tr>
        <w:tc>
          <w:tcPr>
            <w:tcW w:w="3033" w:type="dxa"/>
          </w:tcPr>
          <w:p>
            <w:pPr>
              <w:pStyle w:val="TableNAm"/>
            </w:pPr>
            <w:r>
              <w:t>Sarah Kate</w:t>
            </w:r>
          </w:p>
        </w:tc>
        <w:tc>
          <w:tcPr>
            <w:tcW w:w="3034" w:type="dxa"/>
          </w:tcPr>
          <w:p>
            <w:pPr>
              <w:pStyle w:val="TableNAm"/>
            </w:pPr>
            <w:r>
              <w:t>APLIN</w:t>
            </w:r>
          </w:p>
        </w:tc>
      </w:tr>
      <w:tr>
        <w:tc>
          <w:tcPr>
            <w:tcW w:w="3033" w:type="dxa"/>
          </w:tcPr>
          <w:p>
            <w:pPr>
              <w:pStyle w:val="TableNAm"/>
            </w:pPr>
            <w:r>
              <w:t>Anna</w:t>
            </w:r>
            <w:r>
              <w:noBreakHyphen/>
              <w:t>Marie</w:t>
            </w:r>
          </w:p>
        </w:tc>
        <w:tc>
          <w:tcPr>
            <w:tcW w:w="3034" w:type="dxa"/>
          </w:tcPr>
          <w:p>
            <w:pPr>
              <w:pStyle w:val="TableNAm"/>
            </w:pPr>
            <w:r>
              <w:t>ASHLEY</w:t>
            </w:r>
          </w:p>
        </w:tc>
      </w:tr>
      <w:tr>
        <w:tc>
          <w:tcPr>
            <w:tcW w:w="3033" w:type="dxa"/>
          </w:tcPr>
          <w:p>
            <w:pPr>
              <w:pStyle w:val="TableNAm"/>
            </w:pPr>
            <w:r>
              <w:t>Fiona Orr</w:t>
            </w:r>
          </w:p>
        </w:tc>
        <w:tc>
          <w:tcPr>
            <w:tcW w:w="3034" w:type="dxa"/>
          </w:tcPr>
          <w:p>
            <w:pPr>
              <w:pStyle w:val="TableNAm"/>
            </w:pPr>
            <w:r>
              <w:t>BAXTER</w:t>
            </w:r>
          </w:p>
        </w:tc>
      </w:tr>
      <w:tr>
        <w:tc>
          <w:tcPr>
            <w:tcW w:w="3033" w:type="dxa"/>
          </w:tcPr>
          <w:p>
            <w:pPr>
              <w:pStyle w:val="TableNAm"/>
            </w:pPr>
            <w:r>
              <w:t>Christine Yoke Bing</w:t>
            </w:r>
          </w:p>
        </w:tc>
        <w:tc>
          <w:tcPr>
            <w:tcW w:w="3034" w:type="dxa"/>
          </w:tcPr>
          <w:p>
            <w:pPr>
              <w:pStyle w:val="TableNAm"/>
            </w:pPr>
            <w:r>
              <w:t>CHIN</w:t>
            </w:r>
          </w:p>
        </w:tc>
      </w:tr>
      <w:tr>
        <w:tc>
          <w:tcPr>
            <w:tcW w:w="3033" w:type="dxa"/>
          </w:tcPr>
          <w:p>
            <w:pPr>
              <w:pStyle w:val="TableNAm"/>
            </w:pPr>
            <w:r>
              <w:t>Penny Lorraine</w:t>
            </w:r>
          </w:p>
        </w:tc>
        <w:tc>
          <w:tcPr>
            <w:tcW w:w="3034" w:type="dxa"/>
          </w:tcPr>
          <w:p>
            <w:pPr>
              <w:pStyle w:val="TableNAm"/>
            </w:pPr>
            <w:r>
              <w:t>COOPER</w:t>
            </w:r>
          </w:p>
        </w:tc>
      </w:tr>
      <w:tr>
        <w:tc>
          <w:tcPr>
            <w:tcW w:w="3033" w:type="dxa"/>
          </w:tcPr>
          <w:p>
            <w:pPr>
              <w:pStyle w:val="TableNAm"/>
            </w:pPr>
            <w:r>
              <w:t>Samuel John</w:t>
            </w:r>
          </w:p>
        </w:tc>
        <w:tc>
          <w:tcPr>
            <w:tcW w:w="3034" w:type="dxa"/>
          </w:tcPr>
          <w:p>
            <w:pPr>
              <w:pStyle w:val="TableNAm"/>
            </w:pPr>
            <w:r>
              <w:t>CORNWELL</w:t>
            </w:r>
          </w:p>
        </w:tc>
      </w:tr>
      <w:tr>
        <w:tc>
          <w:tcPr>
            <w:tcW w:w="3033" w:type="dxa"/>
          </w:tcPr>
          <w:p>
            <w:pPr>
              <w:pStyle w:val="TableNAm"/>
            </w:pPr>
            <w:r>
              <w:t>Scott Elliott</w:t>
            </w:r>
          </w:p>
        </w:tc>
        <w:tc>
          <w:tcPr>
            <w:tcW w:w="3034" w:type="dxa"/>
          </w:tcPr>
          <w:p>
            <w:pPr>
              <w:pStyle w:val="TableNAm"/>
            </w:pPr>
            <w:r>
              <w:t>EGAN</w:t>
            </w:r>
          </w:p>
        </w:tc>
      </w:tr>
      <w:tr>
        <w:tc>
          <w:tcPr>
            <w:tcW w:w="3033" w:type="dxa"/>
          </w:tcPr>
          <w:p>
            <w:pPr>
              <w:pStyle w:val="TableNAm"/>
            </w:pPr>
            <w:r>
              <w:t>Ryan Oliver</w:t>
            </w:r>
          </w:p>
        </w:tc>
        <w:tc>
          <w:tcPr>
            <w:tcW w:w="3034" w:type="dxa"/>
          </w:tcPr>
          <w:p>
            <w:pPr>
              <w:pStyle w:val="TableNAm"/>
            </w:pPr>
            <w:r>
              <w:t>FISHER</w:t>
            </w:r>
          </w:p>
        </w:tc>
      </w:tr>
      <w:tr>
        <w:tc>
          <w:tcPr>
            <w:tcW w:w="3033" w:type="dxa"/>
          </w:tcPr>
          <w:p>
            <w:pPr>
              <w:pStyle w:val="TableNAm"/>
            </w:pPr>
            <w:r>
              <w:t>Kynan Rhys</w:t>
            </w:r>
          </w:p>
        </w:tc>
        <w:tc>
          <w:tcPr>
            <w:tcW w:w="3034" w:type="dxa"/>
          </w:tcPr>
          <w:p>
            <w:pPr>
              <w:pStyle w:val="TableNAm"/>
            </w:pPr>
            <w:r>
              <w:t>FULLER</w:t>
            </w:r>
          </w:p>
        </w:tc>
      </w:tr>
      <w:tr>
        <w:tc>
          <w:tcPr>
            <w:tcW w:w="3033" w:type="dxa"/>
          </w:tcPr>
          <w:p>
            <w:pPr>
              <w:pStyle w:val="TableNAm"/>
            </w:pPr>
            <w:r>
              <w:t>Ross</w:t>
            </w:r>
          </w:p>
        </w:tc>
        <w:tc>
          <w:tcPr>
            <w:tcW w:w="3034" w:type="dxa"/>
          </w:tcPr>
          <w:p>
            <w:pPr>
              <w:pStyle w:val="TableNAm"/>
            </w:pPr>
            <w:r>
              <w:t>HEDLEY</w:t>
            </w:r>
          </w:p>
        </w:tc>
      </w:tr>
      <w:tr>
        <w:tc>
          <w:tcPr>
            <w:tcW w:w="3033" w:type="dxa"/>
          </w:tcPr>
          <w:p>
            <w:pPr>
              <w:pStyle w:val="TableNAm"/>
            </w:pPr>
            <w:r>
              <w:t>Quintin William</w:t>
            </w:r>
          </w:p>
        </w:tc>
        <w:tc>
          <w:tcPr>
            <w:tcW w:w="3034" w:type="dxa"/>
          </w:tcPr>
          <w:p>
            <w:pPr>
              <w:pStyle w:val="TableNAm"/>
            </w:pPr>
            <w:r>
              <w:t>HUGHES</w:t>
            </w:r>
          </w:p>
        </w:tc>
      </w:tr>
      <w:tr>
        <w:tc>
          <w:tcPr>
            <w:tcW w:w="3033" w:type="dxa"/>
          </w:tcPr>
          <w:p>
            <w:pPr>
              <w:pStyle w:val="TableNAm"/>
            </w:pPr>
            <w:r>
              <w:t>Cheryl Anne</w:t>
            </w:r>
          </w:p>
        </w:tc>
        <w:tc>
          <w:tcPr>
            <w:tcW w:w="3034" w:type="dxa"/>
          </w:tcPr>
          <w:p>
            <w:pPr>
              <w:pStyle w:val="TableNAm"/>
            </w:pPr>
            <w:r>
              <w:t>JOHANSEN</w:t>
            </w:r>
          </w:p>
        </w:tc>
      </w:tr>
      <w:tr>
        <w:tc>
          <w:tcPr>
            <w:tcW w:w="3033" w:type="dxa"/>
          </w:tcPr>
          <w:p>
            <w:pPr>
              <w:pStyle w:val="TableNAm"/>
            </w:pPr>
            <w:r>
              <w:t>Louise Susanne</w:t>
            </w:r>
          </w:p>
        </w:tc>
        <w:tc>
          <w:tcPr>
            <w:tcW w:w="3034" w:type="dxa"/>
          </w:tcPr>
          <w:p>
            <w:pPr>
              <w:pStyle w:val="TableNAm"/>
            </w:pPr>
            <w:r>
              <w:t>KING</w:t>
            </w:r>
          </w:p>
        </w:tc>
      </w:tr>
      <w:tr>
        <w:tc>
          <w:tcPr>
            <w:tcW w:w="3033" w:type="dxa"/>
          </w:tcPr>
          <w:p>
            <w:pPr>
              <w:pStyle w:val="TableNAm"/>
            </w:pPr>
            <w:r>
              <w:t>Casey Elizabeth</w:t>
            </w:r>
          </w:p>
        </w:tc>
        <w:tc>
          <w:tcPr>
            <w:tcW w:w="3034" w:type="dxa"/>
          </w:tcPr>
          <w:p>
            <w:pPr>
              <w:pStyle w:val="TableNAm"/>
            </w:pPr>
            <w:r>
              <w:t>McLAUGHLIN</w:t>
            </w:r>
          </w:p>
        </w:tc>
      </w:tr>
      <w:tr>
        <w:tc>
          <w:tcPr>
            <w:tcW w:w="3033" w:type="dxa"/>
          </w:tcPr>
          <w:p>
            <w:pPr>
              <w:pStyle w:val="TableNAm"/>
            </w:pPr>
            <w:r>
              <w:t>Julie Ann</w:t>
            </w:r>
          </w:p>
        </w:tc>
        <w:tc>
          <w:tcPr>
            <w:tcW w:w="3034" w:type="dxa"/>
          </w:tcPr>
          <w:p>
            <w:pPr>
              <w:pStyle w:val="TableNAm"/>
            </w:pPr>
            <w:r>
              <w:t>MURAKAMI</w:t>
            </w:r>
          </w:p>
        </w:tc>
      </w:tr>
      <w:tr>
        <w:tc>
          <w:tcPr>
            <w:tcW w:w="3033" w:type="dxa"/>
          </w:tcPr>
          <w:p>
            <w:pPr>
              <w:pStyle w:val="TableNAm"/>
            </w:pPr>
            <w:r>
              <w:lastRenderedPageBreak/>
              <w:t>Bethany Dorcas</w:t>
            </w:r>
          </w:p>
        </w:tc>
        <w:tc>
          <w:tcPr>
            <w:tcW w:w="3034" w:type="dxa"/>
          </w:tcPr>
          <w:p>
            <w:pPr>
              <w:pStyle w:val="TableNAm"/>
            </w:pPr>
            <w:r>
              <w:t>OFFEREINS</w:t>
            </w:r>
          </w:p>
        </w:tc>
      </w:tr>
      <w:tr>
        <w:tc>
          <w:tcPr>
            <w:tcW w:w="3033" w:type="dxa"/>
          </w:tcPr>
          <w:p>
            <w:pPr>
              <w:pStyle w:val="TableNAm"/>
            </w:pPr>
            <w:r>
              <w:t>Wee Ting Jasmine</w:t>
            </w:r>
          </w:p>
        </w:tc>
        <w:tc>
          <w:tcPr>
            <w:tcW w:w="3034" w:type="dxa"/>
          </w:tcPr>
          <w:p>
            <w:pPr>
              <w:pStyle w:val="TableNAm"/>
            </w:pPr>
            <w:r>
              <w:t>TAY</w:t>
            </w:r>
          </w:p>
        </w:tc>
      </w:tr>
      <w:tr>
        <w:tc>
          <w:tcPr>
            <w:tcW w:w="3033" w:type="dxa"/>
          </w:tcPr>
          <w:p>
            <w:pPr>
              <w:pStyle w:val="TableNAm"/>
            </w:pPr>
            <w:r>
              <w:t>Eleanor Frances</w:t>
            </w:r>
          </w:p>
        </w:tc>
        <w:tc>
          <w:tcPr>
            <w:tcW w:w="3034" w:type="dxa"/>
          </w:tcPr>
          <w:p>
            <w:pPr>
              <w:pStyle w:val="TableNAm"/>
            </w:pPr>
            <w:r>
              <w:t>TOBE</w:t>
            </w:r>
          </w:p>
        </w:tc>
      </w:tr>
      <w:tr>
        <w:tc>
          <w:tcPr>
            <w:tcW w:w="3033" w:type="dxa"/>
          </w:tcPr>
          <w:p>
            <w:pPr>
              <w:pStyle w:val="TableNAm"/>
            </w:pPr>
            <w:r>
              <w:t>Louisa Helen Anne</w:t>
            </w:r>
          </w:p>
        </w:tc>
        <w:tc>
          <w:tcPr>
            <w:tcW w:w="3034" w:type="dxa"/>
          </w:tcPr>
          <w:p>
            <w:pPr>
              <w:pStyle w:val="TableNAm"/>
            </w:pPr>
            <w:r>
              <w:t>TSELEPIS</w:t>
            </w:r>
          </w:p>
        </w:tc>
      </w:tr>
      <w:tr>
        <w:tc>
          <w:tcPr>
            <w:tcW w:w="3033" w:type="dxa"/>
          </w:tcPr>
          <w:p>
            <w:pPr>
              <w:pStyle w:val="TableNAm"/>
            </w:pPr>
            <w:r>
              <w:t>Gavin Robert</w:t>
            </w:r>
          </w:p>
        </w:tc>
        <w:tc>
          <w:tcPr>
            <w:tcW w:w="3034" w:type="dxa"/>
          </w:tcPr>
          <w:p>
            <w:pPr>
              <w:pStyle w:val="TableNAm"/>
            </w:pPr>
            <w:r>
              <w:t>TURBETT</w:t>
            </w:r>
          </w:p>
        </w:tc>
      </w:tr>
      <w:tr>
        <w:tc>
          <w:tcPr>
            <w:tcW w:w="3033" w:type="dxa"/>
          </w:tcPr>
          <w:p>
            <w:pPr>
              <w:pStyle w:val="TableNAm"/>
            </w:pPr>
            <w:r>
              <w:t>Daniel Lindsay</w:t>
            </w:r>
          </w:p>
        </w:tc>
        <w:tc>
          <w:tcPr>
            <w:tcW w:w="3034" w:type="dxa"/>
          </w:tcPr>
          <w:p>
            <w:pPr>
              <w:pStyle w:val="TableNAm"/>
            </w:pPr>
            <w:r>
              <w:t>TURNER</w:t>
            </w:r>
          </w:p>
        </w:tc>
      </w:tr>
    </w:tbl>
    <w:p>
      <w:pPr>
        <w:pStyle w:val="Footnotesection"/>
      </w:pPr>
      <w:r>
        <w:tab/>
        <w:t>[Regulation 5 inserted: SL 2022/204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120628931"/>
      <w:bookmarkStart w:id="13" w:name="_Toc120630636"/>
      <w:bookmarkStart w:id="14" w:name="_Toc120630749"/>
      <w:bookmarkStart w:id="15" w:name="_Toc120710169"/>
      <w:r>
        <w:lastRenderedPageBreak/>
        <w:t>Notes</w:t>
      </w:r>
      <w:bookmarkEnd w:id="12"/>
      <w:bookmarkEnd w:id="13"/>
      <w:bookmarkEnd w:id="14"/>
      <w:bookmarkEnd w:id="15"/>
    </w:p>
    <w:p>
      <w:pPr>
        <w:pStyle w:val="nStatement"/>
      </w:pPr>
      <w:r>
        <w:t xml:space="preserve">This is a compilation of the </w:t>
      </w:r>
      <w:r>
        <w:rPr>
          <w:i/>
          <w:noProof/>
        </w:rPr>
        <w:t>Evidence (Prescribed Persons) Regulations 2005</w:t>
      </w:r>
      <w:r>
        <w:t xml:space="preserve"> and includes amendments made by other written laws. For provisions that have come into operation, and for information about any reprints, see the compilation table.</w:t>
      </w:r>
    </w:p>
    <w:p>
      <w:pPr>
        <w:pStyle w:val="nHeading3"/>
      </w:pPr>
      <w:bookmarkStart w:id="16" w:name="_Toc120710170"/>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rPr>
              <w:t>Evidence (Prescribed Persons) Regulations 2005</w:t>
            </w:r>
            <w:r>
              <w:rPr>
                <w:iCs/>
              </w:rPr>
              <w:t xml:space="preserve"> </w:t>
            </w:r>
          </w:p>
        </w:tc>
        <w:tc>
          <w:tcPr>
            <w:tcW w:w="1276" w:type="dxa"/>
            <w:tcBorders>
              <w:top w:val="single" w:sz="8" w:space="0" w:color="auto"/>
            </w:tcBorders>
          </w:tcPr>
          <w:p>
            <w:pPr>
              <w:pStyle w:val="nTable"/>
              <w:spacing w:after="40"/>
            </w:pPr>
            <w:r>
              <w:t>6 May 2005 p. 2024</w:t>
            </w:r>
            <w:r>
              <w:noBreakHyphen/>
              <w:t>5</w:t>
            </w:r>
          </w:p>
        </w:tc>
        <w:tc>
          <w:tcPr>
            <w:tcW w:w="2693" w:type="dxa"/>
            <w:tcBorders>
              <w:top w:val="single" w:sz="8" w:space="0" w:color="auto"/>
            </w:tcBorders>
          </w:tcPr>
          <w:p>
            <w:pPr>
              <w:pStyle w:val="nTable"/>
              <w:spacing w:after="40"/>
            </w:pPr>
            <w:r>
              <w:t xml:space="preserve">18 Jun 2005 (see r. 2 and </w:t>
            </w:r>
            <w:r>
              <w:rPr>
                <w:i/>
                <w:iCs/>
              </w:rPr>
              <w:t>Gazette</w:t>
            </w:r>
            <w:r>
              <w:t xml:space="preserve"> 17 Jun 2005 p. 2658)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2005</w:t>
            </w:r>
          </w:p>
        </w:tc>
        <w:tc>
          <w:tcPr>
            <w:tcW w:w="1276" w:type="dxa"/>
          </w:tcPr>
          <w:p>
            <w:pPr>
              <w:pStyle w:val="nTable"/>
              <w:spacing w:after="40"/>
            </w:pPr>
            <w:r>
              <w:t>12 Jul 2005 p. 3240</w:t>
            </w:r>
            <w:r>
              <w:noBreakHyphen/>
              <w:t>1</w:t>
            </w:r>
          </w:p>
        </w:tc>
        <w:tc>
          <w:tcPr>
            <w:tcW w:w="2693" w:type="dxa"/>
          </w:tcPr>
          <w:p>
            <w:pPr>
              <w:pStyle w:val="nTable"/>
              <w:spacing w:after="40"/>
            </w:pPr>
            <w:r>
              <w:t>15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2010</w:t>
            </w:r>
          </w:p>
        </w:tc>
        <w:tc>
          <w:tcPr>
            <w:tcW w:w="1276" w:type="dxa"/>
          </w:tcPr>
          <w:p>
            <w:pPr>
              <w:pStyle w:val="nTable"/>
              <w:spacing w:after="40"/>
            </w:pPr>
            <w:r>
              <w:t>9 Apr 2010 p. 1345</w:t>
            </w:r>
            <w:r>
              <w:noBreakHyphen/>
              <w:t>7</w:t>
            </w:r>
          </w:p>
        </w:tc>
        <w:tc>
          <w:tcPr>
            <w:tcW w:w="2693" w:type="dxa"/>
          </w:tcPr>
          <w:p>
            <w:pPr>
              <w:pStyle w:val="nTable"/>
              <w:spacing w:after="40"/>
            </w:pPr>
            <w:r>
              <w:t>r. 1 and 2: 9 Apr 2010 (see r. 2(a));</w:t>
            </w:r>
            <w:r>
              <w:br/>
              <w:t>Regulations other than r. 1 and 2: 10 Apr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2011</w:t>
            </w:r>
          </w:p>
        </w:tc>
        <w:tc>
          <w:tcPr>
            <w:tcW w:w="1276" w:type="dxa"/>
          </w:tcPr>
          <w:p>
            <w:pPr>
              <w:pStyle w:val="nTable"/>
              <w:spacing w:after="40"/>
            </w:pPr>
            <w:r>
              <w:t>21 Apr 2011 p. 1467</w:t>
            </w:r>
            <w:r>
              <w:noBreakHyphen/>
              <w:t>8</w:t>
            </w:r>
          </w:p>
        </w:tc>
        <w:tc>
          <w:tcPr>
            <w:tcW w:w="2693" w:type="dxa"/>
          </w:tcPr>
          <w:p>
            <w:pPr>
              <w:pStyle w:val="nTable"/>
              <w:spacing w:after="40"/>
            </w:pPr>
            <w:r>
              <w:t>r. 1 and 2: 21 Apr 2011 (see r. 2(a));</w:t>
            </w:r>
            <w:r>
              <w:br/>
              <w:t>Regulations other than r. 1 and 2: 22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2012</w:t>
            </w:r>
          </w:p>
        </w:tc>
        <w:tc>
          <w:tcPr>
            <w:tcW w:w="1276" w:type="dxa"/>
          </w:tcPr>
          <w:p>
            <w:pPr>
              <w:pStyle w:val="nTable"/>
              <w:spacing w:after="40"/>
            </w:pPr>
            <w:r>
              <w:t>14 Aug 2012 p. 3835</w:t>
            </w:r>
            <w:r>
              <w:noBreakHyphen/>
              <w:t>6</w:t>
            </w:r>
          </w:p>
        </w:tc>
        <w:tc>
          <w:tcPr>
            <w:tcW w:w="2693" w:type="dxa"/>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Reprint 1:  The</w:t>
            </w:r>
            <w:r>
              <w:rPr>
                <w:b/>
                <w:i/>
              </w:rPr>
              <w:t xml:space="preserve"> Evidence (Prescribed Persons) Regulations 2005</w:t>
            </w:r>
            <w:r>
              <w:rPr>
                <w:b/>
                <w:iCs/>
              </w:rPr>
              <w:t xml:space="preserve"> </w:t>
            </w:r>
            <w:r>
              <w:rPr>
                <w:b/>
              </w:rPr>
              <w:t xml:space="preserve">as at 23 Nov 2012 </w:t>
            </w:r>
            <w:r>
              <w:t>(includes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2015</w:t>
            </w:r>
          </w:p>
        </w:tc>
        <w:tc>
          <w:tcPr>
            <w:tcW w:w="1276" w:type="dxa"/>
          </w:tcPr>
          <w:p>
            <w:pPr>
              <w:pStyle w:val="nTable"/>
              <w:spacing w:after="40"/>
            </w:pPr>
            <w:r>
              <w:t>5 Jun 2015 p. 1972-3</w:t>
            </w:r>
          </w:p>
        </w:tc>
        <w:tc>
          <w:tcPr>
            <w:tcW w:w="2693" w:type="dxa"/>
          </w:tcPr>
          <w:p>
            <w:pPr>
              <w:pStyle w:val="nTable"/>
              <w:spacing w:after="40"/>
            </w:pPr>
            <w:r>
              <w:t>r. 1 and 2: 5 Jun 2015 (see r. 2(a));</w:t>
            </w:r>
            <w:r>
              <w:br/>
              <w:t>Regulations other than r. 1 and 2: 6 Jun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2016</w:t>
            </w:r>
          </w:p>
        </w:tc>
        <w:tc>
          <w:tcPr>
            <w:tcW w:w="1276" w:type="dxa"/>
          </w:tcPr>
          <w:p>
            <w:pPr>
              <w:pStyle w:val="nTable"/>
              <w:spacing w:after="40"/>
            </w:pPr>
            <w:r>
              <w:t>24 Jun 2016 p. 2319-20</w:t>
            </w:r>
          </w:p>
        </w:tc>
        <w:tc>
          <w:tcPr>
            <w:tcW w:w="2693" w:type="dxa"/>
          </w:tcPr>
          <w:p>
            <w:pPr>
              <w:pStyle w:val="nTable"/>
              <w:spacing w:after="40"/>
            </w:pPr>
            <w:r>
              <w:t>r. 1 and 2: 24 Jun 2016 (see r. 2(a));</w:t>
            </w:r>
            <w:r>
              <w:br/>
              <w:t xml:space="preserve">Regulations other than r. 1 and 2: 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2018</w:t>
            </w:r>
          </w:p>
        </w:tc>
        <w:tc>
          <w:tcPr>
            <w:tcW w:w="1276" w:type="dxa"/>
          </w:tcPr>
          <w:p>
            <w:pPr>
              <w:pStyle w:val="nTable"/>
              <w:spacing w:after="40"/>
            </w:pPr>
            <w:r>
              <w:t>19 Jun 2018 p. 2077</w:t>
            </w:r>
          </w:p>
        </w:tc>
        <w:tc>
          <w:tcPr>
            <w:tcW w:w="2693" w:type="dxa"/>
          </w:tcPr>
          <w:p>
            <w:pPr>
              <w:pStyle w:val="nTable"/>
              <w:spacing w:after="40"/>
            </w:pPr>
            <w:r>
              <w:t>r. 1 and 2: 19 Jun 2018 (see r. 2(a));</w:t>
            </w:r>
            <w: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Evidence (Prescribed Persons) Amendment Regulations 2019</w:t>
            </w:r>
          </w:p>
        </w:tc>
        <w:tc>
          <w:tcPr>
            <w:tcW w:w="1276" w:type="dxa"/>
          </w:tcPr>
          <w:p>
            <w:pPr>
              <w:pStyle w:val="nTable"/>
              <w:keepNext/>
              <w:spacing w:after="40"/>
            </w:pPr>
            <w:r>
              <w:t>15 Mar 2019 p. 793-4</w:t>
            </w:r>
          </w:p>
        </w:tc>
        <w:tc>
          <w:tcPr>
            <w:tcW w:w="2693" w:type="dxa"/>
          </w:tcPr>
          <w:p>
            <w:pPr>
              <w:pStyle w:val="nTable"/>
              <w:keepNext/>
              <w:spacing w:after="40"/>
            </w:pPr>
            <w:r>
              <w:t>r. 1 and 2: 15 Mar 2019 (see r. 2(a));</w:t>
            </w:r>
            <w:r>
              <w:br/>
              <w:t>Regulations other than r. 1 and 2: 16 Mar 2019 (see r. 2(b))</w:t>
            </w:r>
          </w:p>
        </w:tc>
      </w:tr>
      <w:tr>
        <w:trPr>
          <w:cantSplit/>
        </w:trPr>
        <w:tc>
          <w:tcPr>
            <w:tcW w:w="3118" w:type="dxa"/>
            <w:tcBorders>
              <w:top w:val="nil"/>
              <w:bottom w:val="nil"/>
            </w:tcBorders>
          </w:tcPr>
          <w:p>
            <w:pPr>
              <w:pStyle w:val="nTable"/>
              <w:keepNext/>
              <w:spacing w:after="40"/>
              <w:rPr>
                <w:i/>
              </w:rPr>
            </w:pPr>
            <w:r>
              <w:rPr>
                <w:i/>
              </w:rPr>
              <w:t>Evidence (Prescribed Persons) Amendment Regulations 2020</w:t>
            </w:r>
          </w:p>
        </w:tc>
        <w:tc>
          <w:tcPr>
            <w:tcW w:w="1276" w:type="dxa"/>
            <w:tcBorders>
              <w:top w:val="nil"/>
              <w:bottom w:val="nil"/>
            </w:tcBorders>
          </w:tcPr>
          <w:p>
            <w:pPr>
              <w:pStyle w:val="nTable"/>
              <w:keepNext/>
              <w:spacing w:after="40"/>
            </w:pPr>
            <w:r>
              <w:t>SL 2020/77</w:t>
            </w:r>
            <w:r>
              <w:br/>
              <w:t>9 Jun 2020</w:t>
            </w:r>
          </w:p>
        </w:tc>
        <w:tc>
          <w:tcPr>
            <w:tcW w:w="2693" w:type="dxa"/>
            <w:tcBorders>
              <w:top w:val="nil"/>
              <w:bottom w:val="nil"/>
            </w:tcBorders>
          </w:tcPr>
          <w:p>
            <w:pPr>
              <w:pStyle w:val="nTable"/>
              <w:keepNext/>
              <w:spacing w:after="40"/>
            </w:pPr>
            <w:r>
              <w:t>r. 1 and 2: 9 Jun 2020 (see r. 2(a));</w:t>
            </w:r>
            <w:r>
              <w:br/>
              <w:t>Regulations other than r. 1 and 2: 10 Jun 2020 (see r. 2(b))</w:t>
            </w:r>
          </w:p>
        </w:tc>
      </w:tr>
      <w:tr>
        <w:trPr>
          <w:cantSplit/>
        </w:trPr>
        <w:tc>
          <w:tcPr>
            <w:tcW w:w="3118" w:type="dxa"/>
            <w:tcBorders>
              <w:top w:val="nil"/>
              <w:bottom w:val="single" w:sz="4" w:space="0" w:color="auto"/>
            </w:tcBorders>
          </w:tcPr>
          <w:p>
            <w:pPr>
              <w:pStyle w:val="nTable"/>
              <w:keepNext/>
              <w:spacing w:after="40"/>
              <w:rPr>
                <w:i/>
              </w:rPr>
            </w:pPr>
            <w:r>
              <w:rPr>
                <w:i/>
              </w:rPr>
              <w:t>Evidence (Prescribed Persons) Amendment Regulations 2022</w:t>
            </w:r>
          </w:p>
        </w:tc>
        <w:tc>
          <w:tcPr>
            <w:tcW w:w="1276" w:type="dxa"/>
            <w:tcBorders>
              <w:top w:val="nil"/>
              <w:bottom w:val="single" w:sz="4" w:space="0" w:color="auto"/>
            </w:tcBorders>
          </w:tcPr>
          <w:p>
            <w:pPr>
              <w:pStyle w:val="nTable"/>
              <w:keepNext/>
              <w:spacing w:after="40"/>
            </w:pPr>
            <w:r>
              <w:t>SL 2022/204 2 Dec 2022</w:t>
            </w:r>
          </w:p>
        </w:tc>
        <w:tc>
          <w:tcPr>
            <w:tcW w:w="2693" w:type="dxa"/>
            <w:tcBorders>
              <w:top w:val="nil"/>
              <w:bottom w:val="single" w:sz="4" w:space="0" w:color="auto"/>
            </w:tcBorders>
          </w:tcPr>
          <w:p>
            <w:pPr>
              <w:pStyle w:val="nTable"/>
              <w:keepNext/>
              <w:spacing w:after="40"/>
            </w:pPr>
            <w:r>
              <w:t>r. 1 and 2: 2 Dec 2022 (see r. 2(a));</w:t>
            </w:r>
            <w:r>
              <w:br/>
              <w:t>Regulations other than r. 1 and 2: 3 Dec 2022 (see r. 2(b))</w:t>
            </w:r>
          </w:p>
        </w:tc>
      </w:tr>
    </w:tbl>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8" w:name="_Toc120710171"/>
      <w:r>
        <w:rPr>
          <w:sz w:val="28"/>
        </w:rPr>
        <w:lastRenderedPageBreak/>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PathWest Laboratory Medicine WA</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5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88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841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1AC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5090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3D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4D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8B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A1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81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8860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9121653"/>
    <w:docVar w:name="WAFER_20140123113432" w:val="RemoveTocBookmarks,RemoveUnusedBookmarks,RemoveLanguageTags,UsedStyles,ResetPageSize,UpdateArrangement"/>
    <w:docVar w:name="WAFER_20140123113432_GUID" w:val="61b15a5e-76fa-4a4a-acde-e1a5b9190862"/>
    <w:docVar w:name="WAFER_20140123113933" w:val="RemoveTocBookmarks,RunningHeaders"/>
    <w:docVar w:name="WAFER_20140123113933_GUID" w:val="729d1790-79c5-4f24-ade7-3ba54c3b55c8"/>
    <w:docVar w:name="WAFER_20150429111448" w:val="ResetPageSize,UpdateArrangement,UpdateNTable"/>
    <w:docVar w:name="WAFER_20150429111448_GUID" w:val="73166d05-1fd4-46f7-8153-b46796639a69"/>
    <w:docVar w:name="WAFER_20150604143626" w:val="ResetPageSize,UpdateArrangement,UpdateNTable"/>
    <w:docVar w:name="WAFER_20150604143626_GUID" w:val="2ee50c19-076e-46b8-9bb8-790e849e7e3c"/>
    <w:docVar w:name="WAFER_20151106102102" w:val="UpdateStyles,UsedStyles"/>
    <w:docVar w:name="WAFER_20151106102102_GUID" w:val="a142b7bc-d289-4dd3-8124-366ac5a39632"/>
    <w:docVar w:name="WAFER_20180628100817" w:val="RemoveTocBookmarks,RemoveUnusedBookmarks,RemoveLanguageTags,UsedStyles,ResetPageSize"/>
    <w:docVar w:name="WAFER_20180628100817_GUID" w:val="c5135212-7ab5-44c0-a221-d5610efcd5d5"/>
    <w:docVar w:name="WAFER_20190314124924" w:val="RemoveTocBookmarks,RemoveUnusedBookmarks,RemoveLanguageTags,ResetPageSize,RunningHeaders,UpdateStyles,UsedStyles"/>
    <w:docVar w:name="WAFER_20190314124924_GUID" w:val="b84e38a6-1bfb-41da-af80-34b35bc67018"/>
    <w:docVar w:name="WAFER_20190314142247" w:val="RemoveTocBookmarks,RemoveUnusedBookmarks,RemoveLanguageTags,ResetPageSize,RunningHeaders,UpdateStyles,UsedStyles"/>
    <w:docVar w:name="WAFER_20190314142247_GUID" w:val="799ed533-c6bc-4d7c-9264-c57c99ce5349"/>
    <w:docVar w:name="WAFER_20200608100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00248_GUID" w:val="62422b0e-75e9-473a-834d-ebeea7c06724"/>
    <w:docVar w:name="WAFER_202211291216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21653_GUID" w:val="a36f6d88-628c-4ca1-8757-8f68eb4aed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9F98BB9-3A97-448A-8305-659A63FE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DeleteListPara">
    <w:name w:val="DeleteListPara"/>
    <w:basedOn w:val="Normal"/>
    <w:pPr>
      <w:widowControl w:val="0"/>
      <w:spacing w:before="80" w:line="260" w:lineRule="atLeast"/>
      <w:ind w:left="1616"/>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4369</Characters>
  <Application>Microsoft Office Word</Application>
  <DocSecurity>0</DocSecurity>
  <Lines>229</Lines>
  <Paragraphs>164</Paragraphs>
  <ScaleCrop>false</ScaleCrop>
  <HeadingPairs>
    <vt:vector size="2" baseType="variant">
      <vt:variant>
        <vt:lpstr>Title</vt:lpstr>
      </vt:variant>
      <vt:variant>
        <vt:i4>1</vt:i4>
      </vt:variant>
    </vt:vector>
  </HeadingPairs>
  <TitlesOfParts>
    <vt:vector size="1" baseType="lpstr">
      <vt:lpstr>Evidence (Prescribed Persons) Regulations 2005</vt:lpstr>
    </vt:vector>
  </TitlesOfParts>
  <Manager/>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(Prescribed Persons) Regulations 2005 - 01-h0-00</dc:title>
  <dc:subject/>
  <dc:creator/>
  <cp:keywords/>
  <dc:description/>
  <cp:lastModifiedBy>Master Repository Process</cp:lastModifiedBy>
  <cp:revision>4</cp:revision>
  <cp:lastPrinted>2012-12-07T01:17:00Z</cp:lastPrinted>
  <dcterms:created xsi:type="dcterms:W3CDTF">2022-12-02T00:37:00Z</dcterms:created>
  <dcterms:modified xsi:type="dcterms:W3CDTF">2022-12-02T00:37:00Z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May 2005 p 2024-5</vt:lpwstr>
  </property>
  <property fmtid="{D5CDD505-2E9C-101B-9397-08002B2CF9AE}" pid="3" name="ReprintNo">
    <vt:lpwstr>1</vt:lpwstr>
  </property>
  <property fmtid="{D5CDD505-2E9C-101B-9397-08002B2CF9AE}" pid="4" name="ReprintedAsAt">
    <vt:filetime>2012-11-22T16:00:00Z</vt:filetime>
  </property>
  <property fmtid="{D5CDD505-2E9C-101B-9397-08002B2CF9AE}" pid="5" name="OWLSUId">
    <vt:i4>260</vt:i4>
  </property>
  <property fmtid="{D5CDD505-2E9C-101B-9397-08002B2CF9AE}" pid="6" name="DocumentType">
    <vt:lpwstr>Reg</vt:lpwstr>
  </property>
  <property fmtid="{D5CDD505-2E9C-101B-9397-08002B2CF9AE}" pid="7" name="AsAtDate">
    <vt:lpwstr>03 Dec 2022</vt:lpwstr>
  </property>
  <property fmtid="{D5CDD505-2E9C-101B-9397-08002B2CF9AE}" pid="8" name="Suffix">
    <vt:lpwstr>01-h0-00</vt:lpwstr>
  </property>
  <property fmtid="{D5CDD505-2E9C-101B-9397-08002B2CF9AE}" pid="9" name="CommencementDate">
    <vt:lpwstr>20221203</vt:lpwstr>
  </property>
</Properties>
</file>