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Trans-Tasman Mutual Recognition (Western Australia)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Trans-Tasman Mutual Recognition (Western Australia) Amendment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_Toc120865203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_Toc120865204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_Toc120865205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replaced</w:t>
      </w:r>
      <w:r>
        <w:tab/>
      </w:r>
      <w:r>
        <w:fldChar w:fldCharType="begin"/>
      </w:r>
      <w:r>
        <w:instrText xml:space="preserve"> PAGEREF _Toc120865206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3.</w:t>
      </w:r>
      <w:r>
        <w:rPr>
          <w:noProof/>
        </w:rPr>
        <w:tab/>
        <w:t>Terms used</w:t>
      </w:r>
      <w:r>
        <w:rPr>
          <w:noProof/>
        </w:rPr>
        <w:tab/>
      </w:r>
      <w:r>
        <w:rPr>
          <w:noProof/>
        </w:rPr>
        <w:fldChar w:fldCharType="begin"/>
      </w:r>
      <w:r>
        <w:rPr>
          <w:noProof/>
        </w:rPr>
        <w:instrText xml:space="preserve"> PAGEREF _Toc120865207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_Toc120865208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7 replaced</w:t>
      </w:r>
      <w:r>
        <w:tab/>
      </w:r>
      <w:r>
        <w:fldChar w:fldCharType="begin"/>
      </w:r>
      <w:r>
        <w:instrText xml:space="preserve"> PAGEREF _Toc120865209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6.</w:t>
      </w:r>
      <w:r>
        <w:rPr>
          <w:noProof/>
        </w:rPr>
        <w:tab/>
        <w:t>Tabling documents relating to scheme reviews</w:t>
      </w:r>
      <w:r>
        <w:rPr>
          <w:noProof/>
        </w:rPr>
        <w:tab/>
      </w:r>
      <w:r>
        <w:rPr>
          <w:noProof/>
        </w:rPr>
        <w:fldChar w:fldCharType="begin"/>
      </w:r>
      <w:r>
        <w:rPr>
          <w:noProof/>
        </w:rPr>
        <w:instrText xml:space="preserve"> PAGEREF _Toc120865210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Termination of adoption</w:t>
      </w:r>
      <w:r>
        <w:rPr>
          <w:noProof/>
        </w:rPr>
        <w:tab/>
      </w:r>
      <w:r>
        <w:rPr>
          <w:noProof/>
        </w:rPr>
        <w:fldChar w:fldCharType="begin"/>
      </w:r>
      <w:r>
        <w:rPr>
          <w:noProof/>
        </w:rPr>
        <w:instrText xml:space="preserve"> PAGEREF _Toc120865211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Revoking termination proclamations</w:t>
      </w:r>
      <w:r>
        <w:rPr>
          <w:noProof/>
        </w:rPr>
        <w:tab/>
      </w:r>
      <w:r>
        <w:rPr>
          <w:noProof/>
        </w:rPr>
        <w:fldChar w:fldCharType="begin"/>
      </w:r>
      <w:r>
        <w:rPr>
          <w:noProof/>
        </w:rPr>
        <w:instrText xml:space="preserve"> PAGEREF _Toc120865212 \h </w:instrText>
      </w:r>
      <w:r>
        <w:rPr>
          <w:noProof/>
        </w:rPr>
      </w:r>
      <w:r>
        <w:rPr>
          <w:noProof/>
        </w:rPr>
        <w:fldChar w:fldCharType="separate"/>
      </w:r>
      <w:r>
        <w:rPr>
          <w:noProof/>
        </w:rPr>
        <w:t>5</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Trans</w:t>
      </w:r>
      <w:r>
        <w:noBreakHyphen/>
        <w:t>Tasman Mutual Recognition (Western Australia) Amendment Act 2022</w:t>
      </w:r>
    </w:p>
    <w:p>
      <w:pPr>
        <w:pStyle w:val="ABillFor"/>
        <w:pBdr>
          <w:top w:val="single" w:sz="4" w:space="6" w:color="auto"/>
          <w:bottom w:val="single" w:sz="4" w:space="6" w:color="auto"/>
        </w:pBdr>
        <w:spacing w:before="0" w:after="240"/>
        <w:ind w:left="2551" w:right="2551"/>
      </w:pPr>
      <w:bookmarkStart w:id="3" w:name="BillCited"/>
      <w:bookmarkEnd w:id="3"/>
      <w:r>
        <w:t>No. 45 of 2022</w:t>
      </w:r>
    </w:p>
    <w:p>
      <w:pPr>
        <w:pStyle w:val="LongTitle"/>
      </w:pPr>
      <w:r>
        <w:t xml:space="preserve">An Act to amend the </w:t>
      </w:r>
      <w:r>
        <w:rPr>
          <w:i/>
        </w:rPr>
        <w:t>Trans</w:t>
      </w:r>
      <w:r>
        <w:rPr>
          <w:i/>
        </w:rPr>
        <w:noBreakHyphen/>
        <w:t>Tasman Mutual Recognition (Western Australia) Act 2007</w:t>
      </w:r>
      <w:r>
        <w:t>.</w:t>
      </w:r>
    </w:p>
    <w:p>
      <w:pPr>
        <w:pStyle w:val="AssentDate"/>
        <w:spacing w:before="240" w:after="480"/>
      </w:pPr>
      <w:r>
        <w:t>[</w:t>
      </w:r>
      <w:r>
        <w:rPr>
          <w:i/>
        </w:rPr>
        <w:t>Assented to 1 December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20865203"/>
      <w:r>
        <w:rPr>
          <w:rStyle w:val="CharSectno"/>
        </w:rPr>
        <w:lastRenderedPageBreak/>
        <w:t>1</w:t>
      </w:r>
      <w:r>
        <w:t>.</w:t>
      </w:r>
      <w:r>
        <w:tab/>
        <w:t>Short title</w:t>
      </w:r>
      <w:bookmarkEnd w:id="4"/>
    </w:p>
    <w:p>
      <w:pPr>
        <w:pStyle w:val="Subsection"/>
      </w:pPr>
      <w:r>
        <w:tab/>
      </w:r>
      <w:r>
        <w:tab/>
        <w:t>This is the</w:t>
      </w:r>
      <w:r>
        <w:rPr>
          <w:i/>
        </w:rPr>
        <w:t xml:space="preserve"> Trans</w:t>
      </w:r>
      <w:r>
        <w:rPr>
          <w:i/>
        </w:rPr>
        <w:noBreakHyphen/>
        <w:t>Tasman Mutual Recognition (Western Australia) Amendment Act 2022</w:t>
      </w:r>
      <w:r>
        <w:t>.</w:t>
      </w:r>
    </w:p>
    <w:p>
      <w:pPr>
        <w:pStyle w:val="Heading5"/>
      </w:pPr>
      <w:bookmarkStart w:id="5" w:name="_Toc120865204"/>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20865205"/>
      <w:r>
        <w:rPr>
          <w:rStyle w:val="CharSectno"/>
        </w:rPr>
        <w:t>3</w:t>
      </w:r>
      <w:r>
        <w:rPr>
          <w:snapToGrid w:val="0"/>
        </w:rPr>
        <w:t>.</w:t>
      </w:r>
      <w:r>
        <w:rPr>
          <w:snapToGrid w:val="0"/>
        </w:rPr>
        <w:tab/>
        <w:t>Act amended</w:t>
      </w:r>
      <w:bookmarkEnd w:id="6"/>
    </w:p>
    <w:p>
      <w:pPr>
        <w:pStyle w:val="Subsection"/>
      </w:pPr>
      <w:r>
        <w:tab/>
      </w:r>
      <w:r>
        <w:tab/>
        <w:t xml:space="preserve">This Act amends the </w:t>
      </w:r>
      <w:r>
        <w:rPr>
          <w:i/>
        </w:rPr>
        <w:t>Trans</w:t>
      </w:r>
      <w:r>
        <w:rPr>
          <w:i/>
        </w:rPr>
        <w:noBreakHyphen/>
        <w:t>Tasman Mutual Recognition (Western Australia) Act 2007</w:t>
      </w:r>
      <w:r>
        <w:t>.</w:t>
      </w:r>
    </w:p>
    <w:p>
      <w:pPr>
        <w:pStyle w:val="Heading5"/>
      </w:pPr>
      <w:bookmarkStart w:id="7" w:name="_Toc120865206"/>
      <w:r>
        <w:rPr>
          <w:rStyle w:val="CharSectno"/>
        </w:rPr>
        <w:t>4</w:t>
      </w:r>
      <w:r>
        <w:t>.</w:t>
      </w:r>
      <w:r>
        <w:tab/>
        <w:t>Section 3 replaced</w:t>
      </w:r>
      <w:bookmarkEnd w:id="7"/>
    </w:p>
    <w:p>
      <w:pPr>
        <w:pStyle w:val="Subsection"/>
      </w:pPr>
      <w:r>
        <w:tab/>
      </w:r>
      <w:r>
        <w:tab/>
        <w:t>Delete section 3 and insert:</w:t>
      </w:r>
    </w:p>
    <w:p>
      <w:pPr>
        <w:pStyle w:val="BlankOpen"/>
      </w:pPr>
    </w:p>
    <w:p>
      <w:pPr>
        <w:pStyle w:val="zHeading5"/>
      </w:pPr>
      <w:bookmarkStart w:id="8" w:name="_Toc120865207"/>
      <w:r>
        <w:t>3.</w:t>
      </w:r>
      <w:r>
        <w:tab/>
        <w:t>Terms used</w:t>
      </w:r>
      <w:bookmarkEnd w:id="8"/>
    </w:p>
    <w:p>
      <w:pPr>
        <w:pStyle w:val="zSubsection"/>
      </w:pPr>
      <w:r>
        <w:tab/>
      </w:r>
      <w:r>
        <w:tab/>
        <w:t xml:space="preserve">In this Act — </w:t>
      </w:r>
    </w:p>
    <w:p>
      <w:pPr>
        <w:pStyle w:val="zDefstart"/>
      </w:pPr>
      <w:r>
        <w:tab/>
      </w:r>
      <w:r>
        <w:rPr>
          <w:rStyle w:val="CharDefText"/>
        </w:rPr>
        <w:t>adopt</w:t>
      </w:r>
      <w:r>
        <w:t xml:space="preserve"> has the same meaning as in the Constitution of the Commonwealth section 51(xxxvii);</w:t>
      </w:r>
    </w:p>
    <w:p>
      <w:pPr>
        <w:pStyle w:val="zDefstart"/>
      </w:pPr>
      <w:r>
        <w:tab/>
      </w:r>
      <w:r>
        <w:rPr>
          <w:rStyle w:val="CharDefText"/>
        </w:rPr>
        <w:t>Commonwealth Act</w:t>
      </w:r>
      <w:r>
        <w:t xml:space="preserve"> means the </w:t>
      </w:r>
      <w:r>
        <w:rPr>
          <w:i/>
        </w:rPr>
        <w:t>Trans</w:t>
      </w:r>
      <w:r>
        <w:rPr>
          <w:i/>
        </w:rPr>
        <w:noBreakHyphen/>
        <w:t>Tasman Mutual Recognition Act 1997</w:t>
      </w:r>
      <w:r>
        <w:t xml:space="preserve"> (Commonwealth).</w:t>
      </w:r>
    </w:p>
    <w:p>
      <w:pPr>
        <w:pStyle w:val="BlankClose"/>
      </w:pPr>
    </w:p>
    <w:p>
      <w:pPr>
        <w:pStyle w:val="Heading5"/>
      </w:pPr>
      <w:bookmarkStart w:id="9" w:name="_Toc120865208"/>
      <w:r>
        <w:rPr>
          <w:rStyle w:val="CharSectno"/>
        </w:rPr>
        <w:lastRenderedPageBreak/>
        <w:t>5</w:t>
      </w:r>
      <w:r>
        <w:t>.</w:t>
      </w:r>
      <w:r>
        <w:tab/>
        <w:t>Section 4 amended</w:t>
      </w:r>
      <w:bookmarkEnd w:id="9"/>
    </w:p>
    <w:p>
      <w:pPr>
        <w:pStyle w:val="Subsection"/>
        <w:keepNext/>
      </w:pPr>
      <w:r>
        <w:tab/>
        <w:t>(1)</w:t>
      </w:r>
      <w:r>
        <w:tab/>
        <w:t>Delete section 4(1) and insert:</w:t>
      </w:r>
    </w:p>
    <w:p>
      <w:pPr>
        <w:pStyle w:val="BlankOpen"/>
      </w:pPr>
    </w:p>
    <w:p>
      <w:pPr>
        <w:pStyle w:val="zSubsection"/>
        <w:keepNext/>
      </w:pPr>
      <w:r>
        <w:tab/>
        <w:t>(1)</w:t>
      </w:r>
      <w:r>
        <w:tab/>
        <w:t>The Commonwealth Act, as originally enacted and as amended from time to time by regulations made under the Commonwealth Act, is adopted.</w:t>
      </w:r>
    </w:p>
    <w:p>
      <w:pPr>
        <w:pStyle w:val="BlankClose"/>
      </w:pPr>
    </w:p>
    <w:p>
      <w:pPr>
        <w:pStyle w:val="Subsection"/>
      </w:pPr>
      <w:r>
        <w:tab/>
        <w:t>(2)</w:t>
      </w:r>
      <w:r>
        <w:tab/>
        <w:t>In section 4(2) delete “of the Commonwealth Act under this Act” and insert:</w:t>
      </w:r>
    </w:p>
    <w:p>
      <w:pPr>
        <w:pStyle w:val="BlankOpen"/>
      </w:pPr>
    </w:p>
    <w:p>
      <w:pPr>
        <w:pStyle w:val="Subsection"/>
      </w:pPr>
      <w:r>
        <w:tab/>
      </w:r>
      <w:r>
        <w:tab/>
        <w:t>under subsection (1)</w:t>
      </w:r>
    </w:p>
    <w:p>
      <w:pPr>
        <w:pStyle w:val="BlankClose"/>
      </w:pPr>
    </w:p>
    <w:p>
      <w:pPr>
        <w:pStyle w:val="Subsection"/>
      </w:pPr>
      <w:r>
        <w:tab/>
        <w:t>(3)</w:t>
      </w:r>
      <w:r>
        <w:tab/>
        <w:t>Delete section 4(3).</w:t>
      </w:r>
    </w:p>
    <w:p>
      <w:pPr>
        <w:pStyle w:val="Subsection"/>
      </w:pPr>
      <w:r>
        <w:tab/>
        <w:t>(4)</w:t>
      </w:r>
      <w:r>
        <w:tab/>
        <w:t>In section 4(4):</w:t>
      </w:r>
    </w:p>
    <w:p>
      <w:pPr>
        <w:pStyle w:val="Indenta"/>
      </w:pPr>
      <w:r>
        <w:tab/>
        <w:t>(a)</w:t>
      </w:r>
      <w:r>
        <w:tab/>
        <w:t>delete “subsection (3)” and insert:</w:t>
      </w:r>
    </w:p>
    <w:p>
      <w:pPr>
        <w:pStyle w:val="BlankOpen"/>
      </w:pPr>
    </w:p>
    <w:p>
      <w:pPr>
        <w:pStyle w:val="Indenta"/>
      </w:pPr>
      <w:r>
        <w:tab/>
      </w:r>
      <w:r>
        <w:tab/>
        <w:t>subsection (1)</w:t>
      </w:r>
    </w:p>
    <w:p>
      <w:pPr>
        <w:pStyle w:val="BlankClose"/>
      </w:pPr>
    </w:p>
    <w:p>
      <w:pPr>
        <w:pStyle w:val="Indenta"/>
      </w:pPr>
      <w:r>
        <w:tab/>
        <w:t>(b)</w:t>
      </w:r>
      <w:r>
        <w:tab/>
        <w:t xml:space="preserve">delete “Legislative Instruments maintained under the </w:t>
      </w:r>
      <w:r>
        <w:rPr>
          <w:i/>
        </w:rPr>
        <w:t>Legislative Instruments Act 2003</w:t>
      </w:r>
      <w:r>
        <w:t xml:space="preserve"> of the Commonwealth.” and insert:</w:t>
      </w:r>
    </w:p>
    <w:p>
      <w:pPr>
        <w:pStyle w:val="BlankOpen"/>
      </w:pPr>
    </w:p>
    <w:p>
      <w:pPr>
        <w:pStyle w:val="Indenta"/>
      </w:pPr>
      <w:r>
        <w:tab/>
      </w:r>
      <w:r>
        <w:tab/>
        <w:t xml:space="preserve">Legislation maintained under the </w:t>
      </w:r>
      <w:r>
        <w:rPr>
          <w:i/>
        </w:rPr>
        <w:t>Legislation Act 2003</w:t>
      </w:r>
      <w:r>
        <w:t xml:space="preserve"> (Commonwealth).</w:t>
      </w:r>
    </w:p>
    <w:p>
      <w:pPr>
        <w:pStyle w:val="BlankClose"/>
      </w:pPr>
    </w:p>
    <w:p>
      <w:pPr>
        <w:pStyle w:val="Subsection"/>
      </w:pPr>
      <w:r>
        <w:tab/>
        <w:t>(5)</w:t>
      </w:r>
      <w:r>
        <w:tab/>
        <w:t>Delete section 4(5) and insert:</w:t>
      </w:r>
    </w:p>
    <w:p>
      <w:pPr>
        <w:pStyle w:val="BlankOpen"/>
      </w:pPr>
    </w:p>
    <w:p>
      <w:pPr>
        <w:pStyle w:val="zSubsection"/>
      </w:pPr>
      <w:r>
        <w:tab/>
        <w:t>(5)</w:t>
      </w:r>
      <w:r>
        <w:tab/>
        <w:t>The adoption under subsection (1) terminates in accordance with section 7.</w:t>
      </w:r>
    </w:p>
    <w:p>
      <w:pPr>
        <w:pStyle w:val="BlankClose"/>
      </w:pPr>
    </w:p>
    <w:p>
      <w:pPr>
        <w:pStyle w:val="Heading5"/>
      </w:pPr>
      <w:bookmarkStart w:id="10" w:name="_Toc120865209"/>
      <w:r>
        <w:rPr>
          <w:rStyle w:val="CharSectno"/>
        </w:rPr>
        <w:lastRenderedPageBreak/>
        <w:t>6</w:t>
      </w:r>
      <w:r>
        <w:t>.</w:t>
      </w:r>
      <w:r>
        <w:tab/>
        <w:t>Section 7 replaced</w:t>
      </w:r>
      <w:bookmarkEnd w:id="10"/>
    </w:p>
    <w:p>
      <w:pPr>
        <w:pStyle w:val="Subsection"/>
      </w:pPr>
      <w:r>
        <w:tab/>
      </w:r>
      <w:r>
        <w:tab/>
        <w:t>Delete section 7 and insert:</w:t>
      </w:r>
    </w:p>
    <w:p>
      <w:pPr>
        <w:pStyle w:val="BlankOpen"/>
      </w:pPr>
    </w:p>
    <w:p>
      <w:pPr>
        <w:pStyle w:val="zHeading5"/>
      </w:pPr>
      <w:bookmarkStart w:id="11" w:name="_Toc120865210"/>
      <w:r>
        <w:t>6.</w:t>
      </w:r>
      <w:r>
        <w:tab/>
        <w:t>Tabling documents relating to scheme reviews</w:t>
      </w:r>
      <w:bookmarkEnd w:id="11"/>
    </w:p>
    <w:p>
      <w:pPr>
        <w:pStyle w:val="zSubsection"/>
      </w:pPr>
      <w:r>
        <w:tab/>
        <w:t>(1)</w:t>
      </w:r>
      <w:r>
        <w:tab/>
        <w:t xml:space="preserve">In this section — </w:t>
      </w:r>
    </w:p>
    <w:p>
      <w:pPr>
        <w:pStyle w:val="zDefstart"/>
      </w:pPr>
      <w:r>
        <w:tab/>
      </w:r>
      <w:r>
        <w:rPr>
          <w:rStyle w:val="CharDefText"/>
        </w:rPr>
        <w:t>intergovernmental arrangement</w:t>
      </w:r>
      <w:r>
        <w:t xml:space="preserve"> means the Trans</w:t>
      </w:r>
      <w:r>
        <w:noBreakHyphen/>
        <w:t>Tasman Mutual Recognition Arrangement between the Commonwealth, New Zealand, the States, the Australian Capital Territory and the Northern Territory, as in force from time to time;</w:t>
      </w:r>
    </w:p>
    <w:p>
      <w:pPr>
        <w:pStyle w:val="zDefstart"/>
      </w:pPr>
      <w:r>
        <w:tab/>
      </w:r>
      <w:r>
        <w:rPr>
          <w:rStyle w:val="CharDefText"/>
        </w:rPr>
        <w:t>scheme review</w:t>
      </w:r>
      <w:r>
        <w:t xml:space="preserve"> means a review of the operation of the intergovernmental arrangement and its related legislation carried out under paragraphs 12.1.1 to 12.1.3 of the intergovernmental arrangement.</w:t>
      </w:r>
    </w:p>
    <w:p>
      <w:pPr>
        <w:pStyle w:val="zSubsection"/>
      </w:pPr>
      <w:r>
        <w:tab/>
        <w:t>(2)</w:t>
      </w:r>
      <w:r>
        <w:tab/>
        <w:t xml:space="preserve">Subsection (3) applies if — </w:t>
      </w:r>
    </w:p>
    <w:p>
      <w:pPr>
        <w:pStyle w:val="zIndenta"/>
      </w:pPr>
      <w:r>
        <w:tab/>
        <w:t>(a)</w:t>
      </w:r>
      <w:r>
        <w:tab/>
        <w:t>a scheme review is carried out; and</w:t>
      </w:r>
    </w:p>
    <w:p>
      <w:pPr>
        <w:pStyle w:val="zIndenta"/>
      </w:pPr>
      <w:r>
        <w:tab/>
        <w:t>(b)</w:t>
      </w:r>
      <w:r>
        <w:tab/>
        <w:t>a report is prepared by the person carrying out the review; and</w:t>
      </w:r>
    </w:p>
    <w:p>
      <w:pPr>
        <w:pStyle w:val="zIndenta"/>
      </w:pPr>
      <w:r>
        <w:tab/>
        <w:t>(c)</w:t>
      </w:r>
      <w:r>
        <w:tab/>
        <w:t>the Minister receives the report.</w:t>
      </w:r>
    </w:p>
    <w:p>
      <w:pPr>
        <w:pStyle w:val="zSubsection"/>
      </w:pPr>
      <w:r>
        <w:tab/>
        <w:t>(3)</w:t>
      </w:r>
      <w:r>
        <w:tab/>
        <w:t>The Minister must cause the report to be laid before each House of Parliament as soon as practicable after the Minister receives the report.</w:t>
      </w:r>
    </w:p>
    <w:p>
      <w:pPr>
        <w:pStyle w:val="zSubsection"/>
      </w:pPr>
      <w:r>
        <w:tab/>
        <w:t>(4)</w:t>
      </w:r>
      <w:r>
        <w:tab/>
        <w:t>If a report to which subsection (3) applies contains sensitive, confidential or personal information, the Minister may comply with subsection (3) by removing the sensitive, confidential or personal information from the report before causing the document to be laid before each House.</w:t>
      </w:r>
    </w:p>
    <w:p>
      <w:pPr>
        <w:pStyle w:val="zHeading5"/>
      </w:pPr>
      <w:bookmarkStart w:id="12" w:name="_Toc120865211"/>
      <w:r>
        <w:lastRenderedPageBreak/>
        <w:t>7.</w:t>
      </w:r>
      <w:r>
        <w:tab/>
        <w:t>Termination of adoption</w:t>
      </w:r>
      <w:bookmarkEnd w:id="12"/>
    </w:p>
    <w:p>
      <w:pPr>
        <w:pStyle w:val="zSubsection"/>
      </w:pPr>
      <w:r>
        <w:tab/>
      </w:r>
      <w:r>
        <w:tab/>
        <w:t>The Governor may by proclamation fix a day as the day on which the adoption under section 4(1) is to terminate.</w:t>
      </w:r>
    </w:p>
    <w:p>
      <w:pPr>
        <w:pStyle w:val="zHeading5"/>
      </w:pPr>
      <w:bookmarkStart w:id="13" w:name="_Toc120865212"/>
      <w:r>
        <w:t>8.</w:t>
      </w:r>
      <w:r>
        <w:tab/>
        <w:t>Revoking termination proclamations</w:t>
      </w:r>
      <w:bookmarkEnd w:id="13"/>
    </w:p>
    <w:p>
      <w:pPr>
        <w:pStyle w:val="zSubsection"/>
      </w:pPr>
      <w:r>
        <w:tab/>
        <w:t>(1)</w:t>
      </w:r>
      <w:r>
        <w:tab/>
        <w:t xml:space="preserve">The Governor may by proclamation (a </w:t>
      </w:r>
      <w:r>
        <w:rPr>
          <w:rStyle w:val="CharDefText"/>
        </w:rPr>
        <w:t>revoking proclamation</w:t>
      </w:r>
      <w:r>
        <w:t>) revoke a proclamation made under section 7.</w:t>
      </w:r>
    </w:p>
    <w:p>
      <w:pPr>
        <w:pStyle w:val="zSubsection"/>
      </w:pPr>
      <w:r>
        <w:tab/>
        <w:t>(2)</w:t>
      </w:r>
      <w:r>
        <w:tab/>
        <w:t xml:space="preserve">A revoking proclamation has effect only if published in the </w:t>
      </w:r>
      <w:r>
        <w:rPr>
          <w:i/>
        </w:rPr>
        <w:t>Gazette</w:t>
      </w:r>
      <w:r>
        <w:t xml:space="preserve"> before the day fixed in the proclamation made under section 7.</w:t>
      </w:r>
    </w:p>
    <w:p>
      <w:pPr>
        <w:pStyle w:val="zSubsection"/>
      </w:pPr>
      <w:r>
        <w:tab/>
        <w:t>(3)</w:t>
      </w:r>
      <w:r>
        <w:tab/>
        <w:t>If a revoking proclamation has effect, the revoked proclamation is taken never to have been made.</w:t>
      </w:r>
    </w:p>
    <w:p>
      <w:pPr>
        <w:pStyle w:val="zSubsection"/>
      </w:pPr>
      <w:r>
        <w:tab/>
        <w:t>(4)</w:t>
      </w:r>
      <w:r>
        <w:tab/>
        <w:t>A revoking proclamation does not prevent the further making of a proclamation under section 7.</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207A0A50"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65231636" w14:textId="0A74015B" w:rsidR="00074F4C" w:rsidRDefault="00074F4C">
                      <w:pPr>
                        <w:ind w:left="2835" w:right="2268"/>
                        <w:rPr>
                          <w:sz w:val="16"/>
                        </w:rPr>
                      </w:pPr>
                      <w:r>
                        <w:rPr>
                          <w:sz w:val="16"/>
                        </w:rPr>
                        <w:t>© State of Western Australia 2022.</w:t>
                      </w:r>
                    </w:p>
                    <w:p w14:paraId="0E18081C" w14:textId="77777777" w:rsidR="00074F4C" w:rsidRDefault="00074F4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AFBE2A1" w14:textId="2DA28C82" w:rsidR="00074F4C" w:rsidRDefault="00074F4C">
                      <w:pPr>
                        <w:ind w:left="2835" w:right="2268"/>
                        <w:rPr>
                          <w:sz w:val="16"/>
                        </w:rPr>
                      </w:pPr>
                      <w:r>
                        <w:rPr>
                          <w:sz w:val="16"/>
                        </w:rPr>
                        <w:t>Attribute work as: © State of Western Australia 2022.</w:t>
                      </w:r>
                    </w:p>
                    <w:p w14:paraId="3C3206C4" w14:textId="77777777" w:rsidR="00074F4C" w:rsidRDefault="00074F4C">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45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45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26"/>
      <w:gridCol w:w="5289"/>
      <w:gridCol w:w="1548"/>
    </w:tblGrid>
    <w:tr>
      <w:trPr>
        <w:gridBefore w:val="1"/>
        <w:wBefore w:w="426" w:type="dxa"/>
        <w:cantSplit/>
        <w:jc w:val="center"/>
      </w:trPr>
      <w:tc>
        <w:tcPr>
          <w:tcW w:w="6837"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Amendment Act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 w:name="Coversheet"/>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20209174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7191519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719151957_GUID" w:val="81f8cfd1-d02c-4e6d-b149-122abd1997a0"/>
    <w:docVar w:name="WAFER_20220808163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8163430_GUID" w:val="d48da968-90c6-426d-b404-72cf86ac329a"/>
    <w:docVar w:name="WAFER_20221202091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202091740_GUID" w:val="c7386a93-1cda-4c68-bf69-c77516b8f1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3B0A736-876C-4E75-8933-F4107F05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8376">
      <w:bodyDiv w:val="1"/>
      <w:marLeft w:val="0"/>
      <w:marRight w:val="0"/>
      <w:marTop w:val="0"/>
      <w:marBottom w:val="0"/>
      <w:divBdr>
        <w:top w:val="none" w:sz="0" w:space="0" w:color="auto"/>
        <w:left w:val="none" w:sz="0" w:space="0" w:color="auto"/>
        <w:bottom w:val="none" w:sz="0" w:space="0" w:color="auto"/>
        <w:right w:val="none" w:sz="0" w:space="0" w:color="auto"/>
      </w:divBdr>
    </w:div>
    <w:div w:id="14817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7891-4716-4286-9B74-E6538AB1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3882</Characters>
  <Application>Microsoft Office Word</Application>
  <DocSecurity>0</DocSecurity>
  <Lines>155</Lines>
  <Paragraphs>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4507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Amendment Act 2022 - 00-00-00</dc:title>
  <dc:subject/>
  <dc:creator/>
  <cp:keywords/>
  <dc:description/>
  <cp:lastModifiedBy>Master Repository Process</cp:lastModifiedBy>
  <cp:revision>4</cp:revision>
  <cp:lastPrinted>2022-12-01T09:12:00Z</cp:lastPrinted>
  <dcterms:created xsi:type="dcterms:W3CDTF">2022-12-02T01:33:00Z</dcterms:created>
  <dcterms:modified xsi:type="dcterms:W3CDTF">2022-12-02T01:33:00Z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2022</vt:lpwstr>
  </property>
  <property fmtid="{D5CDD505-2E9C-101B-9397-08002B2CF9AE}" pid="3" name="DocumentType">
    <vt:lpwstr>Act</vt:lpwstr>
  </property>
  <property fmtid="{D5CDD505-2E9C-101B-9397-08002B2CF9AE}" pid="4" name="AsAtDate">
    <vt:lpwstr>01 Dec 2022</vt:lpwstr>
  </property>
  <property fmtid="{D5CDD505-2E9C-101B-9397-08002B2CF9AE}" pid="5" name="Suffix">
    <vt:lpwstr>00-00-00</vt:lpwstr>
  </property>
  <property fmtid="{D5CDD505-2E9C-101B-9397-08002B2CF9AE}" pid="6" name="ActNoFooter">
    <vt:lpwstr>No. 45 of 2022</vt:lpwstr>
  </property>
  <property fmtid="{D5CDD505-2E9C-101B-9397-08002B2CF9AE}" pid="7" name="CommencementDate">
    <vt:lpwstr>20221201</vt:lpwstr>
  </property>
</Properties>
</file>