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Security and Related Activities (Control)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_Toc121999944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_Toc121999945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_Toc121999946 \h </w:instrText>
      </w:r>
      <w:r>
        <w:fldChar w:fldCharType="separate"/>
      </w:r>
      <w:r>
        <w:t>1</w:t>
      </w:r>
      <w:r>
        <w:fldChar w:fldCharType="end"/>
      </w:r>
    </w:p>
    <w:p>
      <w:pPr>
        <w:pStyle w:val="TOC8"/>
        <w:rPr>
          <w:rFonts w:asciiTheme="minorHAnsi" w:eastAsiaTheme="minorEastAsia" w:hAnsiTheme="minorHAnsi" w:cstheme="minorBidi"/>
          <w:szCs w:val="22"/>
        </w:rPr>
      </w:pPr>
      <w:r>
        <w:t>4A.</w:t>
      </w:r>
      <w:r>
        <w:tab/>
        <w:t>Method of giving things to Commissioner, Superintendent or licensing officer</w:t>
      </w:r>
      <w:r>
        <w:tab/>
      </w:r>
      <w:r>
        <w:fldChar w:fldCharType="begin"/>
      </w:r>
      <w:r>
        <w:instrText xml:space="preserve"> PAGEREF _Toc121999947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Exemptions</w:t>
      </w:r>
    </w:p>
    <w:p>
      <w:pPr>
        <w:pStyle w:val="TOC8"/>
        <w:rPr>
          <w:rFonts w:asciiTheme="minorHAnsi" w:eastAsiaTheme="minorEastAsia" w:hAnsiTheme="minorHAnsi" w:cstheme="minorBidi"/>
          <w:szCs w:val="22"/>
        </w:rPr>
      </w:pPr>
      <w:r>
        <w:t>4</w:t>
      </w:r>
      <w:r>
        <w:rPr>
          <w:snapToGrid w:val="0"/>
        </w:rPr>
        <w:t>.</w:t>
      </w:r>
      <w:r>
        <w:rPr>
          <w:snapToGrid w:val="0"/>
        </w:rPr>
        <w:tab/>
        <w:t>Act s. 37 (crowd controller’s licence), exemptions from</w:t>
      </w:r>
      <w:r>
        <w:tab/>
      </w:r>
      <w:r>
        <w:fldChar w:fldCharType="begin"/>
      </w:r>
      <w:r>
        <w:instrText xml:space="preserve"> PAGEREF _Toc121999949 \h </w:instrText>
      </w:r>
      <w:r>
        <w:fldChar w:fldCharType="separate"/>
      </w:r>
      <w:r>
        <w:t>5</w:t>
      </w:r>
      <w:r>
        <w:fldChar w:fldCharType="end"/>
      </w:r>
    </w:p>
    <w:p>
      <w:pPr>
        <w:pStyle w:val="TOC8"/>
        <w:rPr>
          <w:rFonts w:asciiTheme="minorHAnsi" w:eastAsiaTheme="minorEastAsia" w:hAnsiTheme="minorHAnsi" w:cstheme="minorBidi"/>
          <w:szCs w:val="22"/>
        </w:rPr>
      </w:pPr>
      <w:r>
        <w:t>5A.</w:t>
      </w:r>
      <w:r>
        <w:tab/>
        <w:t xml:space="preserve">Some persons to whom </w:t>
      </w:r>
      <w:r>
        <w:rPr>
          <w:i/>
        </w:rPr>
        <w:t xml:space="preserve">Court Security and Custodial Services Act 1999 </w:t>
      </w:r>
      <w:r>
        <w:t>applies, exemption for</w:t>
      </w:r>
      <w:r>
        <w:tab/>
      </w:r>
      <w:r>
        <w:fldChar w:fldCharType="begin"/>
      </w:r>
      <w:r>
        <w:instrText xml:space="preserve"> PAGEREF _Toc121999950 \h </w:instrText>
      </w:r>
      <w:r>
        <w:fldChar w:fldCharType="separate"/>
      </w:r>
      <w:r>
        <w:t>5</w:t>
      </w:r>
      <w:r>
        <w:fldChar w:fldCharType="end"/>
      </w:r>
    </w:p>
    <w:p>
      <w:pPr>
        <w:pStyle w:val="TOC8"/>
        <w:rPr>
          <w:rFonts w:asciiTheme="minorHAnsi" w:eastAsiaTheme="minorEastAsia" w:hAnsiTheme="minorHAnsi" w:cstheme="minorBidi"/>
          <w:szCs w:val="22"/>
        </w:rPr>
      </w:pPr>
      <w:r>
        <w:t>5B.</w:t>
      </w:r>
      <w:r>
        <w:tab/>
        <w:t xml:space="preserve">Some persons to whom </w:t>
      </w:r>
      <w:r>
        <w:rPr>
          <w:i/>
        </w:rPr>
        <w:t>Prisons Act 1981</w:t>
      </w:r>
      <w:r>
        <w:t xml:space="preserve"> Part IIIA applies, exemption for</w:t>
      </w:r>
      <w:r>
        <w:tab/>
      </w:r>
      <w:r>
        <w:fldChar w:fldCharType="begin"/>
      </w:r>
      <w:r>
        <w:instrText xml:space="preserve"> PAGEREF _Toc121999951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activities</w:t>
      </w:r>
    </w:p>
    <w:p>
      <w:pPr>
        <w:pStyle w:val="TOC8"/>
        <w:rPr>
          <w:rFonts w:asciiTheme="minorHAnsi" w:eastAsiaTheme="minorEastAsia" w:hAnsiTheme="minorHAnsi" w:cstheme="minorBidi"/>
          <w:szCs w:val="22"/>
        </w:rPr>
      </w:pPr>
      <w:r>
        <w:t>6.</w:t>
      </w:r>
      <w:r>
        <w:tab/>
        <w:t>Locks prescribed (Act s. 14(1)(d))</w:t>
      </w:r>
      <w:r>
        <w:tab/>
      </w:r>
      <w:r>
        <w:fldChar w:fldCharType="begin"/>
      </w:r>
      <w:r>
        <w:instrText xml:space="preserve"> PAGEREF _Toc121999953 \h </w:instrText>
      </w:r>
      <w:r>
        <w:fldChar w:fldCharType="separate"/>
      </w:r>
      <w:r>
        <w:t>7</w:t>
      </w:r>
      <w:r>
        <w:fldChar w:fldCharType="end"/>
      </w:r>
    </w:p>
    <w:p>
      <w:pPr>
        <w:pStyle w:val="TOC8"/>
        <w:rPr>
          <w:rFonts w:asciiTheme="minorHAnsi" w:eastAsiaTheme="minorEastAsia" w:hAnsiTheme="minorHAnsi" w:cstheme="minorBidi"/>
          <w:szCs w:val="22"/>
        </w:rPr>
      </w:pPr>
      <w:r>
        <w:t>7.</w:t>
      </w:r>
      <w:r>
        <w:tab/>
        <w:t>Security doors prescribed (Act s. 14(1)(e))</w:t>
      </w:r>
      <w:r>
        <w:tab/>
      </w:r>
      <w:r>
        <w:fldChar w:fldCharType="begin"/>
      </w:r>
      <w:r>
        <w:instrText xml:space="preserve"> PAGEREF _Toc121999954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Equipment and devices prescribed (Act s. 14(1)(g))</w:t>
      </w:r>
      <w:r>
        <w:tab/>
      </w:r>
      <w:r>
        <w:fldChar w:fldCharType="begin"/>
      </w:r>
      <w:r>
        <w:instrText xml:space="preserve"> PAGEREF _Toc121999955 \h </w:instrText>
      </w:r>
      <w:r>
        <w:fldChar w:fldCharType="separate"/>
      </w:r>
      <w:r>
        <w:t>7</w:t>
      </w:r>
      <w:r>
        <w:fldChar w:fldCharType="end"/>
      </w:r>
    </w:p>
    <w:p>
      <w:pPr>
        <w:pStyle w:val="TOC8"/>
        <w:rPr>
          <w:rFonts w:asciiTheme="minorHAnsi" w:eastAsiaTheme="minorEastAsia" w:hAnsiTheme="minorHAnsi" w:cstheme="minorBidi"/>
          <w:szCs w:val="22"/>
        </w:rPr>
      </w:pPr>
      <w:r>
        <w:t>9.</w:t>
      </w:r>
      <w:r>
        <w:tab/>
        <w:t>Activities prescribed (Act s. 24(1)(b))</w:t>
      </w:r>
      <w:r>
        <w:tab/>
      </w:r>
      <w:r>
        <w:fldChar w:fldCharType="begin"/>
      </w:r>
      <w:r>
        <w:instrText xml:space="preserve"> PAGEREF _Toc121999956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for endorsement (Act s. 24)</w:t>
      </w:r>
      <w:r>
        <w:tab/>
      </w:r>
      <w:r>
        <w:fldChar w:fldCharType="begin"/>
      </w:r>
      <w:r>
        <w:instrText xml:space="preserve"> PAGEREF _Toc121999957 \h </w:instrText>
      </w:r>
      <w:r>
        <w:fldChar w:fldCharType="separate"/>
      </w:r>
      <w:r>
        <w:t>8</w:t>
      </w:r>
      <w:r>
        <w:fldChar w:fldCharType="end"/>
      </w:r>
    </w:p>
    <w:p>
      <w:pPr>
        <w:pStyle w:val="TOC8"/>
        <w:rPr>
          <w:rFonts w:asciiTheme="minorHAnsi" w:eastAsiaTheme="minorEastAsia" w:hAnsiTheme="minorHAnsi" w:cstheme="minorBidi"/>
          <w:szCs w:val="22"/>
        </w:rPr>
      </w:pPr>
      <w:r>
        <w:t>11.</w:t>
      </w:r>
      <w:r>
        <w:tab/>
        <w:t>Medical examinations prescribed (Act s. 24)</w:t>
      </w:r>
      <w:r>
        <w:tab/>
      </w:r>
      <w:r>
        <w:fldChar w:fldCharType="begin"/>
      </w:r>
      <w:r>
        <w:instrText xml:space="preserve"> PAGEREF _Toc121999958 \h </w:instrText>
      </w:r>
      <w:r>
        <w:fldChar w:fldCharType="separate"/>
      </w:r>
      <w:r>
        <w:t>9</w:t>
      </w:r>
      <w:r>
        <w:fldChar w:fldCharType="end"/>
      </w:r>
    </w:p>
    <w:p>
      <w:pPr>
        <w:pStyle w:val="TOC8"/>
        <w:rPr>
          <w:rFonts w:asciiTheme="minorHAnsi" w:eastAsiaTheme="minorEastAsia" w:hAnsiTheme="minorHAnsi" w:cstheme="minorBidi"/>
          <w:szCs w:val="22"/>
        </w:rPr>
      </w:pPr>
      <w:r>
        <w:t>12.</w:t>
      </w:r>
      <w:r>
        <w:tab/>
        <w:t>Application for permit (Act s. 25)</w:t>
      </w:r>
      <w:r>
        <w:tab/>
      </w:r>
      <w:r>
        <w:fldChar w:fldCharType="begin"/>
      </w:r>
      <w:r>
        <w:instrText xml:space="preserve"> PAGEREF _Toc121999959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endorsement (Act s. 26)</w:t>
      </w:r>
      <w:r>
        <w:tab/>
      </w:r>
      <w:r>
        <w:fldChar w:fldCharType="begin"/>
      </w:r>
      <w:r>
        <w:instrText xml:space="preserve"> PAGEREF _Toc121999960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3A — Inquiry activities</w:t>
      </w:r>
    </w:p>
    <w:p>
      <w:pPr>
        <w:pStyle w:val="TOC8"/>
        <w:rPr>
          <w:rFonts w:asciiTheme="minorHAnsi" w:eastAsiaTheme="minorEastAsia" w:hAnsiTheme="minorHAnsi" w:cstheme="minorBidi"/>
          <w:szCs w:val="22"/>
        </w:rPr>
      </w:pPr>
      <w:r>
        <w:t>13A.</w:t>
      </w:r>
      <w:r>
        <w:tab/>
        <w:t>Investigations not within Act s. 28(1)(a)</w:t>
      </w:r>
      <w:r>
        <w:tab/>
      </w:r>
      <w:r>
        <w:fldChar w:fldCharType="begin"/>
      </w:r>
      <w:r>
        <w:instrText xml:space="preserve"> PAGEREF _Toc121999962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procedures</w:t>
      </w:r>
    </w:p>
    <w:p>
      <w:pPr>
        <w:pStyle w:val="TOC4"/>
        <w:tabs>
          <w:tab w:val="right" w:leader="dot" w:pos="7077"/>
        </w:tabs>
        <w:rPr>
          <w:rFonts w:asciiTheme="minorHAnsi" w:eastAsiaTheme="minorEastAsia" w:hAnsiTheme="minorHAnsi" w:cstheme="minorBidi"/>
          <w:b w:val="0"/>
          <w:szCs w:val="22"/>
        </w:rPr>
      </w:pPr>
      <w:r>
        <w:t>Division 1 — Licences other than temporary licences</w:t>
      </w:r>
    </w:p>
    <w:p>
      <w:pPr>
        <w:pStyle w:val="TOC8"/>
        <w:rPr>
          <w:rFonts w:asciiTheme="minorHAnsi" w:eastAsiaTheme="minorEastAsia" w:hAnsiTheme="minorHAnsi" w:cstheme="minorBidi"/>
          <w:szCs w:val="22"/>
        </w:rPr>
      </w:pPr>
      <w:r>
        <w:t>14</w:t>
      </w:r>
      <w:r>
        <w:rPr>
          <w:snapToGrid w:val="0"/>
        </w:rPr>
        <w:t>.</w:t>
      </w:r>
      <w:r>
        <w:rPr>
          <w:snapToGrid w:val="0"/>
        </w:rPr>
        <w:tab/>
        <w:t>Application for the issue of a licence (Act s. 46(1))</w:t>
      </w:r>
      <w:r>
        <w:tab/>
      </w:r>
      <w:r>
        <w:fldChar w:fldCharType="begin"/>
      </w:r>
      <w:r>
        <w:instrText xml:space="preserve"> PAGEREF _Toc121999965 \h </w:instrText>
      </w:r>
      <w:r>
        <w:fldChar w:fldCharType="separate"/>
      </w:r>
      <w:r>
        <w:t>13</w:t>
      </w:r>
      <w:r>
        <w:fldChar w:fldCharType="end"/>
      </w:r>
    </w:p>
    <w:p>
      <w:pPr>
        <w:pStyle w:val="TOC8"/>
        <w:rPr>
          <w:rFonts w:asciiTheme="minorHAnsi" w:eastAsiaTheme="minorEastAsia" w:hAnsiTheme="minorHAnsi" w:cstheme="minorBidi"/>
          <w:szCs w:val="22"/>
        </w:rPr>
      </w:pPr>
      <w:r>
        <w:t>14A.</w:t>
      </w:r>
      <w:r>
        <w:tab/>
        <w:t>Training course in firearms discharge, approval of providers of</w:t>
      </w:r>
      <w:r>
        <w:tab/>
      </w:r>
      <w:r>
        <w:fldChar w:fldCharType="begin"/>
      </w:r>
      <w:r>
        <w:instrText xml:space="preserve"> PAGEREF _Toc121999966 \h </w:instrText>
      </w:r>
      <w:r>
        <w:fldChar w:fldCharType="separate"/>
      </w:r>
      <w:r>
        <w:t>13</w:t>
      </w:r>
      <w:r>
        <w:fldChar w:fldCharType="end"/>
      </w:r>
    </w:p>
    <w:p>
      <w:pPr>
        <w:pStyle w:val="TOC8"/>
        <w:rPr>
          <w:rFonts w:asciiTheme="minorHAnsi" w:eastAsiaTheme="minorEastAsia" w:hAnsiTheme="minorHAnsi" w:cstheme="minorBidi"/>
          <w:szCs w:val="22"/>
        </w:rPr>
      </w:pPr>
      <w:r>
        <w:t>15.</w:t>
      </w:r>
      <w:r>
        <w:tab/>
        <w:t>Medical examination prescribed for security officers authorised to possess firearm (Act s. 47(1)(d) and 52(1)(h))</w:t>
      </w:r>
      <w:r>
        <w:tab/>
      </w:r>
      <w:r>
        <w:fldChar w:fldCharType="begin"/>
      </w:r>
      <w:r>
        <w:instrText xml:space="preserve"> PAGEREF _Toc121999967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Training courses prescribed (Act s. 47(1)(f)(i), 52(1)(g)(i) and 53(2))</w:t>
      </w:r>
      <w:r>
        <w:tab/>
      </w:r>
      <w:r>
        <w:fldChar w:fldCharType="begin"/>
      </w:r>
      <w:r>
        <w:instrText xml:space="preserve"> PAGEREF _Toc121999968 \h </w:instrText>
      </w:r>
      <w:r>
        <w:fldChar w:fldCharType="separate"/>
      </w:r>
      <w:r>
        <w:t>15</w:t>
      </w:r>
      <w:r>
        <w:fldChar w:fldCharType="end"/>
      </w:r>
    </w:p>
    <w:p>
      <w:pPr>
        <w:pStyle w:val="TOC8"/>
        <w:rPr>
          <w:rFonts w:asciiTheme="minorHAnsi" w:eastAsiaTheme="minorEastAsia" w:hAnsiTheme="minorHAnsi" w:cstheme="minorBidi"/>
          <w:szCs w:val="22"/>
        </w:rPr>
      </w:pPr>
      <w:r>
        <w:t>16A.</w:t>
      </w:r>
      <w:r>
        <w:tab/>
        <w:t>Records required when baton training undertaken</w:t>
      </w:r>
      <w:r>
        <w:tab/>
      </w:r>
      <w:r>
        <w:fldChar w:fldCharType="begin"/>
      </w:r>
      <w:r>
        <w:instrText xml:space="preserve"> PAGEREF _Toc121999969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Examinations prescribed (Act s. 47(1)(f)(ii) and 52(1)(g)(ii))</w:t>
      </w:r>
      <w:r>
        <w:tab/>
      </w:r>
      <w:r>
        <w:fldChar w:fldCharType="begin"/>
      </w:r>
      <w:r>
        <w:instrText xml:space="preserve"> PAGEREF _Toc121999970 \h </w:instrText>
      </w:r>
      <w:r>
        <w:fldChar w:fldCharType="separate"/>
      </w:r>
      <w:r>
        <w:t>18</w:t>
      </w:r>
      <w:r>
        <w:fldChar w:fldCharType="end"/>
      </w:r>
    </w:p>
    <w:p>
      <w:pPr>
        <w:pStyle w:val="TOC8"/>
        <w:rPr>
          <w:rFonts w:asciiTheme="minorHAnsi" w:eastAsiaTheme="minorEastAsia" w:hAnsiTheme="minorHAnsi" w:cstheme="minorBidi"/>
          <w:szCs w:val="22"/>
        </w:rPr>
      </w:pPr>
      <w:r>
        <w:t>18.</w:t>
      </w:r>
      <w:r>
        <w:tab/>
        <w:t>Evidence of age and identity prescribed (Act s. 47(1)(a))</w:t>
      </w:r>
      <w:r>
        <w:tab/>
      </w:r>
      <w:r>
        <w:fldChar w:fldCharType="begin"/>
      </w:r>
      <w:r>
        <w:instrText xml:space="preserve"> PAGEREF _Toc121999971 \h </w:instrText>
      </w:r>
      <w:r>
        <w:fldChar w:fldCharType="separate"/>
      </w:r>
      <w:r>
        <w:t>19</w:t>
      </w:r>
      <w:r>
        <w:fldChar w:fldCharType="end"/>
      </w:r>
    </w:p>
    <w:p>
      <w:pPr>
        <w:pStyle w:val="TOC8"/>
        <w:rPr>
          <w:rFonts w:asciiTheme="minorHAnsi" w:eastAsiaTheme="minorEastAsia" w:hAnsiTheme="minorHAnsi" w:cstheme="minorBidi"/>
          <w:szCs w:val="22"/>
        </w:rPr>
      </w:pPr>
      <w:r>
        <w:t>19.</w:t>
      </w:r>
      <w:r>
        <w:tab/>
        <w:t>Manner of lodging application for renewal prescribed (Act s. 49(1))</w:t>
      </w:r>
      <w:r>
        <w:tab/>
      </w:r>
      <w:r>
        <w:fldChar w:fldCharType="begin"/>
      </w:r>
      <w:r>
        <w:instrText xml:space="preserve"> PAGEREF _Toc121999972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Material to support application for renewal of licence (Act s. 50(1))</w:t>
      </w:r>
      <w:r>
        <w:tab/>
      </w:r>
      <w:r>
        <w:fldChar w:fldCharType="begin"/>
      </w:r>
      <w:r>
        <w:instrText xml:space="preserve"> PAGEREF _Toc121999973 \h </w:instrText>
      </w:r>
      <w:r>
        <w:fldChar w:fldCharType="separate"/>
      </w:r>
      <w:r>
        <w:t>21</w:t>
      </w:r>
      <w:r>
        <w:fldChar w:fldCharType="end"/>
      </w:r>
    </w:p>
    <w:p>
      <w:pPr>
        <w:pStyle w:val="TOC8"/>
        <w:rPr>
          <w:rFonts w:asciiTheme="minorHAnsi" w:eastAsiaTheme="minorEastAsia" w:hAnsiTheme="minorHAnsi" w:cstheme="minorBidi"/>
          <w:szCs w:val="22"/>
        </w:rPr>
      </w:pPr>
      <w:r>
        <w:t>21.</w:t>
      </w:r>
      <w:r>
        <w:tab/>
        <w:t>Conditions and restrictions prescribed (Act s. 63)</w:t>
      </w:r>
      <w:r>
        <w:tab/>
      </w:r>
      <w:r>
        <w:fldChar w:fldCharType="begin"/>
      </w:r>
      <w:r>
        <w:instrText xml:space="preserve"> PAGEREF _Toc121999974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Temporary licences</w:t>
      </w:r>
    </w:p>
    <w:p>
      <w:pPr>
        <w:pStyle w:val="TOC8"/>
        <w:rPr>
          <w:rFonts w:asciiTheme="minorHAnsi" w:eastAsiaTheme="minorEastAsia" w:hAnsiTheme="minorHAnsi" w:cstheme="minorBidi"/>
          <w:szCs w:val="22"/>
        </w:rPr>
      </w:pPr>
      <w:r>
        <w:t>22.</w:t>
      </w:r>
      <w:r>
        <w:tab/>
        <w:t>Manner of lodging application for temporary licence prescribed (Act s. 46(1))</w:t>
      </w:r>
      <w:r>
        <w:tab/>
      </w:r>
      <w:r>
        <w:fldChar w:fldCharType="begin"/>
      </w:r>
      <w:r>
        <w:instrText xml:space="preserve"> PAGEREF _Toc121999976 \h </w:instrText>
      </w:r>
      <w:r>
        <w:fldChar w:fldCharType="separate"/>
      </w:r>
      <w:r>
        <w:t>22</w:t>
      </w:r>
      <w:r>
        <w:fldChar w:fldCharType="end"/>
      </w:r>
    </w:p>
    <w:p>
      <w:pPr>
        <w:pStyle w:val="TOC8"/>
        <w:rPr>
          <w:rFonts w:asciiTheme="minorHAnsi" w:eastAsiaTheme="minorEastAsia" w:hAnsiTheme="minorHAnsi" w:cstheme="minorBidi"/>
          <w:szCs w:val="22"/>
        </w:rPr>
      </w:pPr>
      <w:r>
        <w:t>23.</w:t>
      </w:r>
      <w:r>
        <w:tab/>
        <w:t>Evidence prescribed (Act s. 47(2a))</w:t>
      </w:r>
      <w:r>
        <w:tab/>
      </w:r>
      <w:r>
        <w:fldChar w:fldCharType="begin"/>
      </w:r>
      <w:r>
        <w:instrText xml:space="preserve"> PAGEREF _Toc121999977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5A — Disqualifying offences and disqualifying periods</w:t>
      </w:r>
    </w:p>
    <w:p>
      <w:pPr>
        <w:pStyle w:val="TOC8"/>
        <w:rPr>
          <w:rFonts w:asciiTheme="minorHAnsi" w:eastAsiaTheme="minorEastAsia" w:hAnsiTheme="minorHAnsi" w:cstheme="minorBidi"/>
          <w:szCs w:val="22"/>
        </w:rPr>
      </w:pPr>
      <w:r>
        <w:t>24.</w:t>
      </w:r>
      <w:r>
        <w:tab/>
        <w:t>Disqualifying offences prescribed (Act s. 3)</w:t>
      </w:r>
      <w:r>
        <w:tab/>
      </w:r>
      <w:r>
        <w:fldChar w:fldCharType="begin"/>
      </w:r>
      <w:r>
        <w:instrText xml:space="preserve"> PAGEREF _Toc121999979 \h </w:instrText>
      </w:r>
      <w:r>
        <w:fldChar w:fldCharType="separate"/>
      </w:r>
      <w:r>
        <w:t>24</w:t>
      </w:r>
      <w:r>
        <w:fldChar w:fldCharType="end"/>
      </w:r>
    </w:p>
    <w:p>
      <w:pPr>
        <w:pStyle w:val="TOC8"/>
        <w:rPr>
          <w:rFonts w:asciiTheme="minorHAnsi" w:eastAsiaTheme="minorEastAsia" w:hAnsiTheme="minorHAnsi" w:cstheme="minorBidi"/>
          <w:szCs w:val="22"/>
        </w:rPr>
      </w:pPr>
      <w:r>
        <w:t>25.</w:t>
      </w:r>
      <w:r>
        <w:tab/>
        <w:t>Disqualifying periods prescribed (Act s. 4A)</w:t>
      </w:r>
      <w:r>
        <w:tab/>
      </w:r>
      <w:r>
        <w:fldChar w:fldCharType="begin"/>
      </w:r>
      <w:r>
        <w:instrText xml:space="preserve"> PAGEREF _Toc121999980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Classes of licence</w:t>
      </w:r>
    </w:p>
    <w:p>
      <w:pPr>
        <w:pStyle w:val="TOC8"/>
        <w:rPr>
          <w:rFonts w:asciiTheme="minorHAnsi" w:eastAsiaTheme="minorEastAsia" w:hAnsiTheme="minorHAnsi" w:cstheme="minorBidi"/>
          <w:szCs w:val="22"/>
        </w:rPr>
      </w:pPr>
      <w:r>
        <w:t>26.</w:t>
      </w:r>
      <w:r>
        <w:tab/>
        <w:t>Security consultant’s licence, classes of</w:t>
      </w:r>
      <w:r>
        <w:tab/>
      </w:r>
      <w:r>
        <w:fldChar w:fldCharType="begin"/>
      </w:r>
      <w:r>
        <w:instrText xml:space="preserve"> PAGEREF _Toc121999982 \h </w:instrText>
      </w:r>
      <w:r>
        <w:fldChar w:fldCharType="separate"/>
      </w:r>
      <w:r>
        <w:t>26</w:t>
      </w:r>
      <w:r>
        <w:fldChar w:fldCharType="end"/>
      </w:r>
    </w:p>
    <w:p>
      <w:pPr>
        <w:pStyle w:val="TOC8"/>
        <w:rPr>
          <w:rFonts w:asciiTheme="minorHAnsi" w:eastAsiaTheme="minorEastAsia" w:hAnsiTheme="minorHAnsi" w:cstheme="minorBidi"/>
          <w:szCs w:val="22"/>
        </w:rPr>
      </w:pPr>
      <w:r>
        <w:t>27.</w:t>
      </w:r>
      <w:r>
        <w:tab/>
        <w:t>Security installer’s licence, classes of</w:t>
      </w:r>
      <w:r>
        <w:tab/>
      </w:r>
      <w:r>
        <w:fldChar w:fldCharType="begin"/>
      </w:r>
      <w:r>
        <w:instrText xml:space="preserve"> PAGEREF _Toc121999983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Records</w:t>
      </w:r>
    </w:p>
    <w:p>
      <w:pPr>
        <w:pStyle w:val="TOC8"/>
        <w:rPr>
          <w:rFonts w:asciiTheme="minorHAnsi" w:eastAsiaTheme="minorEastAsia" w:hAnsiTheme="minorHAnsi" w:cstheme="minorBidi"/>
          <w:szCs w:val="22"/>
        </w:rPr>
      </w:pPr>
      <w:r>
        <w:t>35</w:t>
      </w:r>
      <w:r>
        <w:rPr>
          <w:snapToGrid w:val="0"/>
        </w:rPr>
        <w:t>.</w:t>
      </w:r>
      <w:r>
        <w:rPr>
          <w:snapToGrid w:val="0"/>
        </w:rPr>
        <w:tab/>
        <w:t>Records to be kept by security agent prescribed (Act s. 78(1)(a))</w:t>
      </w:r>
      <w:r>
        <w:tab/>
      </w:r>
      <w:r>
        <w:fldChar w:fldCharType="begin"/>
      </w:r>
      <w:r>
        <w:instrText xml:space="preserve"> PAGEREF _Toc121999985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Firearms register, content of</w:t>
      </w:r>
      <w:r>
        <w:tab/>
      </w:r>
      <w:r>
        <w:fldChar w:fldCharType="begin"/>
      </w:r>
      <w:r>
        <w:instrText xml:space="preserve"> PAGEREF _Toc121999986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Alarm surveillance register, content of</w:t>
      </w:r>
      <w:r>
        <w:tab/>
      </w:r>
      <w:r>
        <w:fldChar w:fldCharType="begin"/>
      </w:r>
      <w:r>
        <w:instrText xml:space="preserve"> PAGEREF _Toc121999987 \h </w:instrText>
      </w:r>
      <w:r>
        <w:fldChar w:fldCharType="separate"/>
      </w:r>
      <w:r>
        <w:t>29</w:t>
      </w:r>
      <w:r>
        <w:fldChar w:fldCharType="end"/>
      </w:r>
    </w:p>
    <w:p>
      <w:pPr>
        <w:pStyle w:val="TOC8"/>
        <w:rPr>
          <w:rFonts w:asciiTheme="minorHAnsi" w:eastAsiaTheme="minorEastAsia" w:hAnsiTheme="minorHAnsi" w:cstheme="minorBidi"/>
          <w:szCs w:val="22"/>
        </w:rPr>
      </w:pPr>
      <w:r>
        <w:t>38A.</w:t>
      </w:r>
      <w:r>
        <w:tab/>
        <w:t xml:space="preserve">Guard dog register, </w:t>
      </w:r>
      <w:r>
        <w:rPr>
          <w:snapToGrid w:val="0"/>
        </w:rPr>
        <w:t>content of</w:t>
      </w:r>
      <w:r>
        <w:tab/>
      </w:r>
      <w:r>
        <w:fldChar w:fldCharType="begin"/>
      </w:r>
      <w:r>
        <w:instrText xml:space="preserve"> PAGEREF _Toc121999988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records of security agent</w:t>
      </w:r>
      <w:r>
        <w:tab/>
      </w:r>
      <w:r>
        <w:fldChar w:fldCharType="begin"/>
      </w:r>
      <w:r>
        <w:instrText xml:space="preserve"> PAGEREF _Toc121999989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 by crowd control agent prescribed (Act s. 78(1)(a))</w:t>
      </w:r>
      <w:r>
        <w:tab/>
      </w:r>
      <w:r>
        <w:fldChar w:fldCharType="begin"/>
      </w:r>
      <w:r>
        <w:instrText xml:space="preserve"> PAGEREF _Toc121999990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Incident register, content of</w:t>
      </w:r>
      <w:r>
        <w:tab/>
      </w:r>
      <w:r>
        <w:fldChar w:fldCharType="begin"/>
      </w:r>
      <w:r>
        <w:instrText xml:space="preserve"> PAGEREF _Toc121999991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records of crowd control agent</w:t>
      </w:r>
      <w:r>
        <w:tab/>
      </w:r>
      <w:r>
        <w:fldChar w:fldCharType="begin"/>
      </w:r>
      <w:r>
        <w:instrText xml:space="preserve"> PAGEREF _Toc121999992 \h </w:instrText>
      </w:r>
      <w:r>
        <w:fldChar w:fldCharType="separate"/>
      </w:r>
      <w:r>
        <w:t>35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Records to be kept by inquiry agent prescribed (Act s. 78(1)(a))</w:t>
      </w:r>
      <w:r>
        <w:tab/>
      </w:r>
      <w:r>
        <w:fldChar w:fldCharType="begin"/>
      </w:r>
      <w:r>
        <w:instrText xml:space="preserve"> PAGEREF _Toc121999993 \h </w:instrText>
      </w:r>
      <w:r>
        <w:fldChar w:fldCharType="separate"/>
      </w:r>
      <w:r>
        <w:t>36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Records to be kept by person for whom licensed crowd controller provides services prescribed (Act s. 84(a))</w:t>
      </w:r>
      <w:r>
        <w:tab/>
      </w:r>
      <w:r>
        <w:fldChar w:fldCharType="begin"/>
      </w:r>
      <w:r>
        <w:instrText xml:space="preserve"> PAGEREF _Toc121999994 \h </w:instrText>
      </w:r>
      <w:r>
        <w:fldChar w:fldCharType="separate"/>
      </w:r>
      <w:r>
        <w:t>36</w:t>
      </w:r>
      <w:r>
        <w:fldChar w:fldCharType="end"/>
      </w:r>
    </w:p>
    <w:p>
      <w:pPr>
        <w:pStyle w:val="TOC8"/>
        <w:rPr>
          <w:rFonts w:asciiTheme="minorHAnsi" w:eastAsiaTheme="minorEastAsia" w:hAnsiTheme="minorHAnsi" w:cstheme="minorBidi"/>
          <w:szCs w:val="22"/>
        </w:rPr>
      </w:pPr>
      <w:r>
        <w:t>44A.</w:t>
      </w:r>
      <w:r>
        <w:tab/>
        <w:t>Notification of address where records held (Act s. 78(2))</w:t>
      </w:r>
      <w:r>
        <w:tab/>
      </w:r>
      <w:r>
        <w:fldChar w:fldCharType="begin"/>
      </w:r>
      <w:r>
        <w:instrText xml:space="preserve"> PAGEREF _Toc121999995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Drug testing</w:t>
      </w:r>
    </w:p>
    <w:p>
      <w:pPr>
        <w:pStyle w:val="TOC8"/>
        <w:rPr>
          <w:rFonts w:asciiTheme="minorHAnsi" w:eastAsiaTheme="minorEastAsia" w:hAnsiTheme="minorHAnsi" w:cstheme="minorBidi"/>
          <w:szCs w:val="22"/>
        </w:rPr>
      </w:pPr>
      <w:r>
        <w:t>44</w:t>
      </w:r>
      <w:r>
        <w:rPr>
          <w:snapToGrid w:val="0"/>
        </w:rPr>
        <w:t>.</w:t>
      </w:r>
      <w:r>
        <w:rPr>
          <w:snapToGrid w:val="0"/>
        </w:rPr>
        <w:tab/>
        <w:t>Terms used</w:t>
      </w:r>
      <w:r>
        <w:tab/>
      </w:r>
      <w:r>
        <w:fldChar w:fldCharType="begin"/>
      </w:r>
      <w:r>
        <w:instrText xml:space="preserve"> PAGEREF _Toc121999997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Drugs prescribed (Act s. 80)</w:t>
      </w:r>
      <w:r>
        <w:tab/>
      </w:r>
      <w:r>
        <w:fldChar w:fldCharType="begin"/>
      </w:r>
      <w:r>
        <w:instrText xml:space="preserve"> PAGEREF _Toc121999998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Approval of technologists, sample collectors and analysts</w:t>
      </w:r>
      <w:r>
        <w:tab/>
      </w:r>
      <w:r>
        <w:fldChar w:fldCharType="begin"/>
      </w:r>
      <w:r>
        <w:instrText xml:space="preserve"> PAGEREF _Toc121999999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Blood and urine sampling equipment prescribed</w:t>
      </w:r>
      <w:r>
        <w:tab/>
      </w:r>
      <w:r>
        <w:fldChar w:fldCharType="begin"/>
      </w:r>
      <w:r>
        <w:instrText xml:space="preserve"> PAGEREF _Toc122000000 \h </w:instrText>
      </w:r>
      <w:r>
        <w:fldChar w:fldCharType="separate"/>
      </w:r>
      <w:r>
        <w:t>39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Preparation and use of sampling equipment</w:t>
      </w:r>
      <w:r>
        <w:tab/>
      </w:r>
      <w:r>
        <w:fldChar w:fldCharType="begin"/>
      </w:r>
      <w:r>
        <w:instrText xml:space="preserve"> PAGEREF _Toc122000001 \h </w:instrText>
      </w:r>
      <w:r>
        <w:fldChar w:fldCharType="separate"/>
      </w:r>
      <w:r>
        <w:t>39</w:t>
      </w:r>
      <w:r>
        <w:fldChar w:fldCharType="end"/>
      </w:r>
    </w:p>
    <w:p>
      <w:pPr>
        <w:pStyle w:val="TOC8"/>
        <w:rPr>
          <w:rFonts w:asciiTheme="minorHAnsi" w:eastAsiaTheme="minorEastAsia" w:hAnsiTheme="minorHAnsi" w:cstheme="minorBidi"/>
          <w:szCs w:val="22"/>
        </w:rPr>
      </w:pPr>
      <w:r>
        <w:t>48A.</w:t>
      </w:r>
      <w:r>
        <w:tab/>
        <w:t>Licensee to produce identity card when giving blood or urine sample under direction given under Act s. 80</w:t>
      </w:r>
      <w:r>
        <w:tab/>
      </w:r>
      <w:r>
        <w:fldChar w:fldCharType="begin"/>
      </w:r>
      <w:r>
        <w:instrText xml:space="preserve"> PAGEREF _Toc122000002 \h </w:instrText>
      </w:r>
      <w:r>
        <w:fldChar w:fldCharType="separate"/>
      </w:r>
      <w:r>
        <w:t>40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Blood samples, method for collecting</w:t>
      </w:r>
      <w:r>
        <w:tab/>
      </w:r>
      <w:r>
        <w:fldChar w:fldCharType="begin"/>
      </w:r>
      <w:r>
        <w:instrText xml:space="preserve"> PAGEREF _Toc122000003 \h </w:instrText>
      </w:r>
      <w:r>
        <w:fldChar w:fldCharType="separate"/>
      </w:r>
      <w:r>
        <w:t>41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Urine samples, method for collecting</w:t>
      </w:r>
      <w:r>
        <w:tab/>
      </w:r>
      <w:r>
        <w:fldChar w:fldCharType="begin"/>
      </w:r>
      <w:r>
        <w:instrText xml:space="preserve"> PAGEREF _Toc122000004 \h </w:instrText>
      </w:r>
      <w:r>
        <w:fldChar w:fldCharType="separate"/>
      </w:r>
      <w:r>
        <w:t>41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Analysis of samples</w:t>
      </w:r>
      <w:r>
        <w:tab/>
      </w:r>
      <w:r>
        <w:fldChar w:fldCharType="begin"/>
      </w:r>
      <w:r>
        <w:instrText xml:space="preserve"> PAGEREF _Toc122000005 \h </w:instrText>
      </w:r>
      <w:r>
        <w:fldChar w:fldCharType="separate"/>
      </w:r>
      <w:r>
        <w:t>43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Non</w:t>
      </w:r>
      <w:r>
        <w:rPr>
          <w:snapToGrid w:val="0"/>
        </w:rPr>
        <w:noBreakHyphen/>
        <w:t>complying sample defined (Act s. 81(1)(b))</w:t>
      </w:r>
      <w:r>
        <w:tab/>
      </w:r>
      <w:r>
        <w:fldChar w:fldCharType="begin"/>
      </w:r>
      <w:r>
        <w:instrText xml:space="preserve"> PAGEREF _Toc122000006 \h </w:instrText>
      </w:r>
      <w:r>
        <w:fldChar w:fldCharType="separate"/>
      </w:r>
      <w:r>
        <w:t>43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Certificates which are evidence</w:t>
      </w:r>
      <w:r>
        <w:tab/>
      </w:r>
      <w:r>
        <w:fldChar w:fldCharType="begin"/>
      </w:r>
      <w:r>
        <w:instrText xml:space="preserve"> PAGEREF _Toc122000007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54</w:t>
      </w:r>
      <w:r>
        <w:rPr>
          <w:snapToGrid w:val="0"/>
        </w:rPr>
        <w:t>.</w:t>
      </w:r>
      <w:r>
        <w:rPr>
          <w:snapToGrid w:val="0"/>
        </w:rPr>
        <w:tab/>
        <w:t>Fees prescribed</w:t>
      </w:r>
      <w:r>
        <w:tab/>
      </w:r>
      <w:r>
        <w:fldChar w:fldCharType="begin"/>
      </w:r>
      <w:r>
        <w:instrText xml:space="preserve"> PAGEREF _Toc122000009 \h </w:instrText>
      </w:r>
      <w:r>
        <w:fldChar w:fldCharType="separate"/>
      </w:r>
      <w:r>
        <w:t>46</w:t>
      </w:r>
      <w:r>
        <w:fldChar w:fldCharType="end"/>
      </w:r>
    </w:p>
    <w:p>
      <w:pPr>
        <w:pStyle w:val="TOC8"/>
        <w:rPr>
          <w:rFonts w:asciiTheme="minorHAnsi" w:eastAsiaTheme="minorEastAsia" w:hAnsiTheme="minorHAnsi" w:cstheme="minorBidi"/>
          <w:szCs w:val="22"/>
        </w:rPr>
      </w:pPr>
      <w:r>
        <w:t>54A.</w:t>
      </w:r>
      <w:r>
        <w:tab/>
        <w:t>Codes of conduct, preparation, approval and effect of</w:t>
      </w:r>
      <w:r>
        <w:tab/>
      </w:r>
      <w:r>
        <w:fldChar w:fldCharType="begin"/>
      </w:r>
      <w:r>
        <w:instrText xml:space="preserve"> PAGEREF _Toc122000010 \h </w:instrText>
      </w:r>
      <w:r>
        <w:fldChar w:fldCharType="separate"/>
      </w:r>
      <w:r>
        <w:t>46</w:t>
      </w:r>
      <w:r>
        <w:fldChar w:fldCharType="end"/>
      </w:r>
    </w:p>
    <w:p>
      <w:pPr>
        <w:pStyle w:val="TOC8"/>
        <w:rPr>
          <w:rFonts w:asciiTheme="minorHAnsi" w:eastAsiaTheme="minorEastAsia" w:hAnsiTheme="minorHAnsi" w:cstheme="minorBidi"/>
          <w:szCs w:val="22"/>
        </w:rPr>
      </w:pPr>
      <w:r>
        <w:t>55.</w:t>
      </w:r>
      <w:r>
        <w:tab/>
        <w:t>Surrender of licence (Act s. 76(c))</w:t>
      </w:r>
      <w:r>
        <w:tab/>
      </w:r>
      <w:r>
        <w:fldChar w:fldCharType="begin"/>
      </w:r>
      <w:r>
        <w:instrText xml:space="preserve"> PAGEREF _Toc122000011 \h </w:instrText>
      </w:r>
      <w:r>
        <w:fldChar w:fldCharType="separate"/>
      </w:r>
      <w:r>
        <w:t>47</w:t>
      </w:r>
      <w:r>
        <w:fldChar w:fldCharType="end"/>
      </w:r>
    </w:p>
    <w:p>
      <w:pPr>
        <w:pStyle w:val="TOC8"/>
        <w:rPr>
          <w:rFonts w:asciiTheme="minorHAnsi" w:eastAsiaTheme="minorEastAsia" w:hAnsiTheme="minorHAnsi" w:cstheme="minorBidi"/>
          <w:szCs w:val="22"/>
        </w:rPr>
      </w:pPr>
      <w:r>
        <w:lastRenderedPageBreak/>
        <w:t>56.</w:t>
      </w:r>
      <w:r>
        <w:tab/>
        <w:t>Return of licence (Act s. 76)</w:t>
      </w:r>
      <w:r>
        <w:tab/>
      </w:r>
      <w:r>
        <w:fldChar w:fldCharType="begin"/>
      </w:r>
      <w:r>
        <w:instrText xml:space="preserve"> PAGEREF _Toc122000012 \h </w:instrText>
      </w:r>
      <w:r>
        <w:fldChar w:fldCharType="separate"/>
      </w:r>
      <w:r>
        <w:t>47</w:t>
      </w:r>
      <w:r>
        <w:fldChar w:fldCharType="end"/>
      </w:r>
    </w:p>
    <w:p>
      <w:pPr>
        <w:pStyle w:val="TOC8"/>
        <w:rPr>
          <w:rFonts w:asciiTheme="minorHAnsi" w:eastAsiaTheme="minorEastAsia" w:hAnsiTheme="minorHAnsi" w:cstheme="minorBidi"/>
          <w:szCs w:val="22"/>
        </w:rPr>
      </w:pPr>
      <w:r>
        <w:t>57.</w:t>
      </w:r>
      <w:r>
        <w:tab/>
        <w:t>Notification of change of address (Act s. 77)</w:t>
      </w:r>
      <w:r>
        <w:tab/>
      </w:r>
      <w:r>
        <w:fldChar w:fldCharType="begin"/>
      </w:r>
      <w:r>
        <w:instrText xml:space="preserve"> PAGEREF _Toc122000013 \h </w:instrText>
      </w:r>
      <w:r>
        <w:fldChar w:fldCharType="separate"/>
      </w:r>
      <w:r>
        <w:t>47</w:t>
      </w:r>
      <w:r>
        <w:fldChar w:fldCharType="end"/>
      </w:r>
    </w:p>
    <w:p>
      <w:pPr>
        <w:pStyle w:val="TOC8"/>
        <w:rPr>
          <w:rFonts w:asciiTheme="minorHAnsi" w:eastAsiaTheme="minorEastAsia" w:hAnsiTheme="minorHAnsi" w:cstheme="minorBidi"/>
          <w:szCs w:val="22"/>
        </w:rPr>
      </w:pPr>
      <w:r>
        <w:t>58.</w:t>
      </w:r>
      <w:r>
        <w:tab/>
        <w:t>Prescribed offences and modified penalties</w:t>
      </w:r>
      <w:r>
        <w:tab/>
      </w:r>
      <w:r>
        <w:fldChar w:fldCharType="begin"/>
      </w:r>
      <w:r>
        <w:instrText xml:space="preserve"> PAGEREF _Toc122000014 \h </w:instrText>
      </w:r>
      <w:r>
        <w:fldChar w:fldCharType="separate"/>
      </w:r>
      <w:r>
        <w:t>47</w:t>
      </w:r>
      <w:r>
        <w:fldChar w:fldCharType="end"/>
      </w:r>
    </w:p>
    <w:p>
      <w:pPr>
        <w:pStyle w:val="TOC8"/>
        <w:rPr>
          <w:rFonts w:asciiTheme="minorHAnsi" w:eastAsiaTheme="minorEastAsia" w:hAnsiTheme="minorHAnsi" w:cstheme="minorBidi"/>
          <w:szCs w:val="22"/>
        </w:rPr>
      </w:pPr>
      <w:r>
        <w:t>59.</w:t>
      </w:r>
      <w:r>
        <w:tab/>
        <w:t>Forms</w:t>
      </w:r>
      <w:r>
        <w:tab/>
      </w:r>
      <w:r>
        <w:fldChar w:fldCharType="begin"/>
      </w:r>
      <w:r>
        <w:instrText xml:space="preserve"> PAGEREF _Toc122000015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 — Conditions and restrictions attached to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Security agent’s licence</w:t>
      </w:r>
    </w:p>
    <w:p>
      <w:pPr>
        <w:pStyle w:val="TOC8"/>
        <w:rPr>
          <w:rFonts w:asciiTheme="minorHAnsi" w:eastAsiaTheme="minorEastAsia" w:hAnsiTheme="minorHAnsi" w:cstheme="minorBidi"/>
          <w:szCs w:val="22"/>
        </w:rPr>
      </w:pPr>
      <w:r>
        <w:t>1A.</w:t>
      </w:r>
      <w:r>
        <w:tab/>
        <w:t>Term used: business activity</w:t>
      </w:r>
      <w:r>
        <w:tab/>
      </w:r>
      <w:r>
        <w:fldChar w:fldCharType="begin"/>
      </w:r>
      <w:r>
        <w:instrText xml:space="preserve"> PAGEREF _Toc122000018 \h </w:instrText>
      </w:r>
      <w:r>
        <w:fldChar w:fldCharType="separate"/>
      </w:r>
      <w:r>
        <w:t>49</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Changes of partners, officers or personnel to be notified</w:t>
      </w:r>
      <w:r>
        <w:tab/>
      </w:r>
      <w:r>
        <w:fldChar w:fldCharType="begin"/>
      </w:r>
      <w:r>
        <w:instrText xml:space="preserve"> PAGEREF _Toc122000019 \h </w:instrText>
      </w:r>
      <w:r>
        <w:fldChar w:fldCharType="separate"/>
      </w:r>
      <w:r>
        <w:t>49</w:t>
      </w:r>
      <w:r>
        <w:fldChar w:fldCharType="end"/>
      </w:r>
    </w:p>
    <w:p>
      <w:pPr>
        <w:pStyle w:val="TOC8"/>
        <w:rPr>
          <w:rFonts w:asciiTheme="minorHAnsi" w:eastAsiaTheme="minorEastAsia" w:hAnsiTheme="minorHAnsi" w:cstheme="minorBidi"/>
          <w:szCs w:val="22"/>
        </w:rPr>
      </w:pPr>
      <w:r>
        <w:t>2.</w:t>
      </w:r>
      <w:r>
        <w:tab/>
        <w:t>Uniforms to be worn by security officers</w:t>
      </w:r>
      <w:r>
        <w:tab/>
      </w:r>
      <w:r>
        <w:fldChar w:fldCharType="begin"/>
      </w:r>
      <w:r>
        <w:instrText xml:space="preserve"> PAGEREF _Toc122000020 \h </w:instrText>
      </w:r>
      <w:r>
        <w:fldChar w:fldCharType="separate"/>
      </w:r>
      <w:r>
        <w:t>49</w:t>
      </w:r>
      <w:r>
        <w:fldChar w:fldCharType="end"/>
      </w:r>
    </w:p>
    <w:p>
      <w:pPr>
        <w:pStyle w:val="TOC8"/>
        <w:rPr>
          <w:rFonts w:asciiTheme="minorHAnsi" w:eastAsiaTheme="minorEastAsia" w:hAnsiTheme="minorHAnsi" w:cstheme="minorBidi"/>
          <w:szCs w:val="22"/>
        </w:rPr>
      </w:pPr>
      <w:r>
        <w:t>3.</w:t>
      </w:r>
      <w:r>
        <w:tab/>
        <w:t>Markings on vehicles used by security officers</w:t>
      </w:r>
      <w:r>
        <w:tab/>
      </w:r>
      <w:r>
        <w:fldChar w:fldCharType="begin"/>
      </w:r>
      <w:r>
        <w:instrText xml:space="preserve"> PAGEREF _Toc122000021 \h </w:instrText>
      </w:r>
      <w:r>
        <w:fldChar w:fldCharType="separate"/>
      </w:r>
      <w:r>
        <w:t>50</w:t>
      </w:r>
      <w:r>
        <w:fldChar w:fldCharType="end"/>
      </w:r>
    </w:p>
    <w:p>
      <w:pPr>
        <w:pStyle w:val="TOC8"/>
        <w:rPr>
          <w:rFonts w:asciiTheme="minorHAnsi" w:eastAsiaTheme="minorEastAsia" w:hAnsiTheme="minorHAnsi" w:cstheme="minorBidi"/>
          <w:szCs w:val="22"/>
        </w:rPr>
      </w:pPr>
      <w:r>
        <w:t>4A.</w:t>
      </w:r>
      <w:r>
        <w:tab/>
        <w:t>Guard dogs not to be used without training</w:t>
      </w:r>
      <w:r>
        <w:tab/>
      </w:r>
      <w:r>
        <w:fldChar w:fldCharType="begin"/>
      </w:r>
      <w:r>
        <w:instrText xml:space="preserve"> PAGEREF _Toc122000022 \h </w:instrText>
      </w:r>
      <w:r>
        <w:fldChar w:fldCharType="separate"/>
      </w:r>
      <w:r>
        <w:t>50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Arming security officers</w:t>
      </w:r>
      <w:r>
        <w:tab/>
      </w:r>
      <w:r>
        <w:fldChar w:fldCharType="begin"/>
      </w:r>
      <w:r>
        <w:instrText xml:space="preserve"> PAGEREF _Toc122000023 \h </w:instrText>
      </w:r>
      <w:r>
        <w:fldChar w:fldCharType="separate"/>
      </w:r>
      <w:r>
        <w:t>50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Firearm security</w:t>
      </w:r>
      <w:r>
        <w:tab/>
      </w:r>
      <w:r>
        <w:fldChar w:fldCharType="begin"/>
      </w:r>
      <w:r>
        <w:instrText xml:space="preserve"> PAGEREF _Toc122000024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Security officer’s licence</w:t>
      </w:r>
    </w:p>
    <w:p>
      <w:pPr>
        <w:pStyle w:val="TOC8"/>
        <w:rPr>
          <w:rFonts w:asciiTheme="minorHAnsi" w:eastAsiaTheme="minorEastAsia" w:hAnsiTheme="minorHAnsi" w:cstheme="minorBidi"/>
          <w:szCs w:val="22"/>
        </w:rPr>
      </w:pPr>
      <w:r>
        <w:t>7</w:t>
      </w:r>
      <w:r>
        <w:rPr>
          <w:snapToGrid w:val="0"/>
        </w:rPr>
        <w:t>.</w:t>
      </w:r>
      <w:r>
        <w:rPr>
          <w:snapToGrid w:val="0"/>
        </w:rPr>
        <w:tab/>
      </w:r>
      <w:r>
        <w:t>Uniforms</w:t>
      </w:r>
      <w:r>
        <w:rPr>
          <w:snapToGrid w:val="0"/>
        </w:rPr>
        <w:t xml:space="preserve"> to be worn by security officers</w:t>
      </w:r>
      <w:r>
        <w:tab/>
      </w:r>
      <w:r>
        <w:fldChar w:fldCharType="begin"/>
      </w:r>
      <w:r>
        <w:instrText xml:space="preserve"> PAGEREF _Toc122000026 \h </w:instrText>
      </w:r>
      <w:r>
        <w:fldChar w:fldCharType="separate"/>
      </w:r>
      <w:r>
        <w:t>52</w:t>
      </w:r>
      <w:r>
        <w:fldChar w:fldCharType="end"/>
      </w:r>
    </w:p>
    <w:p>
      <w:pPr>
        <w:pStyle w:val="TOC8"/>
        <w:rPr>
          <w:rFonts w:asciiTheme="minorHAnsi" w:eastAsiaTheme="minorEastAsia" w:hAnsiTheme="minorHAnsi" w:cstheme="minorBidi"/>
          <w:szCs w:val="22"/>
        </w:rPr>
      </w:pPr>
      <w:r>
        <w:t>8.</w:t>
      </w:r>
      <w:r>
        <w:tab/>
        <w:t>M</w:t>
      </w:r>
      <w:r>
        <w:rPr>
          <w:snapToGrid w:val="0"/>
        </w:rPr>
        <w:t>arkings on vehicles used by security officers</w:t>
      </w:r>
      <w:r>
        <w:tab/>
      </w:r>
      <w:r>
        <w:fldChar w:fldCharType="begin"/>
      </w:r>
      <w:r>
        <w:instrText xml:space="preserve"> PAGEREF _Toc122000027 \h </w:instrText>
      </w:r>
      <w:r>
        <w:fldChar w:fldCharType="separate"/>
      </w:r>
      <w:r>
        <w:t>52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t>Carrying</w:t>
      </w:r>
      <w:r>
        <w:rPr>
          <w:snapToGrid w:val="0"/>
        </w:rPr>
        <w:t xml:space="preserve"> of weapons</w:t>
      </w:r>
      <w:r>
        <w:tab/>
      </w:r>
      <w:r>
        <w:fldChar w:fldCharType="begin"/>
      </w:r>
      <w:r>
        <w:instrText xml:space="preserve"> PAGEREF _Toc122000028 \h </w:instrText>
      </w:r>
      <w:r>
        <w:fldChar w:fldCharType="separate"/>
      </w:r>
      <w:r>
        <w:t>53</w:t>
      </w:r>
      <w:r>
        <w:fldChar w:fldCharType="end"/>
      </w:r>
    </w:p>
    <w:p>
      <w:pPr>
        <w:pStyle w:val="TOC8"/>
        <w:rPr>
          <w:rFonts w:asciiTheme="minorHAnsi" w:eastAsiaTheme="minorEastAsia" w:hAnsiTheme="minorHAnsi" w:cstheme="minorBidi"/>
          <w:szCs w:val="22"/>
        </w:rPr>
      </w:pPr>
      <w:r>
        <w:t>10.</w:t>
      </w:r>
      <w:r>
        <w:tab/>
        <w:t>Firearm</w:t>
      </w:r>
      <w:r>
        <w:rPr>
          <w:snapToGrid w:val="0"/>
        </w:rPr>
        <w:t xml:space="preserve"> security</w:t>
      </w:r>
      <w:r>
        <w:tab/>
      </w:r>
      <w:r>
        <w:fldChar w:fldCharType="begin"/>
      </w:r>
      <w:r>
        <w:instrText xml:space="preserve"> PAGEREF _Toc122000029 \h </w:instrText>
      </w:r>
      <w:r>
        <w:fldChar w:fldCharType="separate"/>
      </w:r>
      <w:r>
        <w:t>53</w:t>
      </w:r>
      <w:r>
        <w:fldChar w:fldCharType="end"/>
      </w:r>
    </w:p>
    <w:p>
      <w:pPr>
        <w:pStyle w:val="TOC8"/>
        <w:rPr>
          <w:rFonts w:asciiTheme="minorHAnsi" w:eastAsiaTheme="minorEastAsia" w:hAnsiTheme="minorHAnsi" w:cstheme="minorBidi"/>
          <w:szCs w:val="22"/>
        </w:rPr>
      </w:pPr>
      <w:r>
        <w:t>11A.</w:t>
      </w:r>
      <w:r>
        <w:tab/>
        <w:t>Guard dogs not to be used without training</w:t>
      </w:r>
      <w:r>
        <w:tab/>
      </w:r>
      <w:r>
        <w:fldChar w:fldCharType="begin"/>
      </w:r>
      <w:r>
        <w:instrText xml:space="preserve"> PAGEREF _Toc122000030 \h </w:instrText>
      </w:r>
      <w:r>
        <w:fldChar w:fldCharType="separate"/>
      </w:r>
      <w:r>
        <w:t>53</w:t>
      </w:r>
      <w:r>
        <w:fldChar w:fldCharType="end"/>
      </w:r>
    </w:p>
    <w:p>
      <w:pPr>
        <w:pStyle w:val="TOC8"/>
        <w:rPr>
          <w:rFonts w:asciiTheme="minorHAnsi" w:eastAsiaTheme="minorEastAsia" w:hAnsiTheme="minorHAnsi" w:cstheme="minorBidi"/>
          <w:szCs w:val="22"/>
        </w:rPr>
      </w:pPr>
      <w:r>
        <w:t>11B.</w:t>
      </w:r>
      <w:r>
        <w:tab/>
        <w:t>First aid certificate</w:t>
      </w:r>
      <w:r>
        <w:tab/>
      </w:r>
      <w:r>
        <w:fldChar w:fldCharType="begin"/>
      </w:r>
      <w:r>
        <w:instrText xml:space="preserve"> PAGEREF _Toc122000031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2A</w:t>
      </w:r>
      <w:r>
        <w:rPr>
          <w:b w:val="0"/>
        </w:rPr>
        <w:t> — </w:t>
      </w:r>
      <w:r>
        <w:t>Security officer’s licence endorsement</w:t>
      </w:r>
    </w:p>
    <w:p>
      <w:pPr>
        <w:pStyle w:val="TOC8"/>
        <w:rPr>
          <w:rFonts w:asciiTheme="minorHAnsi" w:eastAsiaTheme="minorEastAsia" w:hAnsiTheme="minorHAnsi" w:cstheme="minorBidi"/>
          <w:szCs w:val="22"/>
        </w:rPr>
      </w:pPr>
      <w:r>
        <w:t>11.</w:t>
      </w:r>
      <w:r>
        <w:tab/>
        <w:t>Periodic weapons training</w:t>
      </w:r>
      <w:r>
        <w:tab/>
      </w:r>
      <w:r>
        <w:fldChar w:fldCharType="begin"/>
      </w:r>
      <w:r>
        <w:instrText xml:space="preserve"> PAGEREF _Toc122000033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2B</w:t>
      </w:r>
      <w:r>
        <w:rPr>
          <w:b w:val="0"/>
        </w:rPr>
        <w:t> — </w:t>
      </w:r>
      <w:r>
        <w:t>Security bodyguard’s licence</w:t>
      </w:r>
    </w:p>
    <w:p>
      <w:pPr>
        <w:pStyle w:val="TOC8"/>
        <w:rPr>
          <w:rFonts w:asciiTheme="minorHAnsi" w:eastAsiaTheme="minorEastAsia" w:hAnsiTheme="minorHAnsi" w:cstheme="minorBidi"/>
          <w:szCs w:val="22"/>
        </w:rPr>
      </w:pPr>
      <w:r>
        <w:t>12A.</w:t>
      </w:r>
      <w:r>
        <w:tab/>
        <w:t>No weapons to be carried by security bodyguard</w:t>
      </w:r>
      <w:r>
        <w:tab/>
      </w:r>
      <w:r>
        <w:fldChar w:fldCharType="begin"/>
      </w:r>
      <w:r>
        <w:instrText xml:space="preserve"> PAGEREF _Toc122000035 \h </w:instrText>
      </w:r>
      <w:r>
        <w:fldChar w:fldCharType="separate"/>
      </w:r>
      <w:r>
        <w:t>55</w:t>
      </w:r>
      <w:r>
        <w:fldChar w:fldCharType="end"/>
      </w:r>
    </w:p>
    <w:p>
      <w:pPr>
        <w:pStyle w:val="TOC8"/>
        <w:rPr>
          <w:rFonts w:asciiTheme="minorHAnsi" w:eastAsiaTheme="minorEastAsia" w:hAnsiTheme="minorHAnsi" w:cstheme="minorBidi"/>
          <w:szCs w:val="22"/>
        </w:rPr>
      </w:pPr>
      <w:r>
        <w:t>12B.</w:t>
      </w:r>
      <w:r>
        <w:tab/>
        <w:t>First aid certificate</w:t>
      </w:r>
      <w:r>
        <w:tab/>
      </w:r>
      <w:r>
        <w:fldChar w:fldCharType="begin"/>
      </w:r>
      <w:r>
        <w:instrText xml:space="preserve"> PAGEREF _Toc122000036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Inquiry agent’s licence</w:t>
      </w:r>
    </w:p>
    <w:p>
      <w:pPr>
        <w:pStyle w:val="TOC8"/>
        <w:rPr>
          <w:rFonts w:asciiTheme="minorHAnsi" w:eastAsiaTheme="minorEastAsia" w:hAnsiTheme="minorHAnsi" w:cstheme="minorBidi"/>
          <w:szCs w:val="22"/>
        </w:rPr>
      </w:pPr>
      <w:r>
        <w:t>12.</w:t>
      </w:r>
      <w:r>
        <w:tab/>
        <w:t>C</w:t>
      </w:r>
      <w:r>
        <w:rPr>
          <w:snapToGrid w:val="0"/>
        </w:rPr>
        <w:t>hange of partners, officers or personnel to be notified</w:t>
      </w:r>
      <w:r>
        <w:tab/>
      </w:r>
      <w:r>
        <w:fldChar w:fldCharType="begin"/>
      </w:r>
      <w:r>
        <w:instrText xml:space="preserve"> PAGEREF _Toc122000038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Crowd control agent’s licence</w:t>
      </w:r>
    </w:p>
    <w:p>
      <w:pPr>
        <w:pStyle w:val="TOC8"/>
        <w:rPr>
          <w:rFonts w:asciiTheme="minorHAnsi" w:eastAsiaTheme="minorEastAsia" w:hAnsiTheme="minorHAnsi" w:cstheme="minorBidi"/>
          <w:szCs w:val="22"/>
        </w:rPr>
      </w:pPr>
      <w:r>
        <w:t>13.</w:t>
      </w:r>
      <w:r>
        <w:tab/>
        <w:t>C</w:t>
      </w:r>
      <w:r>
        <w:rPr>
          <w:snapToGrid w:val="0"/>
        </w:rPr>
        <w:t>hange of partners, officers or personnel to be notified</w:t>
      </w:r>
      <w:r>
        <w:tab/>
      </w:r>
      <w:r>
        <w:fldChar w:fldCharType="begin"/>
      </w:r>
      <w:r>
        <w:instrText xml:space="preserve"> PAGEREF _Toc122000040 \h </w:instrText>
      </w:r>
      <w:r>
        <w:fldChar w:fldCharType="separate"/>
      </w:r>
      <w:r>
        <w:t>56</w:t>
      </w:r>
      <w:r>
        <w:fldChar w:fldCharType="end"/>
      </w:r>
    </w:p>
    <w:p>
      <w:pPr>
        <w:pStyle w:val="TOC8"/>
        <w:rPr>
          <w:rFonts w:asciiTheme="minorHAnsi" w:eastAsiaTheme="minorEastAsia" w:hAnsiTheme="minorHAnsi" w:cstheme="minorBidi"/>
          <w:szCs w:val="22"/>
        </w:rPr>
      </w:pPr>
      <w:r>
        <w:t>14.</w:t>
      </w:r>
      <w:r>
        <w:tab/>
        <w:t>I</w:t>
      </w:r>
      <w:r>
        <w:rPr>
          <w:snapToGrid w:val="0"/>
        </w:rPr>
        <w:t>dentification cards</w:t>
      </w:r>
      <w:r>
        <w:t xml:space="preserve"> to be worn</w:t>
      </w:r>
      <w:r>
        <w:tab/>
      </w:r>
      <w:r>
        <w:fldChar w:fldCharType="begin"/>
      </w:r>
      <w:r>
        <w:instrText xml:space="preserve"> PAGEREF _Toc122000041 \h </w:instrText>
      </w:r>
      <w:r>
        <w:fldChar w:fldCharType="separate"/>
      </w:r>
      <w:r>
        <w:t>56</w:t>
      </w:r>
      <w:r>
        <w:fldChar w:fldCharType="end"/>
      </w:r>
    </w:p>
    <w:p>
      <w:pPr>
        <w:pStyle w:val="TOC8"/>
        <w:rPr>
          <w:rFonts w:asciiTheme="minorHAnsi" w:eastAsiaTheme="minorEastAsia" w:hAnsiTheme="minorHAnsi" w:cstheme="minorBidi"/>
          <w:szCs w:val="22"/>
        </w:rPr>
      </w:pPr>
      <w:r>
        <w:t>15.</w:t>
      </w:r>
      <w:r>
        <w:tab/>
        <w:t>Information</w:t>
      </w:r>
      <w:r>
        <w:rPr>
          <w:snapToGrid w:val="0"/>
        </w:rPr>
        <w:t xml:space="preserve"> to clients</w:t>
      </w:r>
      <w:r>
        <w:tab/>
      </w:r>
      <w:r>
        <w:fldChar w:fldCharType="begin"/>
      </w:r>
      <w:r>
        <w:instrText xml:space="preserve"> PAGEREF _Toc122000042 \h </w:instrText>
      </w:r>
      <w:r>
        <w:fldChar w:fldCharType="separate"/>
      </w:r>
      <w:r>
        <w:t>56</w:t>
      </w:r>
      <w:r>
        <w:fldChar w:fldCharType="end"/>
      </w:r>
    </w:p>
    <w:p>
      <w:pPr>
        <w:pStyle w:val="TOC8"/>
        <w:rPr>
          <w:rFonts w:asciiTheme="minorHAnsi" w:eastAsiaTheme="minorEastAsia" w:hAnsiTheme="minorHAnsi" w:cstheme="minorBidi"/>
          <w:szCs w:val="22"/>
        </w:rPr>
      </w:pPr>
      <w:r>
        <w:t>15A.</w:t>
      </w:r>
      <w:r>
        <w:tab/>
        <w:t>Information to licensing officer</w:t>
      </w:r>
      <w:r>
        <w:tab/>
      </w:r>
      <w:r>
        <w:fldChar w:fldCharType="begin"/>
      </w:r>
      <w:r>
        <w:instrText xml:space="preserve"> PAGEREF _Toc122000043 \h </w:instrText>
      </w:r>
      <w:r>
        <w:fldChar w:fldCharType="separate"/>
      </w:r>
      <w:r>
        <w:t>57</w:t>
      </w:r>
      <w:r>
        <w:fldChar w:fldCharType="end"/>
      </w:r>
    </w:p>
    <w:p>
      <w:pPr>
        <w:pStyle w:val="TOC8"/>
        <w:rPr>
          <w:rFonts w:asciiTheme="minorHAnsi" w:eastAsiaTheme="minorEastAsia" w:hAnsiTheme="minorHAnsi" w:cstheme="minorBidi"/>
          <w:szCs w:val="22"/>
        </w:rPr>
      </w:pPr>
      <w:r>
        <w:lastRenderedPageBreak/>
        <w:t>16.</w:t>
      </w:r>
      <w:r>
        <w:tab/>
      </w:r>
      <w:r>
        <w:rPr>
          <w:snapToGrid w:val="0"/>
        </w:rPr>
        <w:t>No weapons to be carried by crowd controllers</w:t>
      </w:r>
      <w:r>
        <w:tab/>
      </w:r>
      <w:r>
        <w:fldChar w:fldCharType="begin"/>
      </w:r>
      <w:r>
        <w:instrText xml:space="preserve"> PAGEREF _Toc122000044 \h </w:instrText>
      </w:r>
      <w:r>
        <w:fldChar w:fldCharType="separate"/>
      </w:r>
      <w:r>
        <w:t>57</w:t>
      </w:r>
      <w:r>
        <w:fldChar w:fldCharType="end"/>
      </w:r>
    </w:p>
    <w:p>
      <w:pPr>
        <w:pStyle w:val="TOC8"/>
        <w:rPr>
          <w:rFonts w:asciiTheme="minorHAnsi" w:eastAsiaTheme="minorEastAsia" w:hAnsiTheme="minorHAnsi" w:cstheme="minorBidi"/>
          <w:szCs w:val="22"/>
        </w:rPr>
      </w:pPr>
      <w:r>
        <w:t>16A.</w:t>
      </w:r>
      <w:r>
        <w:tab/>
        <w:t>Incident</w:t>
      </w:r>
      <w:r>
        <w:rPr>
          <w:snapToGrid w:val="0"/>
        </w:rPr>
        <w:t xml:space="preserve"> register, duties as to</w:t>
      </w:r>
      <w:r>
        <w:tab/>
      </w:r>
      <w:r>
        <w:fldChar w:fldCharType="begin"/>
      </w:r>
      <w:r>
        <w:instrText xml:space="preserve"> PAGEREF _Toc122000045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Crowd controller’s licence</w:t>
      </w:r>
    </w:p>
    <w:p>
      <w:pPr>
        <w:pStyle w:val="TOC8"/>
        <w:rPr>
          <w:rFonts w:asciiTheme="minorHAnsi" w:eastAsiaTheme="minorEastAsia" w:hAnsiTheme="minorHAnsi" w:cstheme="minorBidi"/>
          <w:szCs w:val="22"/>
        </w:rPr>
      </w:pPr>
      <w:r>
        <w:t>17.</w:t>
      </w:r>
      <w:r>
        <w:tab/>
        <w:t>I</w:t>
      </w:r>
      <w:r>
        <w:rPr>
          <w:snapToGrid w:val="0"/>
        </w:rPr>
        <w:t>dentification card to be worn</w:t>
      </w:r>
      <w:r>
        <w:tab/>
      </w:r>
      <w:r>
        <w:fldChar w:fldCharType="begin"/>
      </w:r>
      <w:r>
        <w:instrText xml:space="preserve"> PAGEREF _Toc122000047 \h </w:instrText>
      </w:r>
      <w:r>
        <w:fldChar w:fldCharType="separate"/>
      </w:r>
      <w:r>
        <w:t>58</w:t>
      </w:r>
      <w:r>
        <w:fldChar w:fldCharType="end"/>
      </w:r>
    </w:p>
    <w:p>
      <w:pPr>
        <w:pStyle w:val="TOC8"/>
        <w:rPr>
          <w:rFonts w:asciiTheme="minorHAnsi" w:eastAsiaTheme="minorEastAsia" w:hAnsiTheme="minorHAnsi" w:cstheme="minorBidi"/>
          <w:szCs w:val="22"/>
        </w:rPr>
      </w:pPr>
      <w:r>
        <w:t>18.</w:t>
      </w:r>
      <w:r>
        <w:tab/>
      </w:r>
      <w:r>
        <w:rPr>
          <w:snapToGrid w:val="0"/>
        </w:rPr>
        <w:t xml:space="preserve">No </w:t>
      </w:r>
      <w:r>
        <w:t>weapons</w:t>
      </w:r>
      <w:r>
        <w:rPr>
          <w:snapToGrid w:val="0"/>
        </w:rPr>
        <w:t xml:space="preserve"> to be carried by crowd controller</w:t>
      </w:r>
      <w:r>
        <w:tab/>
      </w:r>
      <w:r>
        <w:fldChar w:fldCharType="begin"/>
      </w:r>
      <w:r>
        <w:instrText xml:space="preserve"> PAGEREF _Toc122000048 \h </w:instrText>
      </w:r>
      <w:r>
        <w:fldChar w:fldCharType="separate"/>
      </w:r>
      <w:r>
        <w:t>58</w:t>
      </w:r>
      <w:r>
        <w:fldChar w:fldCharType="end"/>
      </w:r>
    </w:p>
    <w:p>
      <w:pPr>
        <w:pStyle w:val="TOC8"/>
        <w:rPr>
          <w:rFonts w:asciiTheme="minorHAnsi" w:eastAsiaTheme="minorEastAsia" w:hAnsiTheme="minorHAnsi" w:cstheme="minorBidi"/>
          <w:szCs w:val="22"/>
        </w:rPr>
      </w:pPr>
      <w:r>
        <w:t>19A.</w:t>
      </w:r>
      <w:r>
        <w:tab/>
        <w:t>First aid certificate</w:t>
      </w:r>
      <w:r>
        <w:tab/>
      </w:r>
      <w:r>
        <w:fldChar w:fldCharType="begin"/>
      </w:r>
      <w:r>
        <w:instrText xml:space="preserve"> PAGEREF _Toc122000049 \h </w:instrText>
      </w:r>
      <w:r>
        <w:fldChar w:fldCharType="separate"/>
      </w:r>
      <w:r>
        <w:t>58</w:t>
      </w:r>
      <w:r>
        <w:fldChar w:fldCharType="end"/>
      </w:r>
    </w:p>
    <w:p>
      <w:pPr>
        <w:pStyle w:val="TOC8"/>
        <w:rPr>
          <w:rFonts w:asciiTheme="minorHAnsi" w:eastAsiaTheme="minorEastAsia" w:hAnsiTheme="minorHAnsi" w:cstheme="minorBidi"/>
          <w:szCs w:val="22"/>
        </w:rPr>
      </w:pPr>
      <w:r>
        <w:t>19.</w:t>
      </w:r>
      <w:r>
        <w:tab/>
        <w:t>Incident</w:t>
      </w:r>
      <w:r>
        <w:rPr>
          <w:snapToGrid w:val="0"/>
        </w:rPr>
        <w:t xml:space="preserve"> register, duties as to</w:t>
      </w:r>
      <w:r>
        <w:tab/>
      </w:r>
      <w:r>
        <w:fldChar w:fldCharType="begin"/>
      </w:r>
      <w:r>
        <w:instrText xml:space="preserve"> PAGEREF _Toc122000050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6 — All licences</w:t>
      </w:r>
    </w:p>
    <w:p>
      <w:pPr>
        <w:pStyle w:val="TOC8"/>
        <w:rPr>
          <w:rFonts w:asciiTheme="minorHAnsi" w:eastAsiaTheme="minorEastAsia" w:hAnsiTheme="minorHAnsi" w:cstheme="minorBidi"/>
          <w:szCs w:val="22"/>
        </w:rPr>
      </w:pPr>
      <w:r>
        <w:t>20.</w:t>
      </w:r>
      <w:r>
        <w:tab/>
        <w:t>Identity cards, duties of people holding</w:t>
      </w:r>
      <w:r>
        <w:tab/>
      </w:r>
      <w:r>
        <w:fldChar w:fldCharType="begin"/>
      </w:r>
      <w:r>
        <w:instrText xml:space="preserve"> PAGEREF _Toc122000052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2 — Disqualifying offences</w:t>
      </w:r>
    </w:p>
    <w:p>
      <w:pPr>
        <w:pStyle w:val="TOC4"/>
        <w:tabs>
          <w:tab w:val="right" w:leader="dot" w:pos="7077"/>
        </w:tabs>
        <w:rPr>
          <w:rFonts w:asciiTheme="minorHAnsi" w:eastAsiaTheme="minorEastAsia" w:hAnsiTheme="minorHAnsi" w:cstheme="minorBidi"/>
          <w:b w:val="0"/>
          <w:szCs w:val="22"/>
        </w:rPr>
      </w:pPr>
      <w:r>
        <w:t>Division 1</w:t>
      </w:r>
      <w:r>
        <w:rPr>
          <w:b w:val="0"/>
        </w:rPr>
        <w:t> — </w:t>
      </w:r>
      <w:r>
        <w:t>Division 1 offences</w:t>
      </w:r>
    </w:p>
    <w:p>
      <w:pPr>
        <w:pStyle w:val="TOC4"/>
        <w:tabs>
          <w:tab w:val="right" w:leader="dot" w:pos="7077"/>
        </w:tabs>
        <w:rPr>
          <w:rFonts w:asciiTheme="minorHAnsi" w:eastAsiaTheme="minorEastAsia" w:hAnsiTheme="minorHAnsi" w:cstheme="minorBidi"/>
          <w:b w:val="0"/>
          <w:szCs w:val="22"/>
        </w:rPr>
      </w:pPr>
      <w:r>
        <w:t>Division 2</w:t>
      </w:r>
      <w:r>
        <w:rPr>
          <w:b w:val="0"/>
        </w:rPr>
        <w:t> — </w:t>
      </w:r>
      <w:r>
        <w:t>Division 2 offences</w:t>
      </w:r>
    </w:p>
    <w:p>
      <w:pPr>
        <w:pStyle w:val="TOC2"/>
        <w:tabs>
          <w:tab w:val="right" w:leader="dot" w:pos="7077"/>
        </w:tabs>
        <w:rPr>
          <w:rFonts w:asciiTheme="minorHAnsi" w:eastAsiaTheme="minorEastAsia" w:hAnsiTheme="minorHAnsi" w:cstheme="minorBidi"/>
          <w:b w:val="0"/>
          <w:sz w:val="22"/>
          <w:szCs w:val="22"/>
        </w:rPr>
      </w:pPr>
      <w:r>
        <w:t>Schedule 3 — Prescribed drugs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 for infringement notices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w:t>
      </w:r>
      <w:r>
        <w:rPr>
          <w:b w:val="0"/>
        </w:rPr>
        <w:t> — </w:t>
      </w:r>
      <w:r>
        <w:t>Offence under these regulations</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_Toc122000063 \h </w:instrText>
      </w:r>
      <w:r>
        <w:fldChar w:fldCharType="separate"/>
      </w:r>
      <w:r>
        <w:t>75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_Toc122000064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r>
        <w:fldChar w:fldCharType="end"/>
      </w:r>
    </w:p>
    <w:p>
      <w:pPr>
        <w:pStyle w:val="PrincipalActReg"/>
        <w:spacing w:before="120" w:after="600"/>
        <w:rPr>
          <w:snapToGrid w:val="0"/>
        </w:rPr>
      </w:pPr>
      <w:r>
        <w:rPr>
          <w:snapToGrid w:val="0"/>
        </w:rPr>
        <w:lastRenderedPageBreak/>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3" w:name="_Toc121993776"/>
      <w:bookmarkStart w:id="4" w:name="_Toc121994783"/>
      <w:bookmarkStart w:id="5" w:name="_Toc121999535"/>
      <w:bookmarkStart w:id="6" w:name="_Toc12199994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spacing w:before="300"/>
        <w:rPr>
          <w:snapToGrid w:val="0"/>
        </w:rPr>
      </w:pPr>
      <w:bookmarkStart w:id="7" w:name="_Toc121999944"/>
      <w:r>
        <w:rPr>
          <w:rStyle w:val="CharSectno"/>
        </w:rPr>
        <w:t>1</w:t>
      </w:r>
      <w:r>
        <w:rPr>
          <w:snapToGrid w:val="0"/>
        </w:rPr>
        <w:t>.</w:t>
      </w:r>
      <w:r>
        <w:rPr>
          <w:snapToGrid w:val="0"/>
        </w:rPr>
        <w:tab/>
        <w:t>Citation</w:t>
      </w:r>
      <w:bookmarkEnd w:id="7"/>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w:t>
      </w:r>
    </w:p>
    <w:p>
      <w:pPr>
        <w:pStyle w:val="Heading5"/>
        <w:rPr>
          <w:snapToGrid w:val="0"/>
        </w:rPr>
      </w:pPr>
      <w:bookmarkStart w:id="8" w:name="_Toc121999945"/>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p>
    <w:p>
      <w:pPr>
        <w:pStyle w:val="Heading5"/>
        <w:rPr>
          <w:snapToGrid w:val="0"/>
        </w:rPr>
      </w:pPr>
      <w:bookmarkStart w:id="9" w:name="_Toc121999946"/>
      <w:r>
        <w:rPr>
          <w:rStyle w:val="CharSectno"/>
        </w:rPr>
        <w:t>3</w:t>
      </w:r>
      <w:r>
        <w:rPr>
          <w:snapToGrid w:val="0"/>
        </w:rPr>
        <w:t>.</w:t>
      </w:r>
      <w:r>
        <w:rPr>
          <w:snapToGrid w:val="0"/>
        </w:rPr>
        <w:tab/>
        <w:t>Terms used</w:t>
      </w:r>
      <w:bookmarkEnd w:id="9"/>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lastRenderedPageBreak/>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in relation to a security agent, crowd control agent or inquiry agent, means — </w:t>
      </w:r>
    </w:p>
    <w:p>
      <w:pPr>
        <w:pStyle w:val="Defpara"/>
      </w:pPr>
      <w:r>
        <w:tab/>
        <w:t>(a)</w:t>
      </w:r>
      <w:r>
        <w:tab/>
        <w:t>if the agent’s licence is held on behalf of a partnership or body corporate, the business of the partnership or body corporate; or</w:t>
      </w:r>
    </w:p>
    <w:p>
      <w:pPr>
        <w:pStyle w:val="Defpara"/>
      </w:pPr>
      <w:r>
        <w:tab/>
        <w:t>(b)</w:t>
      </w:r>
      <w:r>
        <w:tab/>
        <w:t>otherwise, the business of the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responsible police division</w:t>
      </w:r>
      <w:r>
        <w:t xml:space="preserve"> means the division of the Police Force of Western Australia that is for the time being responsible for the implementation and enforcement of the Act;</w:t>
      </w:r>
    </w:p>
    <w:p>
      <w:pPr>
        <w:pStyle w:val="Defstart"/>
      </w:pPr>
      <w:r>
        <w:rPr>
          <w:b/>
        </w:rPr>
        <w:tab/>
      </w:r>
      <w:r>
        <w:rPr>
          <w:rStyle w:val="CharDefText"/>
        </w:rPr>
        <w:t>section</w:t>
      </w:r>
      <w:r>
        <w:t xml:space="preserve"> means a section of the Act;</w:t>
      </w:r>
    </w:p>
    <w:p>
      <w:pPr>
        <w:pStyle w:val="Defstart"/>
      </w:pPr>
      <w:r>
        <w:lastRenderedPageBreak/>
        <w:tab/>
      </w:r>
      <w:r>
        <w:rPr>
          <w:rStyle w:val="CharDefText"/>
        </w:rPr>
        <w:t>Superintendent</w:t>
      </w:r>
      <w:r>
        <w:t xml:space="preserve"> means the police officer of the rank of Superintendent or acting at the rank of Superintendent who is in charge of the responsible police division;</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Superintendent and that is conducted by training providers who are approved in accordance with regulation 14A.</w:t>
      </w:r>
    </w:p>
    <w:p>
      <w:pPr>
        <w:pStyle w:val="Footnotesection"/>
        <w:keepLines w:val="0"/>
      </w:pPr>
      <w:r>
        <w:tab/>
        <w:t>[Regulation 3 amended: Gazette 1 Sep 2005 p. 4073</w:t>
      </w:r>
      <w:r>
        <w:noBreakHyphen/>
        <w:t>4; 3 Oct 2006 p. 4343</w:t>
      </w:r>
      <w:r>
        <w:noBreakHyphen/>
        <w:t>4; 4 Dec 2009 p. 4889</w:t>
      </w:r>
      <w:r>
        <w:noBreakHyphen/>
        <w:t>90; 1 Jul 2011 p. 2749; 29 Jul 2016 p. 3243-4 and 3257; SL 2022/211 r. 4.]</w:t>
      </w:r>
    </w:p>
    <w:p>
      <w:pPr>
        <w:pStyle w:val="Heading5"/>
      </w:pPr>
      <w:bookmarkStart w:id="10" w:name="_Toc121999947"/>
      <w:r>
        <w:rPr>
          <w:rStyle w:val="CharSectno"/>
        </w:rPr>
        <w:t>4A</w:t>
      </w:r>
      <w:r>
        <w:t>.</w:t>
      </w:r>
      <w:r>
        <w:tab/>
        <w:t>Method of giving things to Commissioner, Superintendent or licensing officer</w:t>
      </w:r>
      <w:bookmarkEnd w:id="10"/>
    </w:p>
    <w:p>
      <w:pPr>
        <w:pStyle w:val="Subsection"/>
        <w:keepNext/>
      </w:pPr>
      <w:r>
        <w:tab/>
      </w:r>
      <w:r>
        <w:tab/>
        <w:t xml:space="preserve">Where the Act or these regulations authorises or requires a document to be given or delivered to the Commissioner, the Superintendent or a licensing officer, or the Commissioner, the Superintendent or a licensing officer to be notified, in writing, </w:t>
      </w:r>
      <w:r>
        <w:lastRenderedPageBreak/>
        <w:t xml:space="preserve">the document is taken to be given or delivered, or the person notified, if the document or notice is delivered — </w:t>
      </w:r>
    </w:p>
    <w:p>
      <w:pPr>
        <w:pStyle w:val="Indenta"/>
      </w:pPr>
      <w:r>
        <w:tab/>
        <w:t>(a)</w:t>
      </w:r>
      <w:r>
        <w:tab/>
        <w:t>personally; or</w:t>
      </w:r>
    </w:p>
    <w:p>
      <w:pPr>
        <w:pStyle w:val="Indenta"/>
        <w:keepNext/>
      </w:pPr>
      <w:r>
        <w:tab/>
        <w:t>(b)</w:t>
      </w:r>
      <w:r>
        <w:tab/>
        <w:t xml:space="preserve">by post, in accordance with the </w:t>
      </w:r>
      <w:r>
        <w:rPr>
          <w:i/>
        </w:rPr>
        <w:t>Interpretation Act </w:t>
      </w:r>
      <w:r>
        <w:rPr>
          <w:i/>
          <w:iCs/>
        </w:rPr>
        <w:t>1984</w:t>
      </w:r>
      <w:r>
        <w:t xml:space="preserve"> section 75(1),</w:t>
      </w:r>
    </w:p>
    <w:p>
      <w:pPr>
        <w:pStyle w:val="Subsection"/>
        <w:keepNext/>
      </w:pPr>
      <w:r>
        <w:tab/>
      </w:r>
      <w:r>
        <w:tab/>
        <w:t>to the offices of the responsible police division at 303 Sevenoaks Street, Cannington WA 6107 or to Locked Bag 9, East Perth WA 6892.</w:t>
      </w:r>
    </w:p>
    <w:p>
      <w:pPr>
        <w:pStyle w:val="Footnotesection"/>
        <w:keepLines w:val="0"/>
      </w:pPr>
      <w:r>
        <w:tab/>
        <w:t>[Regulation 4A inserted: Gazette 4 Dec 2009 p. 4891; amended: Gazette 29 Jul 2016 p. 3244.]</w:t>
      </w:r>
    </w:p>
    <w:p>
      <w:pPr>
        <w:pStyle w:val="Heading2"/>
      </w:pPr>
      <w:bookmarkStart w:id="11" w:name="_Toc121993781"/>
      <w:bookmarkStart w:id="12" w:name="_Toc121994788"/>
      <w:bookmarkStart w:id="13" w:name="_Toc121999540"/>
      <w:bookmarkStart w:id="14" w:name="_Toc121999948"/>
      <w:r>
        <w:rPr>
          <w:rStyle w:val="CharPartNo"/>
        </w:rPr>
        <w:lastRenderedPageBreak/>
        <w:t>Part 2</w:t>
      </w:r>
      <w:r>
        <w:rPr>
          <w:rStyle w:val="CharDivNo"/>
        </w:rPr>
        <w:t> </w:t>
      </w:r>
      <w:r>
        <w:t>—</w:t>
      </w:r>
      <w:r>
        <w:rPr>
          <w:rStyle w:val="CharDivText"/>
        </w:rPr>
        <w:t> </w:t>
      </w:r>
      <w:r>
        <w:rPr>
          <w:rStyle w:val="CharPartText"/>
        </w:rPr>
        <w:t>Exemptions</w:t>
      </w:r>
      <w:bookmarkEnd w:id="11"/>
      <w:bookmarkEnd w:id="12"/>
      <w:bookmarkEnd w:id="13"/>
      <w:bookmarkEnd w:id="14"/>
      <w:r>
        <w:rPr>
          <w:rStyle w:val="CharPartText"/>
        </w:rPr>
        <w:t xml:space="preserve"> </w:t>
      </w:r>
    </w:p>
    <w:p>
      <w:pPr>
        <w:pStyle w:val="Heading5"/>
        <w:rPr>
          <w:snapToGrid w:val="0"/>
        </w:rPr>
      </w:pPr>
      <w:bookmarkStart w:id="15" w:name="_Toc121999949"/>
      <w:r>
        <w:rPr>
          <w:rStyle w:val="CharSectno"/>
        </w:rPr>
        <w:t>4</w:t>
      </w:r>
      <w:r>
        <w:rPr>
          <w:snapToGrid w:val="0"/>
        </w:rPr>
        <w:t>.</w:t>
      </w:r>
      <w:r>
        <w:rPr>
          <w:snapToGrid w:val="0"/>
        </w:rPr>
        <w:tab/>
        <w:t>Act s. 37 (crowd controller’s licence), exemptions from</w:t>
      </w:r>
      <w:bookmarkEnd w:id="1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1</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1</w:t>
      </w:r>
      <w:r>
        <w:rPr>
          <w:snapToGrid w:val="0"/>
        </w:rPr>
        <w:t xml:space="preserve">. </w:t>
      </w:r>
    </w:p>
    <w:p>
      <w:pPr>
        <w:pStyle w:val="Ednotesection"/>
      </w:pPr>
      <w:r>
        <w:t>[</w:t>
      </w:r>
      <w:r>
        <w:rPr>
          <w:b/>
        </w:rPr>
        <w:t>5.</w:t>
      </w:r>
      <w:r>
        <w:tab/>
        <w:t>Deleted: Gazette 29 Apr 2011 p. 1532.]</w:t>
      </w:r>
    </w:p>
    <w:p>
      <w:pPr>
        <w:pStyle w:val="Heading5"/>
      </w:pPr>
      <w:bookmarkStart w:id="16" w:name="_Toc121999950"/>
      <w:r>
        <w:rPr>
          <w:rStyle w:val="CharSectno"/>
        </w:rPr>
        <w:t>5A</w:t>
      </w:r>
      <w:r>
        <w:t>.</w:t>
      </w:r>
      <w:r>
        <w:tab/>
        <w:t xml:space="preserve">Some persons to whom </w:t>
      </w:r>
      <w:r>
        <w:rPr>
          <w:i/>
        </w:rPr>
        <w:t xml:space="preserve">Court Security and Custodial Services Act 1999 </w:t>
      </w:r>
      <w:r>
        <w:t>applies, exemption for</w:t>
      </w:r>
      <w:bookmarkEnd w:id="16"/>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lastRenderedPageBreak/>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Gazette 28 Jul 2000 p. 4028; amended: Gazette 12 Jun 2001 p. 2959</w:t>
      </w:r>
      <w:r>
        <w:noBreakHyphen/>
        <w:t>60.]</w:t>
      </w:r>
    </w:p>
    <w:p>
      <w:pPr>
        <w:pStyle w:val="Heading5"/>
      </w:pPr>
      <w:bookmarkStart w:id="17" w:name="_Toc121999951"/>
      <w:r>
        <w:rPr>
          <w:rStyle w:val="CharSectno"/>
        </w:rPr>
        <w:t>5B</w:t>
      </w:r>
      <w:r>
        <w:t>.</w:t>
      </w:r>
      <w:r>
        <w:tab/>
        <w:t xml:space="preserve">Some persons to whom </w:t>
      </w:r>
      <w:r>
        <w:rPr>
          <w:i/>
        </w:rPr>
        <w:t>Prisons Act 1981</w:t>
      </w:r>
      <w:r>
        <w:t xml:space="preserve"> Part IIIA applies, exemption for</w:t>
      </w:r>
      <w:bookmarkEnd w:id="17"/>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Gazette 12 Jun 2001 p. 2960.]</w:t>
      </w:r>
    </w:p>
    <w:p>
      <w:pPr>
        <w:pStyle w:val="Heading2"/>
      </w:pPr>
      <w:bookmarkStart w:id="18" w:name="_Toc121993785"/>
      <w:bookmarkStart w:id="19" w:name="_Toc121994792"/>
      <w:bookmarkStart w:id="20" w:name="_Toc121999544"/>
      <w:bookmarkStart w:id="21" w:name="_Toc121999952"/>
      <w:r>
        <w:rPr>
          <w:rStyle w:val="CharPartNo"/>
        </w:rPr>
        <w:lastRenderedPageBreak/>
        <w:t>Part 3</w:t>
      </w:r>
      <w:r>
        <w:rPr>
          <w:rStyle w:val="CharDivNo"/>
        </w:rPr>
        <w:t> </w:t>
      </w:r>
      <w:r>
        <w:t>—</w:t>
      </w:r>
      <w:r>
        <w:rPr>
          <w:rStyle w:val="CharDivText"/>
        </w:rPr>
        <w:t> </w:t>
      </w:r>
      <w:r>
        <w:rPr>
          <w:rStyle w:val="CharPartText"/>
        </w:rPr>
        <w:t>Security activities</w:t>
      </w:r>
      <w:bookmarkEnd w:id="18"/>
      <w:bookmarkEnd w:id="19"/>
      <w:bookmarkEnd w:id="20"/>
      <w:bookmarkEnd w:id="21"/>
      <w:r>
        <w:rPr>
          <w:rStyle w:val="CharPartText"/>
        </w:rPr>
        <w:t xml:space="preserve"> </w:t>
      </w:r>
    </w:p>
    <w:p>
      <w:pPr>
        <w:pStyle w:val="Heading5"/>
      </w:pPr>
      <w:bookmarkStart w:id="22" w:name="_Toc121999953"/>
      <w:r>
        <w:rPr>
          <w:rStyle w:val="CharSectno"/>
        </w:rPr>
        <w:t>6</w:t>
      </w:r>
      <w:r>
        <w:t>.</w:t>
      </w:r>
      <w:r>
        <w:tab/>
        <w:t>Locks prescribed (Act s. 14(1)(d))</w:t>
      </w:r>
      <w:bookmarkEnd w:id="22"/>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Gazette 13 Apr 2006 p. 1555.]</w:t>
      </w:r>
    </w:p>
    <w:p>
      <w:pPr>
        <w:pStyle w:val="Heading5"/>
      </w:pPr>
      <w:bookmarkStart w:id="23" w:name="_Toc121999954"/>
      <w:r>
        <w:rPr>
          <w:rStyle w:val="CharSectno"/>
        </w:rPr>
        <w:t>7</w:t>
      </w:r>
      <w:r>
        <w:t>.</w:t>
      </w:r>
      <w:r>
        <w:tab/>
        <w:t>Security doors prescribed (Act s. 14(1)(e))</w:t>
      </w:r>
      <w:bookmarkEnd w:id="23"/>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Gazette 13 Apr 2006 p. 1555</w:t>
      </w:r>
      <w:r>
        <w:noBreakHyphen/>
        <w:t>6.]</w:t>
      </w:r>
    </w:p>
    <w:p>
      <w:pPr>
        <w:pStyle w:val="Heading5"/>
        <w:rPr>
          <w:snapToGrid w:val="0"/>
        </w:rPr>
      </w:pPr>
      <w:bookmarkStart w:id="24" w:name="_Toc121999955"/>
      <w:r>
        <w:rPr>
          <w:rStyle w:val="CharSectno"/>
        </w:rPr>
        <w:t>8</w:t>
      </w:r>
      <w:r>
        <w:rPr>
          <w:snapToGrid w:val="0"/>
        </w:rPr>
        <w:t>.</w:t>
      </w:r>
      <w:r>
        <w:rPr>
          <w:snapToGrid w:val="0"/>
        </w:rPr>
        <w:tab/>
        <w:t>Equipment and devices prescribed (Act s. 14(1)(g))</w:t>
      </w:r>
      <w:bookmarkEnd w:id="24"/>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lastRenderedPageBreak/>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Gazette 13 Apr 2006 p. 1556.]</w:t>
      </w:r>
    </w:p>
    <w:p>
      <w:pPr>
        <w:pStyle w:val="Heading5"/>
      </w:pPr>
      <w:bookmarkStart w:id="25" w:name="_Toc121999956"/>
      <w:r>
        <w:rPr>
          <w:rStyle w:val="CharSectno"/>
        </w:rPr>
        <w:t>9</w:t>
      </w:r>
      <w:r>
        <w:t>.</w:t>
      </w:r>
      <w:r>
        <w:tab/>
        <w:t>Activities prescribed (Act s. 24(1)(b))</w:t>
      </w:r>
      <w:bookmarkEnd w:id="25"/>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Gazette 1 Sep 2005 p. 4074.]</w:t>
      </w:r>
    </w:p>
    <w:p>
      <w:pPr>
        <w:pStyle w:val="Heading5"/>
        <w:rPr>
          <w:snapToGrid w:val="0"/>
        </w:rPr>
      </w:pPr>
      <w:bookmarkStart w:id="26" w:name="_Toc121999957"/>
      <w:r>
        <w:rPr>
          <w:rStyle w:val="CharSectno"/>
        </w:rPr>
        <w:t>10</w:t>
      </w:r>
      <w:r>
        <w:rPr>
          <w:snapToGrid w:val="0"/>
        </w:rPr>
        <w:t>.</w:t>
      </w:r>
      <w:r>
        <w:rPr>
          <w:snapToGrid w:val="0"/>
        </w:rPr>
        <w:tab/>
        <w:t>Application for endorsement (Act s. 24)</w:t>
      </w:r>
      <w:bookmarkEnd w:id="26"/>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lastRenderedPageBreak/>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Gazette 1 Sep 2005 p. 4074; 3 Oct 2006 p. 4344.]</w:t>
      </w:r>
    </w:p>
    <w:p>
      <w:pPr>
        <w:pStyle w:val="Heading5"/>
      </w:pPr>
      <w:bookmarkStart w:id="27" w:name="_Toc121999958"/>
      <w:r>
        <w:rPr>
          <w:rStyle w:val="CharSectno"/>
        </w:rPr>
        <w:t>11</w:t>
      </w:r>
      <w:r>
        <w:t>.</w:t>
      </w:r>
      <w:r>
        <w:tab/>
        <w:t>Medical examinations prescribed (Act s. 24)</w:t>
      </w:r>
      <w:bookmarkEnd w:id="27"/>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 xml:space="preserve">A security officer who has undergone a medical examination is to give to a licensing officer a medical certificate relating to the examination within one month after undergoing the </w:t>
      </w:r>
      <w:r>
        <w:lastRenderedPageBreak/>
        <w:t>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Gazette 4 Dec 2009 p. 4891</w:t>
      </w:r>
      <w:r>
        <w:noBreakHyphen/>
        <w:t>2.]</w:t>
      </w:r>
    </w:p>
    <w:p>
      <w:pPr>
        <w:pStyle w:val="Heading5"/>
      </w:pPr>
      <w:bookmarkStart w:id="28" w:name="_Toc121999959"/>
      <w:r>
        <w:rPr>
          <w:rStyle w:val="CharSectno"/>
        </w:rPr>
        <w:t>12</w:t>
      </w:r>
      <w:r>
        <w:t>.</w:t>
      </w:r>
      <w:r>
        <w:tab/>
        <w:t>Application for permit (Act s. 25)</w:t>
      </w:r>
      <w:bookmarkEnd w:id="28"/>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Gazette 4 Dec 2009 p. 4893.]</w:t>
      </w:r>
    </w:p>
    <w:p>
      <w:pPr>
        <w:pStyle w:val="Heading5"/>
        <w:rPr>
          <w:snapToGrid w:val="0"/>
        </w:rPr>
      </w:pPr>
      <w:bookmarkStart w:id="29" w:name="_Toc121999960"/>
      <w:r>
        <w:rPr>
          <w:rStyle w:val="CharSectno"/>
        </w:rPr>
        <w:t>13</w:t>
      </w:r>
      <w:r>
        <w:rPr>
          <w:snapToGrid w:val="0"/>
        </w:rPr>
        <w:t>.</w:t>
      </w:r>
      <w:r>
        <w:rPr>
          <w:snapToGrid w:val="0"/>
        </w:rPr>
        <w:tab/>
        <w:t>Application for endorsement (Act s. 26)</w:t>
      </w:r>
      <w:bookmarkEnd w:id="29"/>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30" w:name="_Toc121993794"/>
      <w:bookmarkStart w:id="31" w:name="_Toc121994801"/>
      <w:bookmarkStart w:id="32" w:name="_Toc121999553"/>
      <w:bookmarkStart w:id="33" w:name="_Toc121999961"/>
      <w:r>
        <w:rPr>
          <w:rStyle w:val="CharPartNo"/>
        </w:rPr>
        <w:lastRenderedPageBreak/>
        <w:t>Part 3A</w:t>
      </w:r>
      <w:r>
        <w:t xml:space="preserve"> — </w:t>
      </w:r>
      <w:r>
        <w:rPr>
          <w:rStyle w:val="CharPartText"/>
        </w:rPr>
        <w:t>Inquiry activities</w:t>
      </w:r>
      <w:bookmarkEnd w:id="30"/>
      <w:bookmarkEnd w:id="31"/>
      <w:bookmarkEnd w:id="32"/>
      <w:bookmarkEnd w:id="33"/>
    </w:p>
    <w:p>
      <w:pPr>
        <w:pStyle w:val="Footnoteheading"/>
      </w:pPr>
      <w:r>
        <w:tab/>
        <w:t>[Heading inserted: Gazette 10 Mar 2000 p. 1124.]</w:t>
      </w:r>
    </w:p>
    <w:p>
      <w:pPr>
        <w:pStyle w:val="Heading5"/>
      </w:pPr>
      <w:bookmarkStart w:id="34" w:name="_Toc121999962"/>
      <w:r>
        <w:rPr>
          <w:rStyle w:val="CharSectno"/>
        </w:rPr>
        <w:t>13A</w:t>
      </w:r>
      <w:r>
        <w:t>.</w:t>
      </w:r>
      <w:r>
        <w:tab/>
        <w:t>Investigations not within Act s. 28(1)(a)</w:t>
      </w:r>
      <w:bookmarkEnd w:id="34"/>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lastRenderedPageBreak/>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Gazette 10 Mar 2000 p. 1124; amended: Gazette 1 Sep 2005 p. 4075; </w:t>
      </w:r>
      <w:r>
        <w:rPr>
          <w:szCs w:val="24"/>
        </w:rPr>
        <w:t>11 Feb 2011 p. 505; 16 Jun 2015 p. 2079</w:t>
      </w:r>
      <w:r>
        <w:t>.]</w:t>
      </w:r>
    </w:p>
    <w:p>
      <w:pPr>
        <w:pStyle w:val="Heading2"/>
      </w:pPr>
      <w:bookmarkStart w:id="35" w:name="_Toc121993796"/>
      <w:bookmarkStart w:id="36" w:name="_Toc121994803"/>
      <w:bookmarkStart w:id="37" w:name="_Toc121999555"/>
      <w:bookmarkStart w:id="38" w:name="_Toc121999963"/>
      <w:r>
        <w:rPr>
          <w:rStyle w:val="CharPartNo"/>
        </w:rPr>
        <w:lastRenderedPageBreak/>
        <w:t>Part 4</w:t>
      </w:r>
      <w:r>
        <w:t> — </w:t>
      </w:r>
      <w:r>
        <w:rPr>
          <w:rStyle w:val="CharPartText"/>
        </w:rPr>
        <w:t>Licensing procedures</w:t>
      </w:r>
      <w:bookmarkEnd w:id="35"/>
      <w:bookmarkEnd w:id="36"/>
      <w:bookmarkEnd w:id="37"/>
      <w:bookmarkEnd w:id="38"/>
      <w:r>
        <w:rPr>
          <w:rStyle w:val="CharPartText"/>
        </w:rPr>
        <w:t xml:space="preserve"> </w:t>
      </w:r>
    </w:p>
    <w:p>
      <w:pPr>
        <w:pStyle w:val="Heading3"/>
      </w:pPr>
      <w:bookmarkStart w:id="39" w:name="_Toc121993797"/>
      <w:bookmarkStart w:id="40" w:name="_Toc121994804"/>
      <w:bookmarkStart w:id="41" w:name="_Toc121999556"/>
      <w:bookmarkStart w:id="42" w:name="_Toc121999964"/>
      <w:r>
        <w:rPr>
          <w:rStyle w:val="CharDivNo"/>
        </w:rPr>
        <w:t>Division 1</w:t>
      </w:r>
      <w:r>
        <w:t> — </w:t>
      </w:r>
      <w:r>
        <w:rPr>
          <w:rStyle w:val="CharDivText"/>
        </w:rPr>
        <w:t>Licences other than temporary licences</w:t>
      </w:r>
      <w:bookmarkEnd w:id="39"/>
      <w:bookmarkEnd w:id="40"/>
      <w:bookmarkEnd w:id="41"/>
      <w:bookmarkEnd w:id="42"/>
    </w:p>
    <w:p>
      <w:pPr>
        <w:pStyle w:val="Footnoteheading"/>
      </w:pPr>
      <w:r>
        <w:tab/>
        <w:t>[Heading inserted: Gazette 4 Dec 2009 p. 4893.]</w:t>
      </w:r>
    </w:p>
    <w:p>
      <w:pPr>
        <w:pStyle w:val="Heading5"/>
        <w:spacing w:before="180"/>
        <w:rPr>
          <w:snapToGrid w:val="0"/>
        </w:rPr>
      </w:pPr>
      <w:bookmarkStart w:id="43" w:name="_Toc121999965"/>
      <w:r>
        <w:rPr>
          <w:rStyle w:val="CharSectno"/>
        </w:rPr>
        <w:t>14</w:t>
      </w:r>
      <w:r>
        <w:rPr>
          <w:snapToGrid w:val="0"/>
        </w:rPr>
        <w:t>.</w:t>
      </w:r>
      <w:r>
        <w:rPr>
          <w:snapToGrid w:val="0"/>
        </w:rPr>
        <w:tab/>
        <w:t>Application for the issue of a licence (Act s. 46(1))</w:t>
      </w:r>
      <w:bookmarkEnd w:id="43"/>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t>
      </w:r>
      <w:r>
        <w:t>(</w:t>
      </w:r>
      <w:r>
        <w:rPr>
          <w:rStyle w:val="CharDefText"/>
        </w:rPr>
        <w:t>GPO</w:t>
      </w:r>
      <w:r>
        <w:t xml:space="preserve">), </w:t>
      </w:r>
      <w:r>
        <w:rPr>
          <w:snapToGrid w:val="0"/>
        </w:rPr>
        <w:t xml:space="preserve">with a licensing officer; or </w:t>
      </w:r>
    </w:p>
    <w:p>
      <w:pPr>
        <w:pStyle w:val="Indenta"/>
      </w:pPr>
      <w:r>
        <w:tab/>
        <w:t>(ab)</w:t>
      </w:r>
      <w:r>
        <w:tab/>
        <w:t>if the applicant resides beyond 50 km of the GPO but is undertaking a course of training prescribed in respect of the licence at a location within 50 km of the GPO, with a licensing officer; or</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Gazette 4 Dec 2009 p. 4893; 29 Jul 2016 p. 3244-5.]</w:t>
      </w:r>
    </w:p>
    <w:p>
      <w:pPr>
        <w:pStyle w:val="Heading5"/>
      </w:pPr>
      <w:bookmarkStart w:id="44" w:name="_Toc121999966"/>
      <w:r>
        <w:rPr>
          <w:rStyle w:val="CharSectno"/>
        </w:rPr>
        <w:t>14A</w:t>
      </w:r>
      <w:r>
        <w:t>.</w:t>
      </w:r>
      <w:r>
        <w:tab/>
        <w:t>Training course in firearms discharge, approval of providers of</w:t>
      </w:r>
      <w:bookmarkEnd w:id="44"/>
    </w:p>
    <w:p>
      <w:pPr>
        <w:pStyle w:val="Subsection"/>
      </w:pPr>
      <w:r>
        <w:tab/>
        <w:t>(1)</w:t>
      </w:r>
      <w:r>
        <w:tab/>
        <w:t>The Superintendent may approve of a person as a provider of a training course in firearms discharge if the Superintendent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lastRenderedPageBreak/>
        <w:tab/>
        <w:t>(c)</w:t>
      </w:r>
      <w:r>
        <w:tab/>
        <w:t>may be subject to such conditions and restrictions (including as to its duration) as the Superintendent thinks fit.</w:t>
      </w:r>
    </w:p>
    <w:p>
      <w:pPr>
        <w:pStyle w:val="Subsection"/>
      </w:pPr>
      <w:r>
        <w:tab/>
        <w:t>(2A)</w:t>
      </w:r>
      <w:r>
        <w:tab/>
        <w:t>The Superintendent may, by giving written notice to the approved training provider, cancel an approval given under subregulation (1), but the cancellation is not effective unless the Superintendent —</w:t>
      </w:r>
    </w:p>
    <w:p>
      <w:pPr>
        <w:pStyle w:val="Indenta"/>
      </w:pPr>
      <w:r>
        <w:tab/>
        <w:t>(a)</w:t>
      </w:r>
      <w:r>
        <w:tab/>
        <w:t>has given to the training provider written notice of the intention to cancel the approval stating the grounds on which the cancellation is intended and allowing the training provider 21 days within which to respond to the notice; and</w:t>
      </w:r>
    </w:p>
    <w:p>
      <w:pPr>
        <w:pStyle w:val="Indenta"/>
      </w:pPr>
      <w:r>
        <w:tab/>
        <w:t>(b)</w:t>
      </w:r>
      <w:r>
        <w:tab/>
        <w:t>has had due regard to any response to the notice made within that time.</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Gazette 3 Oct 2006 p. 4344</w:t>
      </w:r>
      <w:r>
        <w:noBreakHyphen/>
        <w:t>5; amended by 29 Jul 2016 p. 3245 and 3257.]</w:t>
      </w:r>
    </w:p>
    <w:p>
      <w:pPr>
        <w:pStyle w:val="Heading5"/>
      </w:pPr>
      <w:bookmarkStart w:id="45" w:name="_Toc121999967"/>
      <w:r>
        <w:rPr>
          <w:rStyle w:val="CharSectno"/>
        </w:rPr>
        <w:lastRenderedPageBreak/>
        <w:t>15</w:t>
      </w:r>
      <w:r>
        <w:t>.</w:t>
      </w:r>
      <w:r>
        <w:tab/>
        <w:t>Medical examination prescribed for security officers authorised to possess firearm (Act s. 47(1)(d) and 52(1)(h))</w:t>
      </w:r>
      <w:bookmarkEnd w:id="45"/>
    </w:p>
    <w:p>
      <w:pPr>
        <w:pStyle w:val="Subsection"/>
        <w:keepNext/>
      </w:pPr>
      <w:r>
        <w:tab/>
        <w:t>(1)</w:t>
      </w:r>
      <w:r>
        <w:tab/>
        <w:t xml:space="preserve">Subregulation (2) sets out the medical examination prescribed for the purposes of — </w:t>
      </w:r>
    </w:p>
    <w:p>
      <w:pPr>
        <w:pStyle w:val="Indenta"/>
        <w:keepNext/>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Gazette 4 Dec 2009 p. 4894.]</w:t>
      </w:r>
    </w:p>
    <w:p>
      <w:pPr>
        <w:pStyle w:val="Heading5"/>
        <w:keepLines w:val="0"/>
        <w:rPr>
          <w:snapToGrid w:val="0"/>
        </w:rPr>
      </w:pPr>
      <w:bookmarkStart w:id="46" w:name="_Toc121999968"/>
      <w:r>
        <w:rPr>
          <w:rStyle w:val="CharSectno"/>
        </w:rPr>
        <w:t>16</w:t>
      </w:r>
      <w:r>
        <w:rPr>
          <w:snapToGrid w:val="0"/>
        </w:rPr>
        <w:t>.</w:t>
      </w:r>
      <w:r>
        <w:rPr>
          <w:snapToGrid w:val="0"/>
        </w:rPr>
        <w:tab/>
        <w:t>Training courses prescribed (Act s. 47(1)(f)(i), 52(1)(g)(i) and 53(2))</w:t>
      </w:r>
      <w:bookmarkEnd w:id="46"/>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lastRenderedPageBreak/>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Indenta"/>
      </w:pPr>
      <w:r>
        <w:tab/>
        <w:t>(g)</w:t>
      </w:r>
      <w:r>
        <w:tab/>
        <w:t>a Class 2 security consultant’s licence, an approved training course in technical security;</w:t>
      </w:r>
    </w:p>
    <w:p>
      <w:pPr>
        <w:pStyle w:val="Indenta"/>
      </w:pPr>
      <w:r>
        <w:tab/>
        <w:t>(h)</w:t>
      </w:r>
      <w:r>
        <w:tab/>
        <w:t>a Class 2 security installer’s licence, an approved training course in technical security.</w:t>
      </w:r>
    </w:p>
    <w:p>
      <w:pPr>
        <w:pStyle w:val="Subsection"/>
      </w:pPr>
      <w:r>
        <w:tab/>
        <w:t>(1A)</w:t>
      </w:r>
      <w:r>
        <w:tab/>
        <w:t>The training courses prescribed under subregulation (1)(a) and (b) do not apply in respect of a security officer’s licence to the extent that the applicant, if issued with the licence, will be undertaking monitoring duties only (e.g. duties involving the monitoring of surveillance or signalling equipment in a security control room).</w:t>
      </w:r>
    </w:p>
    <w:p>
      <w:pPr>
        <w:pStyle w:val="Subsection"/>
        <w:rPr>
          <w:snapToGrid w:val="0"/>
        </w:rPr>
      </w:pPr>
      <w:r>
        <w:rPr>
          <w:snapToGrid w:val="0"/>
        </w:rPr>
        <w:tab/>
        <w:t>(2)</w:t>
      </w:r>
      <w:r>
        <w:rPr>
          <w:snapToGrid w:val="0"/>
        </w:rPr>
        <w:tab/>
        <w:t xml:space="preserve">The </w:t>
      </w:r>
      <w:r>
        <w:t>Superintendent</w:t>
      </w:r>
      <w:r>
        <w:rPr>
          <w:snapToGrid w:val="0"/>
        </w:rPr>
        <w:t xml:space="preserve">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 xml:space="preserve">The </w:t>
      </w:r>
      <w:r>
        <w:t>Superintendent</w:t>
      </w:r>
      <w:r>
        <w:rPr>
          <w:snapToGrid w:val="0"/>
        </w:rPr>
        <w:t xml:space="preserve"> may, on application by the provider of a training course, approve of the applicant as a course provider if the </w:t>
      </w:r>
      <w:r>
        <w:t>Superintendent</w:t>
      </w:r>
      <w:r>
        <w:rPr>
          <w:snapToGrid w:val="0"/>
        </w:rPr>
        <w:t xml:space="preserve">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lastRenderedPageBreak/>
        <w:tab/>
        <w:t>(b)</w:t>
      </w:r>
      <w:r>
        <w:rPr>
          <w:snapToGrid w:val="0"/>
        </w:rPr>
        <w:tab/>
        <w:t xml:space="preserve">may be subject to such conditions and restrictions (including as to its duration) as the </w:t>
      </w:r>
      <w:r>
        <w:t>Superintendent</w:t>
      </w:r>
      <w:r>
        <w:rPr>
          <w:snapToGrid w:val="0"/>
        </w:rPr>
        <w:t xml:space="preserve"> thinks fit. </w:t>
      </w:r>
    </w:p>
    <w:p>
      <w:pPr>
        <w:pStyle w:val="Subsection"/>
        <w:rPr>
          <w:snapToGrid w:val="0"/>
        </w:rPr>
      </w:pPr>
      <w:r>
        <w:rPr>
          <w:snapToGrid w:val="0"/>
        </w:rPr>
        <w:tab/>
        <w:t>(5)</w:t>
      </w:r>
      <w:r>
        <w:rPr>
          <w:snapToGrid w:val="0"/>
        </w:rPr>
        <w:tab/>
        <w:t xml:space="preserve">The </w:t>
      </w:r>
      <w:r>
        <w:t>Superintendent</w:t>
      </w:r>
      <w:r>
        <w:rPr>
          <w:snapToGrid w:val="0"/>
        </w:rPr>
        <w:t xml:space="preserve"> may, by giving written notice to the course provider, cancel an approval given under subregulation (2) or (3), but the cancellation is not effective unless the </w:t>
      </w:r>
      <w:r>
        <w:t>Superintendent</w:t>
      </w:r>
      <w:r>
        <w:rPr>
          <w:snapToGrid w:val="0"/>
        </w:rPr>
        <w:t>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Gazette 1 Sep 2005 p. 4076</w:t>
      </w:r>
      <w:r>
        <w:noBreakHyphen/>
        <w:t>7; 4 Dec 2009 p. 4894</w:t>
      </w:r>
      <w:r>
        <w:noBreakHyphen/>
        <w:t>5; 29 Jul 2016 p. 3245-6 and 3257.]</w:t>
      </w:r>
    </w:p>
    <w:p>
      <w:pPr>
        <w:pStyle w:val="Heading5"/>
      </w:pPr>
      <w:bookmarkStart w:id="47" w:name="_Toc121999969"/>
      <w:r>
        <w:rPr>
          <w:rStyle w:val="CharSectno"/>
        </w:rPr>
        <w:t>16A</w:t>
      </w:r>
      <w:r>
        <w:t>.</w:t>
      </w:r>
      <w:r>
        <w:tab/>
        <w:t>Records required when baton training undertaken</w:t>
      </w:r>
      <w:bookmarkEnd w:id="47"/>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Gazette 3 Oct 2006 p. 4345.]</w:t>
      </w:r>
    </w:p>
    <w:p>
      <w:pPr>
        <w:pStyle w:val="Heading5"/>
        <w:rPr>
          <w:snapToGrid w:val="0"/>
        </w:rPr>
      </w:pPr>
      <w:bookmarkStart w:id="48" w:name="_Toc121999970"/>
      <w:r>
        <w:rPr>
          <w:rStyle w:val="CharSectno"/>
        </w:rPr>
        <w:lastRenderedPageBreak/>
        <w:t>17</w:t>
      </w:r>
      <w:r>
        <w:rPr>
          <w:snapToGrid w:val="0"/>
        </w:rPr>
        <w:t>.</w:t>
      </w:r>
      <w:r>
        <w:rPr>
          <w:snapToGrid w:val="0"/>
        </w:rPr>
        <w:tab/>
        <w:t>Examinations prescribed (Act s. 47(1)(f)(ii) and 52(1)(g)(ii))</w:t>
      </w:r>
      <w:bookmarkEnd w:id="48"/>
      <w:r>
        <w:rPr>
          <w:snapToGrid w:val="0"/>
        </w:rPr>
        <w:t xml:space="preserve"> </w:t>
      </w:r>
    </w:p>
    <w:p>
      <w:pPr>
        <w:pStyle w:val="Subsection"/>
      </w:pPr>
      <w:r>
        <w:tab/>
        <w:t>(1)</w:t>
      </w:r>
      <w:r>
        <w:tab/>
        <w:t>For the purposes of sections 47(1)(f)(ii) and 52(1)(g)(ii), a written examination on AS 2804 — Installation of Security Screen Doors is prescribed in respect of a Class 3 security consultant’s licence and a Class 3 security installer’s licence.</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pPr>
      <w:r>
        <w:tab/>
        <w:t>(2A)</w:t>
      </w:r>
      <w:r>
        <w:tab/>
        <w:t xml:space="preserve">For the purposes of sections 47(1)(f)(ii) and 52(1)(g)(ii) — </w:t>
      </w:r>
    </w:p>
    <w:p>
      <w:pPr>
        <w:pStyle w:val="Indenta"/>
      </w:pPr>
      <w:r>
        <w:tab/>
        <w:t>(a)</w:t>
      </w:r>
      <w:r>
        <w:tab/>
        <w:t>a written examination on watching, guarding and protecting property is prescribed for a security officer’s licence; and</w:t>
      </w:r>
    </w:p>
    <w:p>
      <w:pPr>
        <w:pStyle w:val="Indenta"/>
      </w:pPr>
      <w:r>
        <w:tab/>
        <w:t>(b)</w:t>
      </w:r>
      <w:r>
        <w:tab/>
        <w:t>a written examination on crowd control activities is prescribed for a crowd controller’s licence.</w:t>
      </w:r>
    </w:p>
    <w:p>
      <w:pPr>
        <w:pStyle w:val="Subsection"/>
      </w:pPr>
      <w:r>
        <w:tab/>
        <w:t>(3)</w:t>
      </w:r>
      <w:r>
        <w:tab/>
        <w:t xml:space="preserve">In this regulation — </w:t>
      </w:r>
    </w:p>
    <w:p>
      <w:pPr>
        <w:pStyle w:val="Defstart"/>
      </w:pPr>
      <w:r>
        <w:tab/>
      </w:r>
      <w:r>
        <w:rPr>
          <w:rStyle w:val="CharDefText"/>
        </w:rPr>
        <w:t>written examination</w:t>
      </w:r>
      <w:r>
        <w:t xml:space="preserve"> means a written examination — </w:t>
      </w:r>
    </w:p>
    <w:p>
      <w:pPr>
        <w:pStyle w:val="Defpara"/>
      </w:pPr>
      <w:r>
        <w:tab/>
        <w:t>(a)</w:t>
      </w:r>
      <w:r>
        <w:tab/>
        <w:t>set by the Superintendent or by a course provider approved under regulation 16(3) to test the applicant’s knowledge of the relevant subject matter; and</w:t>
      </w:r>
    </w:p>
    <w:p>
      <w:pPr>
        <w:pStyle w:val="Defpara"/>
      </w:pPr>
      <w:r>
        <w:tab/>
        <w:t>(b)</w:t>
      </w:r>
      <w:r>
        <w:tab/>
        <w:t>administered by the person to whom the application for the issue of the relevant licence is made under regulation 14 or, in the case of a written examination set by a course provider approved under regulation 16(3), by that course provider.</w:t>
      </w:r>
    </w:p>
    <w:p>
      <w:pPr>
        <w:pStyle w:val="Footnotesection"/>
        <w:ind w:left="890" w:hanging="890"/>
      </w:pPr>
      <w:r>
        <w:tab/>
        <w:t>[Regulation 17 amended: Gazette 4 Dec 2009 p. 4895</w:t>
      </w:r>
      <w:r>
        <w:noBreakHyphen/>
        <w:t>6; 29 Jul 2016 p. 3246-7.]</w:t>
      </w:r>
    </w:p>
    <w:p>
      <w:pPr>
        <w:pStyle w:val="Heading5"/>
        <w:spacing w:before="240"/>
      </w:pPr>
      <w:bookmarkStart w:id="49" w:name="_Toc121999971"/>
      <w:r>
        <w:rPr>
          <w:rStyle w:val="CharSectno"/>
        </w:rPr>
        <w:lastRenderedPageBreak/>
        <w:t>18</w:t>
      </w:r>
      <w:r>
        <w:t>.</w:t>
      </w:r>
      <w:r>
        <w:tab/>
        <w:t>Evidence of age and identity prescribed (Act s. 47(1)(a))</w:t>
      </w:r>
      <w:bookmarkEnd w:id="49"/>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pStyle w:val="TableNAm"/>
            </w:pPr>
          </w:p>
        </w:tc>
        <w:tc>
          <w:tcPr>
            <w:tcW w:w="4678" w:type="dxa"/>
            <w:tcBorders>
              <w:top w:val="nil"/>
              <w:left w:val="nil"/>
              <w:bottom w:val="single" w:sz="4" w:space="0" w:color="auto"/>
              <w:right w:val="nil"/>
            </w:tcBorders>
          </w:tcPr>
          <w:p>
            <w:pPr>
              <w:pStyle w:val="TableNAm"/>
            </w:pP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lastRenderedPageBreak/>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A diplomatic document bearing the name, date of birth and a photograph of the applicant that has been issued by a government agency to provide evidence of the person’s legal entitlement to enter Australia.</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A current identity card or licence bearing the name and date of birth of the applicant that has been issued by a government agency outside Australia.</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lastRenderedPageBreak/>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Gazette 4 Dec 2009 p. 4896</w:t>
      </w:r>
      <w:r>
        <w:noBreakHyphen/>
        <w:t>8; amended: Gazette 5 Aug 2014 p. 2834.]</w:t>
      </w:r>
    </w:p>
    <w:p>
      <w:pPr>
        <w:pStyle w:val="Heading5"/>
        <w:spacing w:before="170"/>
      </w:pPr>
      <w:bookmarkStart w:id="50" w:name="_Toc121999972"/>
      <w:r>
        <w:rPr>
          <w:rStyle w:val="CharSectno"/>
        </w:rPr>
        <w:t>19</w:t>
      </w:r>
      <w:r>
        <w:t>.</w:t>
      </w:r>
      <w:r>
        <w:tab/>
        <w:t>Manner of lodging application for renewal prescribed (Act s. 49(1))</w:t>
      </w:r>
      <w:bookmarkEnd w:id="50"/>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Gazette 1 Sep 2005 p. 4077.]</w:t>
      </w:r>
    </w:p>
    <w:p>
      <w:pPr>
        <w:pStyle w:val="Heading5"/>
        <w:spacing w:before="170"/>
        <w:rPr>
          <w:snapToGrid w:val="0"/>
        </w:rPr>
      </w:pPr>
      <w:bookmarkStart w:id="51" w:name="_Toc121999973"/>
      <w:r>
        <w:rPr>
          <w:rStyle w:val="CharSectno"/>
        </w:rPr>
        <w:t>20</w:t>
      </w:r>
      <w:r>
        <w:rPr>
          <w:snapToGrid w:val="0"/>
        </w:rPr>
        <w:t>.</w:t>
      </w:r>
      <w:r>
        <w:rPr>
          <w:snapToGrid w:val="0"/>
        </w:rPr>
        <w:tab/>
        <w:t>Material to support application for renewal of licence (Act s. 50(1))</w:t>
      </w:r>
      <w:bookmarkEnd w:id="51"/>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52" w:name="_Toc121999974"/>
      <w:r>
        <w:rPr>
          <w:rStyle w:val="CharSectno"/>
        </w:rPr>
        <w:t>21</w:t>
      </w:r>
      <w:r>
        <w:t>.</w:t>
      </w:r>
      <w:r>
        <w:tab/>
        <w:t>Conditions and restrictions prescribed (Act s. 63)</w:t>
      </w:r>
      <w:bookmarkEnd w:id="52"/>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lastRenderedPageBreak/>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Gazette 3 Oct 2006 p. 4346; amended: Gazette 4 Dec 2009 p. 4898.]</w:t>
      </w:r>
    </w:p>
    <w:p>
      <w:pPr>
        <w:pStyle w:val="Heading3"/>
      </w:pPr>
      <w:bookmarkStart w:id="53" w:name="_Toc121993808"/>
      <w:bookmarkStart w:id="54" w:name="_Toc121994815"/>
      <w:bookmarkStart w:id="55" w:name="_Toc121999567"/>
      <w:bookmarkStart w:id="56" w:name="_Toc121999975"/>
      <w:r>
        <w:rPr>
          <w:rStyle w:val="CharDivNo"/>
        </w:rPr>
        <w:t>Division 2</w:t>
      </w:r>
      <w:r>
        <w:t> — </w:t>
      </w:r>
      <w:r>
        <w:rPr>
          <w:rStyle w:val="CharDivText"/>
        </w:rPr>
        <w:t>Temporary licences</w:t>
      </w:r>
      <w:bookmarkEnd w:id="53"/>
      <w:bookmarkEnd w:id="54"/>
      <w:bookmarkEnd w:id="55"/>
      <w:bookmarkEnd w:id="56"/>
    </w:p>
    <w:p>
      <w:pPr>
        <w:pStyle w:val="Footnoteheading"/>
      </w:pPr>
      <w:r>
        <w:tab/>
        <w:t>[Heading inserted: Gazette 4 Dec 2009 p. 4898.]</w:t>
      </w:r>
    </w:p>
    <w:p>
      <w:pPr>
        <w:pStyle w:val="Heading5"/>
        <w:spacing w:before="240"/>
      </w:pPr>
      <w:bookmarkStart w:id="57" w:name="_Toc121999976"/>
      <w:r>
        <w:rPr>
          <w:rStyle w:val="CharSectno"/>
        </w:rPr>
        <w:t>22</w:t>
      </w:r>
      <w:r>
        <w:t>.</w:t>
      </w:r>
      <w:r>
        <w:tab/>
        <w:t>Manner of lodging application for temporary licence prescribed (Act s. 46(1))</w:t>
      </w:r>
      <w:bookmarkEnd w:id="57"/>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Gazette 4 Dec 2009 p. 4898.]</w:t>
      </w:r>
    </w:p>
    <w:p>
      <w:pPr>
        <w:pStyle w:val="Heading5"/>
        <w:spacing w:before="240"/>
      </w:pPr>
      <w:bookmarkStart w:id="58" w:name="_Toc121999977"/>
      <w:r>
        <w:rPr>
          <w:rStyle w:val="CharSectno"/>
        </w:rPr>
        <w:t>23</w:t>
      </w:r>
      <w:r>
        <w:t>.</w:t>
      </w:r>
      <w:r>
        <w:tab/>
        <w:t>Evidence prescribed (Act s. 47(2a))</w:t>
      </w:r>
      <w:bookmarkEnd w:id="58"/>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lastRenderedPageBreak/>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Gazette 4 Dec 2009 p. 4899.]</w:t>
      </w:r>
    </w:p>
    <w:p>
      <w:pPr>
        <w:pStyle w:val="Heading2"/>
      </w:pPr>
      <w:bookmarkStart w:id="59" w:name="_Toc121993811"/>
      <w:bookmarkStart w:id="60" w:name="_Toc121994818"/>
      <w:bookmarkStart w:id="61" w:name="_Toc121999570"/>
      <w:bookmarkStart w:id="62" w:name="_Toc121999978"/>
      <w:r>
        <w:rPr>
          <w:rStyle w:val="CharPartNo"/>
        </w:rPr>
        <w:lastRenderedPageBreak/>
        <w:t>Part 5A</w:t>
      </w:r>
      <w:r>
        <w:rPr>
          <w:rStyle w:val="CharDivNo"/>
        </w:rPr>
        <w:t> </w:t>
      </w:r>
      <w:r>
        <w:t>—</w:t>
      </w:r>
      <w:r>
        <w:rPr>
          <w:rStyle w:val="CharDivText"/>
        </w:rPr>
        <w:t> </w:t>
      </w:r>
      <w:r>
        <w:rPr>
          <w:rStyle w:val="CharPartText"/>
        </w:rPr>
        <w:t>Disqualifying offences and disqualifying periods</w:t>
      </w:r>
      <w:bookmarkEnd w:id="59"/>
      <w:bookmarkEnd w:id="60"/>
      <w:bookmarkEnd w:id="61"/>
      <w:bookmarkEnd w:id="62"/>
    </w:p>
    <w:p>
      <w:pPr>
        <w:pStyle w:val="Footnoteheading"/>
      </w:pPr>
      <w:r>
        <w:tab/>
        <w:t>[Heading inserted: Gazette 4 Dec 2009 p. 4900.]</w:t>
      </w:r>
    </w:p>
    <w:p>
      <w:pPr>
        <w:pStyle w:val="Heading5"/>
      </w:pPr>
      <w:bookmarkStart w:id="63" w:name="_Toc121999979"/>
      <w:r>
        <w:rPr>
          <w:rStyle w:val="CharSectno"/>
        </w:rPr>
        <w:t>24</w:t>
      </w:r>
      <w:r>
        <w:t>.</w:t>
      </w:r>
      <w:r>
        <w:tab/>
        <w:t>Disqualifying offences prescribed (Act s. 3)</w:t>
      </w:r>
      <w:bookmarkEnd w:id="63"/>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the Commonwealth, another State or a Territory or of another country which, regardless of where it was committed, would have constituted an offence described in Schedule 2.</w:t>
      </w:r>
    </w:p>
    <w:p>
      <w:pPr>
        <w:pStyle w:val="Footnotesection"/>
        <w:keepLines w:val="0"/>
      </w:pPr>
      <w:r>
        <w:tab/>
        <w:t>[Regulation 24 inserted: Gazette 4 Dec 2009 p. 4900; amended: Gazette 29 Jul 2016 p. 3247.]</w:t>
      </w:r>
    </w:p>
    <w:p>
      <w:pPr>
        <w:pStyle w:val="Heading5"/>
      </w:pPr>
      <w:bookmarkStart w:id="64" w:name="_Toc121999980"/>
      <w:r>
        <w:rPr>
          <w:rStyle w:val="CharSectno"/>
        </w:rPr>
        <w:t>25</w:t>
      </w:r>
      <w:r>
        <w:t>.</w:t>
      </w:r>
      <w:r>
        <w:tab/>
        <w:t>Disqualifying periods prescribed (Act s. 4A)</w:t>
      </w:r>
      <w:bookmarkEnd w:id="64"/>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lastRenderedPageBreak/>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Gazette 4 Dec 2009 p. 4900</w:t>
      </w:r>
      <w:r>
        <w:noBreakHyphen/>
        <w:t>1; amended: Gazette 22 Jun 2010 p. 2784.]</w:t>
      </w:r>
    </w:p>
    <w:p>
      <w:pPr>
        <w:pStyle w:val="Heading2"/>
      </w:pPr>
      <w:bookmarkStart w:id="65" w:name="_Toc121993814"/>
      <w:bookmarkStart w:id="66" w:name="_Toc121994821"/>
      <w:bookmarkStart w:id="67" w:name="_Toc121999573"/>
      <w:bookmarkStart w:id="68" w:name="_Toc121999981"/>
      <w:r>
        <w:rPr>
          <w:rStyle w:val="CharPartNo"/>
        </w:rPr>
        <w:lastRenderedPageBreak/>
        <w:t>Part 5</w:t>
      </w:r>
      <w:r>
        <w:rPr>
          <w:rStyle w:val="CharDivNo"/>
        </w:rPr>
        <w:t> </w:t>
      </w:r>
      <w:r>
        <w:t>—</w:t>
      </w:r>
      <w:r>
        <w:rPr>
          <w:rStyle w:val="CharDivText"/>
        </w:rPr>
        <w:t> </w:t>
      </w:r>
      <w:r>
        <w:rPr>
          <w:rStyle w:val="CharPartText"/>
        </w:rPr>
        <w:t>Classes of licence</w:t>
      </w:r>
      <w:bookmarkEnd w:id="65"/>
      <w:bookmarkEnd w:id="66"/>
      <w:bookmarkEnd w:id="67"/>
      <w:bookmarkEnd w:id="68"/>
    </w:p>
    <w:p>
      <w:pPr>
        <w:pStyle w:val="Footnoteheading"/>
      </w:pPr>
      <w:r>
        <w:tab/>
        <w:t>[Heading inserted: Gazette 4 Dec 2009 p. 4901.]</w:t>
      </w:r>
    </w:p>
    <w:p>
      <w:pPr>
        <w:pStyle w:val="Heading5"/>
      </w:pPr>
      <w:bookmarkStart w:id="69" w:name="_Toc121999982"/>
      <w:r>
        <w:rPr>
          <w:rStyle w:val="CharSectno"/>
        </w:rPr>
        <w:t>26</w:t>
      </w:r>
      <w:r>
        <w:t>.</w:t>
      </w:r>
      <w:r>
        <w:tab/>
        <w:t>Security consultant’s licence, classes of</w:t>
      </w:r>
      <w:bookmarkEnd w:id="69"/>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Gazette 4 Dec 2009 p. 4901</w:t>
      </w:r>
      <w:r>
        <w:noBreakHyphen/>
        <w:t>2.]</w:t>
      </w:r>
    </w:p>
    <w:p>
      <w:pPr>
        <w:pStyle w:val="Heading5"/>
      </w:pPr>
      <w:bookmarkStart w:id="70" w:name="_Toc121999983"/>
      <w:r>
        <w:rPr>
          <w:rStyle w:val="CharSectno"/>
        </w:rPr>
        <w:lastRenderedPageBreak/>
        <w:t>27</w:t>
      </w:r>
      <w:r>
        <w:t>.</w:t>
      </w:r>
      <w:r>
        <w:tab/>
        <w:t>Security installer’s licence, classes of</w:t>
      </w:r>
      <w:bookmarkEnd w:id="70"/>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Gazette 4 Dec 2009 p. 4902</w:t>
      </w:r>
      <w:r>
        <w:noBreakHyphen/>
        <w:t>3.]</w:t>
      </w:r>
    </w:p>
    <w:p>
      <w:pPr>
        <w:pStyle w:val="Ednotesection"/>
      </w:pPr>
      <w:r>
        <w:t>[</w:t>
      </w:r>
      <w:r>
        <w:rPr>
          <w:b/>
          <w:bCs/>
        </w:rPr>
        <w:t>28</w:t>
      </w:r>
      <w:r>
        <w:rPr>
          <w:b/>
          <w:bCs/>
        </w:rPr>
        <w:noBreakHyphen/>
        <w:t>34.</w:t>
      </w:r>
      <w:r>
        <w:rPr>
          <w:b/>
          <w:bCs/>
        </w:rPr>
        <w:tab/>
      </w:r>
      <w:r>
        <w:t>Deleted: Gazette 30 Dec 2004 p. 6977.]</w:t>
      </w:r>
    </w:p>
    <w:p>
      <w:pPr>
        <w:pStyle w:val="Heading2"/>
      </w:pPr>
      <w:bookmarkStart w:id="71" w:name="_Toc121993817"/>
      <w:bookmarkStart w:id="72" w:name="_Toc121994824"/>
      <w:bookmarkStart w:id="73" w:name="_Toc121999576"/>
      <w:bookmarkStart w:id="74" w:name="_Toc121999984"/>
      <w:r>
        <w:rPr>
          <w:rStyle w:val="CharPartNo"/>
        </w:rPr>
        <w:lastRenderedPageBreak/>
        <w:t>Part 6</w:t>
      </w:r>
      <w:r>
        <w:rPr>
          <w:rStyle w:val="CharDivNo"/>
        </w:rPr>
        <w:t> </w:t>
      </w:r>
      <w:r>
        <w:t>—</w:t>
      </w:r>
      <w:r>
        <w:rPr>
          <w:rStyle w:val="CharDivText"/>
        </w:rPr>
        <w:t> </w:t>
      </w:r>
      <w:r>
        <w:rPr>
          <w:rStyle w:val="CharPartText"/>
        </w:rPr>
        <w:t>Records</w:t>
      </w:r>
      <w:bookmarkEnd w:id="71"/>
      <w:bookmarkEnd w:id="72"/>
      <w:bookmarkEnd w:id="73"/>
      <w:bookmarkEnd w:id="74"/>
    </w:p>
    <w:p>
      <w:pPr>
        <w:pStyle w:val="Heading5"/>
        <w:rPr>
          <w:snapToGrid w:val="0"/>
        </w:rPr>
      </w:pPr>
      <w:bookmarkStart w:id="75" w:name="_Toc121999985"/>
      <w:r>
        <w:rPr>
          <w:rStyle w:val="CharSectno"/>
        </w:rPr>
        <w:t>35</w:t>
      </w:r>
      <w:r>
        <w:rPr>
          <w:snapToGrid w:val="0"/>
        </w:rPr>
        <w:t>.</w:t>
      </w:r>
      <w:r>
        <w:rPr>
          <w:snapToGrid w:val="0"/>
        </w:rPr>
        <w:tab/>
        <w:t>Records to be kept by security agent prescribed (Act s. 78(1)(a))</w:t>
      </w:r>
      <w:bookmarkEnd w:id="75"/>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Gazette 4 Dec 2009 p. 4903.]</w:t>
      </w:r>
    </w:p>
    <w:p>
      <w:pPr>
        <w:pStyle w:val="Heading5"/>
        <w:rPr>
          <w:snapToGrid w:val="0"/>
        </w:rPr>
      </w:pPr>
      <w:bookmarkStart w:id="76" w:name="_Toc121999986"/>
      <w:r>
        <w:rPr>
          <w:rStyle w:val="CharSectno"/>
        </w:rPr>
        <w:t>36</w:t>
      </w:r>
      <w:r>
        <w:rPr>
          <w:snapToGrid w:val="0"/>
        </w:rPr>
        <w:t>.</w:t>
      </w:r>
      <w:r>
        <w:rPr>
          <w:snapToGrid w:val="0"/>
        </w:rPr>
        <w:tab/>
        <w:t>Firearms register, content of</w:t>
      </w:r>
      <w:bookmarkEnd w:id="76"/>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lastRenderedPageBreak/>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Gazette 1 Sep 2005 p. 4077</w:t>
      </w:r>
      <w:r>
        <w:noBreakHyphen/>
        <w:t>8.]</w:t>
      </w:r>
    </w:p>
    <w:p>
      <w:pPr>
        <w:pStyle w:val="Heading5"/>
        <w:rPr>
          <w:snapToGrid w:val="0"/>
        </w:rPr>
      </w:pPr>
      <w:bookmarkStart w:id="77" w:name="_Toc121999987"/>
      <w:r>
        <w:rPr>
          <w:rStyle w:val="CharSectno"/>
        </w:rPr>
        <w:t>37</w:t>
      </w:r>
      <w:r>
        <w:rPr>
          <w:snapToGrid w:val="0"/>
        </w:rPr>
        <w:t>.</w:t>
      </w:r>
      <w:r>
        <w:rPr>
          <w:snapToGrid w:val="0"/>
        </w:rPr>
        <w:tab/>
        <w:t>Alarm surveillance register, content of</w:t>
      </w:r>
      <w:bookmarkEnd w:id="77"/>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lastRenderedPageBreak/>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lastRenderedPageBreak/>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Gazette 1 Sep 2005 p. 4078</w:t>
      </w:r>
      <w:r>
        <w:noBreakHyphen/>
        <w:t>80.]</w:t>
      </w:r>
    </w:p>
    <w:p>
      <w:pPr>
        <w:pStyle w:val="Heading5"/>
      </w:pPr>
      <w:bookmarkStart w:id="78" w:name="_Toc121999988"/>
      <w:r>
        <w:rPr>
          <w:rStyle w:val="CharSectno"/>
        </w:rPr>
        <w:t>38A</w:t>
      </w:r>
      <w:r>
        <w:t>.</w:t>
      </w:r>
      <w:r>
        <w:tab/>
        <w:t xml:space="preserve">Guard dog register, </w:t>
      </w:r>
      <w:r>
        <w:rPr>
          <w:snapToGrid w:val="0"/>
        </w:rPr>
        <w:t>content of</w:t>
      </w:r>
      <w:bookmarkEnd w:id="78"/>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Gazette 4 Dec 2009 p. 4903</w:t>
      </w:r>
      <w:r>
        <w:noBreakHyphen/>
        <w:t>4.]</w:t>
      </w:r>
    </w:p>
    <w:p>
      <w:pPr>
        <w:pStyle w:val="Heading5"/>
        <w:keepNext w:val="0"/>
        <w:keepLines w:val="0"/>
        <w:pageBreakBefore/>
        <w:spacing w:before="0"/>
        <w:rPr>
          <w:snapToGrid w:val="0"/>
        </w:rPr>
      </w:pPr>
      <w:bookmarkStart w:id="79" w:name="_Toc121999989"/>
      <w:r>
        <w:rPr>
          <w:rStyle w:val="CharSectno"/>
        </w:rPr>
        <w:lastRenderedPageBreak/>
        <w:t>38</w:t>
      </w:r>
      <w:r>
        <w:rPr>
          <w:snapToGrid w:val="0"/>
        </w:rPr>
        <w:t>.</w:t>
      </w:r>
      <w:r>
        <w:rPr>
          <w:snapToGrid w:val="0"/>
        </w:rPr>
        <w:tab/>
        <w:t>General records of security agent</w:t>
      </w:r>
      <w:bookmarkEnd w:id="79"/>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lastRenderedPageBreak/>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Gazette 1 Sep 2005 p. 4080; 3 Oct 2006 p. 4346; 4 Dec 2009 p. 4904</w:t>
      </w:r>
      <w:r>
        <w:noBreakHyphen/>
        <w:t>5.]</w:t>
      </w:r>
    </w:p>
    <w:p>
      <w:pPr>
        <w:pStyle w:val="Heading5"/>
        <w:rPr>
          <w:snapToGrid w:val="0"/>
        </w:rPr>
      </w:pPr>
      <w:bookmarkStart w:id="80" w:name="_Toc121999990"/>
      <w:r>
        <w:rPr>
          <w:rStyle w:val="CharSectno"/>
        </w:rPr>
        <w:t>39</w:t>
      </w:r>
      <w:r>
        <w:rPr>
          <w:snapToGrid w:val="0"/>
        </w:rPr>
        <w:t>.</w:t>
      </w:r>
      <w:r>
        <w:rPr>
          <w:snapToGrid w:val="0"/>
        </w:rPr>
        <w:tab/>
        <w:t>Records to be kept by crowd control agent prescribed (Act s. 78(1)(a))</w:t>
      </w:r>
      <w:bookmarkEnd w:id="80"/>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Gazette 1 Sep 2005 p. 4080.]</w:t>
      </w:r>
    </w:p>
    <w:p>
      <w:pPr>
        <w:pStyle w:val="Heading5"/>
        <w:rPr>
          <w:snapToGrid w:val="0"/>
        </w:rPr>
      </w:pPr>
      <w:bookmarkStart w:id="81" w:name="_Toc121999991"/>
      <w:r>
        <w:rPr>
          <w:rStyle w:val="CharSectno"/>
        </w:rPr>
        <w:t>40</w:t>
      </w:r>
      <w:r>
        <w:rPr>
          <w:snapToGrid w:val="0"/>
        </w:rPr>
        <w:t>.</w:t>
      </w:r>
      <w:r>
        <w:rPr>
          <w:snapToGrid w:val="0"/>
        </w:rPr>
        <w:tab/>
        <w:t>Incident register, content of</w:t>
      </w:r>
      <w:bookmarkEnd w:id="81"/>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lastRenderedPageBreak/>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for this subregulation: a fine of $2 000.</w:t>
      </w:r>
    </w:p>
    <w:p>
      <w:pPr>
        <w:pStyle w:val="Subsection"/>
      </w:pPr>
      <w:r>
        <w:tab/>
        <w:t>(2A)</w:t>
      </w:r>
      <w:r>
        <w:tab/>
        <w:t xml:space="preserve">Subregulations (1) and (2) do not apply if the details of an incident that would otherwise have to be recorded in the register in accordance with those subregulations are already recorded in the register of incidents maintained at licensed premises under the </w:t>
      </w:r>
      <w:r>
        <w:rPr>
          <w:i/>
        </w:rPr>
        <w:t>Liquor Control Act 1988</w:t>
      </w:r>
      <w:r>
        <w:t xml:space="preserve"> section 116A.</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t>
      </w:r>
      <w:r>
        <w:rPr>
          <w:snapToGrid w:val="0"/>
        </w:rPr>
        <w:lastRenderedPageBreak/>
        <w:t xml:space="preserve">which involves physical contact between the crowd controller and the person being removed or prevented from entering. </w:t>
      </w:r>
    </w:p>
    <w:p>
      <w:pPr>
        <w:pStyle w:val="Footnotesection"/>
      </w:pPr>
      <w:r>
        <w:tab/>
        <w:t>[Regulation 40 amended: Gazette 1 Sep 2005 p. 4081</w:t>
      </w:r>
      <w:r>
        <w:noBreakHyphen/>
        <w:t>2; 29 Jul 2016 p. 3248.]</w:t>
      </w:r>
    </w:p>
    <w:p>
      <w:pPr>
        <w:pStyle w:val="Heading5"/>
        <w:spacing w:before="180"/>
        <w:rPr>
          <w:snapToGrid w:val="0"/>
        </w:rPr>
      </w:pPr>
      <w:bookmarkStart w:id="82" w:name="_Toc121999992"/>
      <w:r>
        <w:rPr>
          <w:rStyle w:val="CharSectno"/>
        </w:rPr>
        <w:t>41</w:t>
      </w:r>
      <w:r>
        <w:rPr>
          <w:snapToGrid w:val="0"/>
        </w:rPr>
        <w:t>.</w:t>
      </w:r>
      <w:r>
        <w:rPr>
          <w:snapToGrid w:val="0"/>
        </w:rPr>
        <w:tab/>
        <w:t>General records of crowd control agent</w:t>
      </w:r>
      <w:bookmarkEnd w:id="82"/>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Gazette 1 Sep 2005 p. 4082; 4 Dec 2009 p. 4905</w:t>
      </w:r>
      <w:r>
        <w:noBreakHyphen/>
        <w:t>6.]</w:t>
      </w:r>
    </w:p>
    <w:p>
      <w:pPr>
        <w:pStyle w:val="Heading5"/>
        <w:spacing w:before="180"/>
        <w:rPr>
          <w:snapToGrid w:val="0"/>
        </w:rPr>
      </w:pPr>
      <w:bookmarkStart w:id="83" w:name="_Toc121999993"/>
      <w:r>
        <w:rPr>
          <w:rStyle w:val="CharSectno"/>
        </w:rPr>
        <w:lastRenderedPageBreak/>
        <w:t>42</w:t>
      </w:r>
      <w:r>
        <w:rPr>
          <w:snapToGrid w:val="0"/>
        </w:rPr>
        <w:t>.</w:t>
      </w:r>
      <w:r>
        <w:rPr>
          <w:snapToGrid w:val="0"/>
        </w:rPr>
        <w:tab/>
        <w:t>Records to be kept by inquiry agent prescribed (Act s. 78(1)(a))</w:t>
      </w:r>
      <w:bookmarkEnd w:id="83"/>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Gazette 1 Sep 2005 p. 4083.]</w:t>
      </w:r>
    </w:p>
    <w:p>
      <w:pPr>
        <w:pStyle w:val="Heading5"/>
        <w:rPr>
          <w:snapToGrid w:val="0"/>
        </w:rPr>
      </w:pPr>
      <w:bookmarkStart w:id="84" w:name="_Toc121999994"/>
      <w:r>
        <w:rPr>
          <w:rStyle w:val="CharSectno"/>
        </w:rPr>
        <w:t>43</w:t>
      </w:r>
      <w:r>
        <w:rPr>
          <w:snapToGrid w:val="0"/>
        </w:rPr>
        <w:t>.</w:t>
      </w:r>
      <w:r>
        <w:rPr>
          <w:snapToGrid w:val="0"/>
        </w:rPr>
        <w:tab/>
        <w:t>Records to be kept by person for whom licensed crowd controller provides services prescribed (Act s. 84(a))</w:t>
      </w:r>
      <w:bookmarkEnd w:id="84"/>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Gazette 1 Sep 2005 p. 4083.]</w:t>
      </w:r>
    </w:p>
    <w:p>
      <w:pPr>
        <w:pStyle w:val="Heading5"/>
      </w:pPr>
      <w:bookmarkStart w:id="85" w:name="_Toc121999995"/>
      <w:r>
        <w:rPr>
          <w:rStyle w:val="CharSectno"/>
        </w:rPr>
        <w:t>44A</w:t>
      </w:r>
      <w:r>
        <w:t>.</w:t>
      </w:r>
      <w:r>
        <w:tab/>
        <w:t>Notification of address where records held (Act s. 78(2))</w:t>
      </w:r>
      <w:bookmarkEnd w:id="85"/>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Gazette 4 Dec 2009 p. 4906.]</w:t>
      </w:r>
    </w:p>
    <w:p>
      <w:pPr>
        <w:pStyle w:val="Heading2"/>
      </w:pPr>
      <w:bookmarkStart w:id="86" w:name="_Toc121993829"/>
      <w:bookmarkStart w:id="87" w:name="_Toc121994836"/>
      <w:bookmarkStart w:id="88" w:name="_Toc121999588"/>
      <w:bookmarkStart w:id="89" w:name="_Toc121999996"/>
      <w:r>
        <w:rPr>
          <w:rStyle w:val="CharPartNo"/>
        </w:rPr>
        <w:lastRenderedPageBreak/>
        <w:t>Part 7</w:t>
      </w:r>
      <w:r>
        <w:rPr>
          <w:rStyle w:val="CharDivNo"/>
        </w:rPr>
        <w:t> </w:t>
      </w:r>
      <w:r>
        <w:t>—</w:t>
      </w:r>
      <w:r>
        <w:rPr>
          <w:rStyle w:val="CharDivText"/>
        </w:rPr>
        <w:t> </w:t>
      </w:r>
      <w:r>
        <w:rPr>
          <w:rStyle w:val="CharPartText"/>
        </w:rPr>
        <w:t>Drug testing</w:t>
      </w:r>
      <w:bookmarkEnd w:id="86"/>
      <w:bookmarkEnd w:id="87"/>
      <w:bookmarkEnd w:id="88"/>
      <w:bookmarkEnd w:id="89"/>
      <w:r>
        <w:rPr>
          <w:rStyle w:val="CharPartText"/>
        </w:rPr>
        <w:t xml:space="preserve"> </w:t>
      </w:r>
    </w:p>
    <w:p>
      <w:pPr>
        <w:pStyle w:val="Heading5"/>
        <w:spacing w:before="240"/>
        <w:rPr>
          <w:snapToGrid w:val="0"/>
        </w:rPr>
      </w:pPr>
      <w:bookmarkStart w:id="90" w:name="_Toc121999997"/>
      <w:r>
        <w:rPr>
          <w:rStyle w:val="CharSectno"/>
        </w:rPr>
        <w:t>44</w:t>
      </w:r>
      <w:r>
        <w:rPr>
          <w:snapToGrid w:val="0"/>
        </w:rPr>
        <w:t>.</w:t>
      </w:r>
      <w:r>
        <w:rPr>
          <w:snapToGrid w:val="0"/>
        </w:rPr>
        <w:tab/>
        <w:t>Terms used</w:t>
      </w:r>
      <w:bookmarkEnd w:id="9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the </w:t>
      </w:r>
      <w:r>
        <w:rPr>
          <w:i/>
        </w:rPr>
        <w:t xml:space="preserve">Health (Miscellaneous Provisions) Act 1911 </w:t>
      </w:r>
      <w:r>
        <w:t>section 203;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Gazette 28 Apr 2006 p. 1657; 4 Dec 2009 p. 4906; 10 Jan 2017 p. 224.]</w:t>
      </w:r>
    </w:p>
    <w:p>
      <w:pPr>
        <w:pStyle w:val="Heading5"/>
        <w:keepLines w:val="0"/>
        <w:pageBreakBefore/>
        <w:spacing w:before="0"/>
        <w:rPr>
          <w:snapToGrid w:val="0"/>
        </w:rPr>
      </w:pPr>
      <w:bookmarkStart w:id="91" w:name="_Toc121999998"/>
      <w:r>
        <w:rPr>
          <w:rStyle w:val="CharSectno"/>
        </w:rPr>
        <w:lastRenderedPageBreak/>
        <w:t>45</w:t>
      </w:r>
      <w:r>
        <w:rPr>
          <w:snapToGrid w:val="0"/>
        </w:rPr>
        <w:t>.</w:t>
      </w:r>
      <w:r>
        <w:rPr>
          <w:snapToGrid w:val="0"/>
        </w:rPr>
        <w:tab/>
        <w:t>Drugs prescribed (Act s. 80)</w:t>
      </w:r>
      <w:bookmarkEnd w:id="91"/>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92" w:name="_Toc121999999"/>
      <w:r>
        <w:rPr>
          <w:rStyle w:val="CharSectno"/>
        </w:rPr>
        <w:t>46</w:t>
      </w:r>
      <w:r>
        <w:rPr>
          <w:snapToGrid w:val="0"/>
        </w:rPr>
        <w:t>.</w:t>
      </w:r>
      <w:r>
        <w:rPr>
          <w:snapToGrid w:val="0"/>
        </w:rPr>
        <w:tab/>
        <w:t>Approval of technologists, sample collectors and analysts</w:t>
      </w:r>
      <w:bookmarkEnd w:id="92"/>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rPr>
        <w:t>Health (Miscellaneous Provisions) Act 1911</w:t>
      </w:r>
      <w:r>
        <w:t xml:space="preserve">) </w:t>
      </w:r>
      <w:r>
        <w:rPr>
          <w:snapToGrid w:val="0"/>
        </w:rPr>
        <w:t>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lastRenderedPageBreak/>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Gazette 4 Dec 2009 p. 4907; 10 Jan 2017 p. 224.]</w:t>
      </w:r>
    </w:p>
    <w:p>
      <w:pPr>
        <w:pStyle w:val="Heading5"/>
        <w:rPr>
          <w:snapToGrid w:val="0"/>
        </w:rPr>
      </w:pPr>
      <w:bookmarkStart w:id="93" w:name="_Toc122000000"/>
      <w:r>
        <w:rPr>
          <w:rStyle w:val="CharSectno"/>
        </w:rPr>
        <w:t>47</w:t>
      </w:r>
      <w:r>
        <w:rPr>
          <w:snapToGrid w:val="0"/>
        </w:rPr>
        <w:t>.</w:t>
      </w:r>
      <w:r>
        <w:rPr>
          <w:snapToGrid w:val="0"/>
        </w:rPr>
        <w:tab/>
        <w:t>Blood and urine sampling equipment prescribed</w:t>
      </w:r>
      <w:bookmarkEnd w:id="93"/>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Gazette 28 Apr 2006 p. 1657.]</w:t>
      </w:r>
    </w:p>
    <w:p>
      <w:pPr>
        <w:pStyle w:val="Heading5"/>
        <w:keepLines w:val="0"/>
        <w:spacing w:before="240"/>
        <w:rPr>
          <w:snapToGrid w:val="0"/>
        </w:rPr>
      </w:pPr>
      <w:bookmarkStart w:id="94" w:name="_Toc122000001"/>
      <w:r>
        <w:rPr>
          <w:rStyle w:val="CharSectno"/>
        </w:rPr>
        <w:t>48</w:t>
      </w:r>
      <w:r>
        <w:rPr>
          <w:snapToGrid w:val="0"/>
        </w:rPr>
        <w:t>.</w:t>
      </w:r>
      <w:r>
        <w:rPr>
          <w:snapToGrid w:val="0"/>
        </w:rPr>
        <w:tab/>
        <w:t>Preparation and use of sampling equipment</w:t>
      </w:r>
      <w:bookmarkEnd w:id="94"/>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lastRenderedPageBreak/>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Gazette 28 Apr 2006 p. 1657.]</w:t>
      </w:r>
    </w:p>
    <w:p>
      <w:pPr>
        <w:pStyle w:val="Heading5"/>
        <w:spacing w:before="240"/>
      </w:pPr>
      <w:bookmarkStart w:id="95" w:name="_Toc122000002"/>
      <w:r>
        <w:rPr>
          <w:rStyle w:val="CharSectno"/>
        </w:rPr>
        <w:t>48A</w:t>
      </w:r>
      <w:r>
        <w:t>.</w:t>
      </w:r>
      <w:r>
        <w:tab/>
        <w:t>Licensee to produce identity card when giving blood or urine sample under direction given under Act s. 80</w:t>
      </w:r>
      <w:bookmarkEnd w:id="95"/>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Gazette 1 Sep 2005 p. 4083</w:t>
      </w:r>
      <w:r>
        <w:noBreakHyphen/>
        <w:t>4; amended: Gazette 4 Dec 2009 p. 4907.]</w:t>
      </w:r>
    </w:p>
    <w:p>
      <w:pPr>
        <w:pStyle w:val="Heading5"/>
        <w:keepNext w:val="0"/>
        <w:keepLines w:val="0"/>
        <w:pageBreakBefore/>
        <w:spacing w:before="0"/>
        <w:rPr>
          <w:snapToGrid w:val="0"/>
        </w:rPr>
      </w:pPr>
      <w:bookmarkStart w:id="96" w:name="_Toc122000003"/>
      <w:r>
        <w:rPr>
          <w:rStyle w:val="CharSectno"/>
        </w:rPr>
        <w:lastRenderedPageBreak/>
        <w:t>49</w:t>
      </w:r>
      <w:r>
        <w:rPr>
          <w:snapToGrid w:val="0"/>
        </w:rPr>
        <w:t>.</w:t>
      </w:r>
      <w:r>
        <w:rPr>
          <w:snapToGrid w:val="0"/>
        </w:rPr>
        <w:tab/>
        <w:t>Blood samples, method for collecting</w:t>
      </w:r>
      <w:bookmarkEnd w:id="96"/>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97" w:name="_Toc122000004"/>
      <w:r>
        <w:rPr>
          <w:rStyle w:val="CharSectno"/>
        </w:rPr>
        <w:t>50</w:t>
      </w:r>
      <w:r>
        <w:rPr>
          <w:snapToGrid w:val="0"/>
        </w:rPr>
        <w:t>.</w:t>
      </w:r>
      <w:r>
        <w:rPr>
          <w:snapToGrid w:val="0"/>
        </w:rPr>
        <w:tab/>
        <w:t>Urine samples, method for collecting</w:t>
      </w:r>
      <w:bookmarkEnd w:id="97"/>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 xml:space="preserve">After a urine sample has been collected, the sample collector may withdraw from the urine collecting container as much of </w:t>
      </w:r>
      <w:r>
        <w:lastRenderedPageBreak/>
        <w:t>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lastRenderedPageBreak/>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Gazette 28 Apr 2006 p. 1657</w:t>
      </w:r>
      <w:r>
        <w:noBreakHyphen/>
        <w:t>8.]</w:t>
      </w:r>
    </w:p>
    <w:p>
      <w:pPr>
        <w:pStyle w:val="Heading5"/>
        <w:rPr>
          <w:snapToGrid w:val="0"/>
        </w:rPr>
      </w:pPr>
      <w:bookmarkStart w:id="98" w:name="_Toc122000005"/>
      <w:r>
        <w:rPr>
          <w:rStyle w:val="CharSectno"/>
        </w:rPr>
        <w:t>51</w:t>
      </w:r>
      <w:r>
        <w:rPr>
          <w:snapToGrid w:val="0"/>
        </w:rPr>
        <w:t>.</w:t>
      </w:r>
      <w:r>
        <w:rPr>
          <w:snapToGrid w:val="0"/>
        </w:rPr>
        <w:tab/>
        <w:t>Analysis of samples</w:t>
      </w:r>
      <w:bookmarkEnd w:id="98"/>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Gazette 4 Dec 2009 p. 4907</w:t>
      </w:r>
      <w:r>
        <w:noBreakHyphen/>
        <w:t>8.]</w:t>
      </w:r>
    </w:p>
    <w:p>
      <w:pPr>
        <w:pStyle w:val="Heading5"/>
        <w:rPr>
          <w:snapToGrid w:val="0"/>
        </w:rPr>
      </w:pPr>
      <w:bookmarkStart w:id="99" w:name="_Toc122000006"/>
      <w:r>
        <w:rPr>
          <w:rStyle w:val="CharSectno"/>
        </w:rPr>
        <w:t>52</w:t>
      </w:r>
      <w:r>
        <w:rPr>
          <w:snapToGrid w:val="0"/>
        </w:rPr>
        <w:t>.</w:t>
      </w:r>
      <w:r>
        <w:rPr>
          <w:snapToGrid w:val="0"/>
        </w:rPr>
        <w:tab/>
        <w:t>Non</w:t>
      </w:r>
      <w:r>
        <w:rPr>
          <w:snapToGrid w:val="0"/>
        </w:rPr>
        <w:noBreakHyphen/>
        <w:t>complying sample defined (Act s. 81(1)(b))</w:t>
      </w:r>
      <w:bookmarkEnd w:id="99"/>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100" w:name="_Toc122000007"/>
      <w:r>
        <w:rPr>
          <w:rStyle w:val="CharSectno"/>
        </w:rPr>
        <w:lastRenderedPageBreak/>
        <w:t>53</w:t>
      </w:r>
      <w:r>
        <w:rPr>
          <w:snapToGrid w:val="0"/>
        </w:rPr>
        <w:t>.</w:t>
      </w:r>
      <w:r>
        <w:rPr>
          <w:snapToGrid w:val="0"/>
        </w:rPr>
        <w:tab/>
        <w:t>Certificates which are evidence</w:t>
      </w:r>
      <w:bookmarkEnd w:id="100"/>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Gazette 28 Apr 2006 p. 1658; 4 Dec 2009 p. 4908.]</w:t>
      </w:r>
    </w:p>
    <w:p>
      <w:pPr>
        <w:pStyle w:val="Heading2"/>
      </w:pPr>
      <w:bookmarkStart w:id="101" w:name="_Toc121993841"/>
      <w:bookmarkStart w:id="102" w:name="_Toc121994848"/>
      <w:bookmarkStart w:id="103" w:name="_Toc121999600"/>
      <w:bookmarkStart w:id="104" w:name="_Toc122000008"/>
      <w:r>
        <w:rPr>
          <w:rStyle w:val="CharPartNo"/>
        </w:rPr>
        <w:lastRenderedPageBreak/>
        <w:t>Part 8</w:t>
      </w:r>
      <w:r>
        <w:rPr>
          <w:rStyle w:val="CharDivNo"/>
        </w:rPr>
        <w:t> </w:t>
      </w:r>
      <w:r>
        <w:t>—</w:t>
      </w:r>
      <w:r>
        <w:rPr>
          <w:rStyle w:val="CharDivText"/>
        </w:rPr>
        <w:t> </w:t>
      </w:r>
      <w:r>
        <w:rPr>
          <w:rStyle w:val="CharPartText"/>
        </w:rPr>
        <w:t>Miscellaneous</w:t>
      </w:r>
      <w:bookmarkEnd w:id="101"/>
      <w:bookmarkEnd w:id="102"/>
      <w:bookmarkEnd w:id="103"/>
      <w:bookmarkEnd w:id="104"/>
      <w:r>
        <w:rPr>
          <w:rStyle w:val="CharPartText"/>
        </w:rPr>
        <w:t xml:space="preserve"> </w:t>
      </w:r>
    </w:p>
    <w:p>
      <w:pPr>
        <w:pStyle w:val="Heading5"/>
        <w:rPr>
          <w:snapToGrid w:val="0"/>
        </w:rPr>
      </w:pPr>
      <w:bookmarkStart w:id="105" w:name="_Toc122000009"/>
      <w:r>
        <w:rPr>
          <w:rStyle w:val="CharSectno"/>
        </w:rPr>
        <w:t>54</w:t>
      </w:r>
      <w:r>
        <w:rPr>
          <w:snapToGrid w:val="0"/>
        </w:rPr>
        <w:t>.</w:t>
      </w:r>
      <w:r>
        <w:rPr>
          <w:snapToGrid w:val="0"/>
        </w:rPr>
        <w:tab/>
        <w:t>Fees prescribed</w:t>
      </w:r>
      <w:bookmarkEnd w:id="105"/>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106" w:name="_Toc122000010"/>
      <w:r>
        <w:rPr>
          <w:rStyle w:val="CharSectno"/>
        </w:rPr>
        <w:t>54A</w:t>
      </w:r>
      <w:r>
        <w:t>.</w:t>
      </w:r>
      <w:r>
        <w:tab/>
        <w:t>Codes of conduct, preparation, approval and effect of</w:t>
      </w:r>
      <w:bookmarkEnd w:id="106"/>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Gazette 1 Sep 2005 p. 4084</w:t>
      </w:r>
      <w:r>
        <w:noBreakHyphen/>
        <w:t>5; amended: Gazette 4 Dec 2009 p. 4908</w:t>
      </w:r>
      <w:r>
        <w:noBreakHyphen/>
        <w:t>9.]</w:t>
      </w:r>
    </w:p>
    <w:p>
      <w:pPr>
        <w:pStyle w:val="Heading5"/>
      </w:pPr>
      <w:bookmarkStart w:id="107" w:name="_Toc122000011"/>
      <w:r>
        <w:rPr>
          <w:rStyle w:val="CharSectno"/>
        </w:rPr>
        <w:lastRenderedPageBreak/>
        <w:t>55</w:t>
      </w:r>
      <w:r>
        <w:t>.</w:t>
      </w:r>
      <w:r>
        <w:tab/>
        <w:t>Surrender of licence (Act s. 76(c))</w:t>
      </w:r>
      <w:bookmarkEnd w:id="107"/>
    </w:p>
    <w:p>
      <w:pPr>
        <w:pStyle w:val="Subsection"/>
      </w:pPr>
      <w:r>
        <w:tab/>
      </w:r>
      <w:r>
        <w:tab/>
        <w:t>For the purposes of section 76(c), a licensee may surrender a licence by written notice given to a licensing officer.</w:t>
      </w:r>
    </w:p>
    <w:p>
      <w:pPr>
        <w:pStyle w:val="Footnotesection"/>
        <w:keepLines w:val="0"/>
      </w:pPr>
      <w:r>
        <w:tab/>
        <w:t>[Regulation 55 inserted: Gazette 4 Dec 2009 p. 4909.]</w:t>
      </w:r>
    </w:p>
    <w:p>
      <w:pPr>
        <w:pStyle w:val="Heading5"/>
      </w:pPr>
      <w:bookmarkStart w:id="108" w:name="_Toc122000012"/>
      <w:r>
        <w:rPr>
          <w:rStyle w:val="CharSectno"/>
        </w:rPr>
        <w:t>56</w:t>
      </w:r>
      <w:r>
        <w:t>.</w:t>
      </w:r>
      <w:r>
        <w:tab/>
        <w:t>Return of licence (Act s. 76)</w:t>
      </w:r>
      <w:bookmarkEnd w:id="108"/>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Gazette 4 Dec 2009 p. 4909.]</w:t>
      </w:r>
    </w:p>
    <w:p>
      <w:pPr>
        <w:pStyle w:val="Heading5"/>
      </w:pPr>
      <w:bookmarkStart w:id="109" w:name="_Toc122000013"/>
      <w:r>
        <w:rPr>
          <w:rStyle w:val="CharSectno"/>
        </w:rPr>
        <w:t>57</w:t>
      </w:r>
      <w:r>
        <w:t>.</w:t>
      </w:r>
      <w:r>
        <w:tab/>
        <w:t>Notification of change of address (Act s. 77)</w:t>
      </w:r>
      <w:bookmarkEnd w:id="109"/>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Gazette 4 Dec 2009 p. 4909.]</w:t>
      </w:r>
    </w:p>
    <w:p>
      <w:pPr>
        <w:pStyle w:val="Heading5"/>
      </w:pPr>
      <w:bookmarkStart w:id="110" w:name="_Toc122000014"/>
      <w:r>
        <w:rPr>
          <w:rStyle w:val="CharSectno"/>
        </w:rPr>
        <w:t>58</w:t>
      </w:r>
      <w:r>
        <w:t>.</w:t>
      </w:r>
      <w:r>
        <w:tab/>
        <w:t>Prescribed offences and modified penalties</w:t>
      </w:r>
      <w:bookmarkEnd w:id="110"/>
    </w:p>
    <w:p>
      <w:pPr>
        <w:pStyle w:val="Subsection"/>
      </w:pPr>
      <w:r>
        <w:tab/>
        <w:t>(1)</w:t>
      </w:r>
      <w:r>
        <w:tab/>
        <w:t>The offences specified in Schedule 5 are prescribed as offences for which an infringement notice may be given under section 88A.</w:t>
      </w:r>
    </w:p>
    <w:p>
      <w:pPr>
        <w:pStyle w:val="Subsection"/>
      </w:pPr>
      <w:r>
        <w:tab/>
        <w:t>(2)</w:t>
      </w:r>
      <w:r>
        <w:tab/>
        <w:t>The modified penalty specified opposite an offence in Schedule 5 is the modified penalty for that offence for the purposes of section 88A(3) and (5).</w:t>
      </w:r>
    </w:p>
    <w:p>
      <w:pPr>
        <w:pStyle w:val="Footnotesection"/>
      </w:pPr>
      <w:r>
        <w:tab/>
        <w:t>[Regulation 58 inserted: Gazette 29 Jul 2016 p. 3248.]</w:t>
      </w:r>
    </w:p>
    <w:p>
      <w:pPr>
        <w:pStyle w:val="Heading5"/>
      </w:pPr>
      <w:bookmarkStart w:id="111" w:name="_Toc122000015"/>
      <w:r>
        <w:rPr>
          <w:rStyle w:val="CharSectno"/>
        </w:rPr>
        <w:lastRenderedPageBreak/>
        <w:t>59</w:t>
      </w:r>
      <w:r>
        <w:t>.</w:t>
      </w:r>
      <w:r>
        <w:tab/>
        <w:t>Forms</w:t>
      </w:r>
      <w:bookmarkEnd w:id="111"/>
    </w:p>
    <w:p>
      <w:pPr>
        <w:pStyle w:val="Subsection"/>
        <w:keepNext/>
      </w:pPr>
      <w:r>
        <w:tab/>
      </w:r>
      <w:r>
        <w:tab/>
        <w:t>The forms set out in Schedule 6 are prescribed in relation to the matters specified in those forms.</w:t>
      </w:r>
    </w:p>
    <w:p>
      <w:pPr>
        <w:pStyle w:val="Footnotesection"/>
      </w:pPr>
      <w:r>
        <w:tab/>
        <w:t>[Regulation 59 inserted: Gazette 29 Jul 2016 p. 3248.]</w:t>
      </w:r>
    </w:p>
    <w:p>
      <w:pPr>
        <w:pStyle w:val="Ednotepart"/>
        <w:spacing w:before="300"/>
      </w:pPr>
      <w:r>
        <w:t>[Part 9 deleted: Gazette 4 Dec 2009 p. 4909.]</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2" w:name="_Toc121993849"/>
      <w:bookmarkStart w:id="113" w:name="_Toc121994856"/>
      <w:bookmarkStart w:id="114" w:name="_Toc121999608"/>
      <w:bookmarkStart w:id="115" w:name="_Toc122000016"/>
      <w:r>
        <w:rPr>
          <w:rStyle w:val="CharSchNo"/>
        </w:rPr>
        <w:lastRenderedPageBreak/>
        <w:t>Schedule 1</w:t>
      </w:r>
      <w:r>
        <w:t> — </w:t>
      </w:r>
      <w:r>
        <w:rPr>
          <w:rStyle w:val="CharSchText"/>
        </w:rPr>
        <w:t>Conditions and restrictions attached to licences</w:t>
      </w:r>
      <w:bookmarkEnd w:id="112"/>
      <w:bookmarkEnd w:id="113"/>
      <w:bookmarkEnd w:id="114"/>
      <w:bookmarkEnd w:id="115"/>
    </w:p>
    <w:p>
      <w:pPr>
        <w:pStyle w:val="yShoulderClause"/>
        <w:rPr>
          <w:snapToGrid w:val="0"/>
        </w:rPr>
      </w:pPr>
      <w:r>
        <w:t>[r. 21]</w:t>
      </w:r>
    </w:p>
    <w:p>
      <w:pPr>
        <w:pStyle w:val="yFootnoteheading"/>
      </w:pPr>
      <w:bookmarkStart w:id="116" w:name="_Toc121993850"/>
      <w:r>
        <w:tab/>
        <w:t>[Heading amended: SL 2022/211 r. 5.]</w:t>
      </w:r>
    </w:p>
    <w:p>
      <w:pPr>
        <w:pStyle w:val="yHeading3"/>
        <w:rPr>
          <w:snapToGrid w:val="0"/>
        </w:rPr>
      </w:pPr>
      <w:bookmarkStart w:id="117" w:name="_Toc121994857"/>
      <w:bookmarkStart w:id="118" w:name="_Toc121999609"/>
      <w:bookmarkStart w:id="119" w:name="_Toc122000017"/>
      <w:r>
        <w:rPr>
          <w:rStyle w:val="CharSDivNo"/>
        </w:rPr>
        <w:t>Division 1</w:t>
      </w:r>
      <w:r>
        <w:rPr>
          <w:snapToGrid w:val="0"/>
        </w:rPr>
        <w:t> — </w:t>
      </w:r>
      <w:r>
        <w:rPr>
          <w:rStyle w:val="CharSDivText"/>
        </w:rPr>
        <w:t>Security agent’s licence</w:t>
      </w:r>
      <w:bookmarkEnd w:id="116"/>
      <w:bookmarkEnd w:id="117"/>
      <w:bookmarkEnd w:id="118"/>
      <w:bookmarkEnd w:id="119"/>
    </w:p>
    <w:p>
      <w:pPr>
        <w:pStyle w:val="yHeading5"/>
      </w:pPr>
      <w:bookmarkStart w:id="120" w:name="_Toc118887428"/>
      <w:bookmarkStart w:id="121" w:name="_Toc121824203"/>
      <w:bookmarkStart w:id="122" w:name="_Toc122000018"/>
      <w:r>
        <w:rPr>
          <w:rStyle w:val="CharSClsNo"/>
        </w:rPr>
        <w:t>1A</w:t>
      </w:r>
      <w:r>
        <w:t>.</w:t>
      </w:r>
      <w:r>
        <w:tab/>
        <w:t>Term used: business activity</w:t>
      </w:r>
      <w:bookmarkEnd w:id="120"/>
      <w:bookmarkEnd w:id="121"/>
      <w:bookmarkEnd w:id="122"/>
    </w:p>
    <w:p>
      <w:pPr>
        <w:pStyle w:val="ySubsection"/>
      </w:pPr>
      <w:r>
        <w:tab/>
      </w:r>
      <w:r>
        <w:tab/>
        <w:t xml:space="preserve">In this Division — </w:t>
      </w:r>
    </w:p>
    <w:p>
      <w:pPr>
        <w:pStyle w:val="yDefstart"/>
      </w:pPr>
      <w:r>
        <w:tab/>
      </w:r>
      <w:r>
        <w:rPr>
          <w:rStyle w:val="CharDefText"/>
        </w:rPr>
        <w:t>business activity</w:t>
      </w:r>
      <w:r>
        <w:t xml:space="preserve"> means an activity authorised by a security officer’s licence that the security officer performs for a security agent’s business.</w:t>
      </w:r>
    </w:p>
    <w:p>
      <w:pPr>
        <w:pStyle w:val="yFootnotesection"/>
      </w:pPr>
      <w:r>
        <w:tab/>
        <w:t>[Clause 1A inserted: SL 2022/211 r. 6.]</w:t>
      </w:r>
    </w:p>
    <w:p>
      <w:pPr>
        <w:pStyle w:val="yHeading5"/>
        <w:rPr>
          <w:snapToGrid w:val="0"/>
        </w:rPr>
      </w:pPr>
      <w:bookmarkStart w:id="123" w:name="_Toc122000019"/>
      <w:r>
        <w:rPr>
          <w:rStyle w:val="CharSClsNo"/>
        </w:rPr>
        <w:t>1</w:t>
      </w:r>
      <w:r>
        <w:rPr>
          <w:snapToGrid w:val="0"/>
        </w:rPr>
        <w:t>.</w:t>
      </w:r>
      <w:r>
        <w:rPr>
          <w:snapToGrid w:val="0"/>
        </w:rPr>
        <w:tab/>
        <w:t>Changes of partners, officers or personnel to be notified</w:t>
      </w:r>
      <w:bookmarkEnd w:id="123"/>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Gazette 4 Dec 2009 p. 4910.]</w:t>
      </w:r>
    </w:p>
    <w:p>
      <w:pPr>
        <w:pStyle w:val="yHeading5"/>
      </w:pPr>
      <w:bookmarkStart w:id="124" w:name="_Toc118887430"/>
      <w:bookmarkStart w:id="125" w:name="_Toc121824205"/>
      <w:bookmarkStart w:id="126" w:name="_Toc122000020"/>
      <w:r>
        <w:rPr>
          <w:rStyle w:val="CharSClsNo"/>
        </w:rPr>
        <w:t>2</w:t>
      </w:r>
      <w:r>
        <w:t>.</w:t>
      </w:r>
      <w:r>
        <w:tab/>
        <w:t>Uniforms to be worn by security officers</w:t>
      </w:r>
      <w:bookmarkEnd w:id="124"/>
      <w:bookmarkEnd w:id="125"/>
      <w:bookmarkEnd w:id="126"/>
    </w:p>
    <w:p>
      <w:pPr>
        <w:pStyle w:val="ySubsection"/>
      </w:pPr>
      <w:r>
        <w:tab/>
        <w:t>(1)</w:t>
      </w:r>
      <w:r>
        <w:tab/>
        <w:t>A security agent must ensure that a security officer wears a uniform of a type approved by the Commissioner at all times while the officer is performing a business activity for the agent’s business.</w:t>
      </w:r>
    </w:p>
    <w:p>
      <w:pPr>
        <w:pStyle w:val="ySubsection"/>
      </w:pPr>
      <w:r>
        <w:tab/>
        <w:t>(2)</w:t>
      </w:r>
      <w:r>
        <w:tab/>
        <w:t xml:space="preserve">Subclause (1) does not apply in relation to — </w:t>
      </w:r>
    </w:p>
    <w:p>
      <w:pPr>
        <w:pStyle w:val="yIndenta"/>
      </w:pPr>
      <w:r>
        <w:tab/>
        <w:t>(a)</w:t>
      </w:r>
      <w:r>
        <w:tab/>
        <w:t>a security officer who is engaged in loss prevention activities in a retail store; or</w:t>
      </w:r>
    </w:p>
    <w:p>
      <w:pPr>
        <w:pStyle w:val="yIndenta"/>
      </w:pPr>
      <w:r>
        <w:lastRenderedPageBreak/>
        <w:tab/>
        <w:t>(b)</w:t>
      </w:r>
      <w:r>
        <w:tab/>
        <w:t>a security officer who is engaged in escort duties if a licensing officer is satisfied that the circumstances require the security officer to wear clothes other than a uniform of a type approved by the Commissioner.</w:t>
      </w:r>
    </w:p>
    <w:p>
      <w:pPr>
        <w:pStyle w:val="ySubsection"/>
      </w:pPr>
      <w:r>
        <w:tab/>
        <w:t>(3)</w:t>
      </w:r>
      <w:r>
        <w:tab/>
        <w:t>A security agent must ensure that a security officer referred to in subclause (2)(a) or (b) does not wear clothes that are confusingly similar to a uniform in use by a police force.</w:t>
      </w:r>
    </w:p>
    <w:p>
      <w:pPr>
        <w:pStyle w:val="yFootnotesection"/>
      </w:pPr>
      <w:r>
        <w:tab/>
        <w:t>[Clause 2 inserted: SL 2022/211 r. 7.]</w:t>
      </w:r>
    </w:p>
    <w:p>
      <w:pPr>
        <w:pStyle w:val="yHeading5"/>
      </w:pPr>
      <w:bookmarkStart w:id="127" w:name="_Toc122000021"/>
      <w:r>
        <w:rPr>
          <w:rStyle w:val="CharSClsNo"/>
        </w:rPr>
        <w:t>3</w:t>
      </w:r>
      <w:r>
        <w:t>.</w:t>
      </w:r>
      <w:r>
        <w:tab/>
        <w:t>Markings on vehicles used by security officers</w:t>
      </w:r>
      <w:bookmarkEnd w:id="127"/>
    </w:p>
    <w:p>
      <w:pPr>
        <w:pStyle w:val="ySubsection"/>
      </w:pPr>
      <w:r>
        <w:tab/>
      </w:r>
      <w:r>
        <w:tab/>
        <w:t>A security agent must ensure that a marking on a vehicle used by a security officer while performing a business activity for the agent’s business is not confusingly similar to a vehicle marking in use by a police force.</w:t>
      </w:r>
    </w:p>
    <w:p>
      <w:pPr>
        <w:pStyle w:val="yFootnotesection"/>
      </w:pPr>
      <w:r>
        <w:tab/>
        <w:t>[Clause 3 inserted: Gazette 1 Sep 2005 p. 4086; amended: SL 2022/211 r. 8.]</w:t>
      </w:r>
    </w:p>
    <w:p>
      <w:pPr>
        <w:pStyle w:val="yHeading5"/>
      </w:pPr>
      <w:bookmarkStart w:id="128" w:name="_Toc122000022"/>
      <w:r>
        <w:rPr>
          <w:rStyle w:val="CharSClsNo"/>
        </w:rPr>
        <w:t>4A</w:t>
      </w:r>
      <w:r>
        <w:t>.</w:t>
      </w:r>
      <w:r>
        <w:rPr>
          <w:b w:val="0"/>
        </w:rPr>
        <w:tab/>
      </w:r>
      <w:r>
        <w:t>Guard dogs not to be used without training</w:t>
      </w:r>
      <w:bookmarkEnd w:id="128"/>
    </w:p>
    <w:p>
      <w:pPr>
        <w:pStyle w:val="ySubsection"/>
      </w:pPr>
      <w:r>
        <w:tab/>
        <w:t>(1)</w:t>
      </w:r>
      <w:r>
        <w:tab/>
        <w:t>A security agent must ensure that a security officer does not use a guard dog in connection with the performance of a business activity for the agent’s business unless the officer has successfully completed an approved training course in the handling of guard dogs.</w:t>
      </w:r>
    </w:p>
    <w:p>
      <w:pPr>
        <w:pStyle w:val="yEdnotesubsection"/>
      </w:pPr>
      <w:r>
        <w:tab/>
        <w:t>[(2)</w:t>
      </w:r>
      <w:r>
        <w:tab/>
        <w:t>deleted]</w:t>
      </w:r>
    </w:p>
    <w:p>
      <w:pPr>
        <w:pStyle w:val="yFootnotesection"/>
      </w:pPr>
      <w:r>
        <w:tab/>
        <w:t>[Clause 4A inserted: Gazette 4 Dec 2009 p. 4910; amended: Gazette 29 Jul 2016 p. 3249; SL 2022/211 r. 9.]</w:t>
      </w:r>
    </w:p>
    <w:p>
      <w:pPr>
        <w:pStyle w:val="yHeading5"/>
        <w:rPr>
          <w:snapToGrid w:val="0"/>
        </w:rPr>
      </w:pPr>
      <w:bookmarkStart w:id="129" w:name="_Toc122000023"/>
      <w:r>
        <w:rPr>
          <w:rStyle w:val="CharSClsNo"/>
        </w:rPr>
        <w:t>4</w:t>
      </w:r>
      <w:r>
        <w:rPr>
          <w:snapToGrid w:val="0"/>
        </w:rPr>
        <w:t>.</w:t>
      </w:r>
      <w:r>
        <w:rPr>
          <w:snapToGrid w:val="0"/>
        </w:rPr>
        <w:tab/>
        <w:t>Arming security officers</w:t>
      </w:r>
      <w:bookmarkEnd w:id="129"/>
      <w:r>
        <w:rPr>
          <w:snapToGrid w:val="0"/>
        </w:rPr>
        <w:t xml:space="preserve"> </w:t>
      </w:r>
    </w:p>
    <w:p>
      <w:pPr>
        <w:pStyle w:val="ySubsection"/>
        <w:rPr>
          <w:snapToGrid w:val="0"/>
        </w:rPr>
      </w:pPr>
      <w:r>
        <w:rPr>
          <w:snapToGrid w:val="0"/>
        </w:rPr>
        <w:tab/>
        <w:t>(1)</w:t>
      </w:r>
      <w:r>
        <w:rPr>
          <w:snapToGrid w:val="0"/>
        </w:rPr>
        <w:tab/>
      </w:r>
      <w:r>
        <w:t xml:space="preserve">A security agent must ensure that a security officer is not in possession of a firearm while the officer is performing a business activity for the agent’s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w:t>
      </w:r>
      <w:r>
        <w:t xml:space="preserve">organisation which holds a licence, </w:t>
      </w:r>
      <w:r>
        <w:rPr>
          <w:snapToGrid w:val="0"/>
        </w:rPr>
        <w:t xml:space="preserve">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lastRenderedPageBreak/>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 xml:space="preserve">is a firearm to which the licence referred to in paragraph (b) </w:t>
      </w:r>
      <w:r>
        <w:t>applies;</w:t>
      </w:r>
    </w:p>
    <w:p>
      <w:pPr>
        <w:pStyle w:val="yIndenta"/>
      </w:pPr>
      <w:r>
        <w:tab/>
      </w:r>
      <w:r>
        <w:tab/>
        <w:t>and</w:t>
      </w:r>
    </w:p>
    <w:p>
      <w:pPr>
        <w:pStyle w:val="yIndenta"/>
      </w:pPr>
      <w:r>
        <w:tab/>
        <w:t>(d)</w:t>
      </w:r>
      <w:r>
        <w:tab/>
        <w:t>the security officer satisfies the condition in clause 11(1).</w:t>
      </w:r>
    </w:p>
    <w:p>
      <w:pPr>
        <w:pStyle w:val="ySubsection"/>
        <w:rPr>
          <w:snapToGrid w:val="0"/>
        </w:rPr>
      </w:pPr>
      <w:r>
        <w:rPr>
          <w:snapToGrid w:val="0"/>
        </w:rPr>
        <w:tab/>
        <w:t>(2)</w:t>
      </w:r>
      <w:r>
        <w:rPr>
          <w:snapToGrid w:val="0"/>
        </w:rPr>
        <w:tab/>
      </w:r>
      <w:r>
        <w:t xml:space="preserve">A security agent must ensure that a security officer is not in possession of a baton while the officer is performing a business activity for the agent’s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 xml:space="preserve">the baton is of a type approved by the Commissioner under </w:t>
      </w:r>
      <w:r>
        <w:t>section 26(2)(b); and</w:t>
      </w:r>
    </w:p>
    <w:p>
      <w:pPr>
        <w:pStyle w:val="yIndenta"/>
      </w:pPr>
      <w:r>
        <w:tab/>
        <w:t>(c)</w:t>
      </w:r>
      <w:r>
        <w:tab/>
        <w:t>the security officer satisfies the condition in clause 11(2).</w:t>
      </w:r>
    </w:p>
    <w:p>
      <w:pPr>
        <w:pStyle w:val="ySubsection"/>
      </w:pPr>
      <w:r>
        <w:tab/>
        <w:t>(3)</w:t>
      </w:r>
      <w:r>
        <w:tab/>
        <w:t>A security agent must ensure that a security officer is not in possession of any other weapon while the officer is performing a business activity for the agent’s business.</w:t>
      </w:r>
    </w:p>
    <w:p>
      <w:pPr>
        <w:pStyle w:val="yFootnotesection"/>
      </w:pPr>
      <w:r>
        <w:tab/>
        <w:t>[Clause 4 amended: Gazette 1 Sep 2005 p. 4086; 4 Dec 2009 p. 4911; SL 2022/211 r. 10.]</w:t>
      </w:r>
    </w:p>
    <w:p>
      <w:pPr>
        <w:pStyle w:val="yHeading5"/>
        <w:rPr>
          <w:snapToGrid w:val="0"/>
        </w:rPr>
      </w:pPr>
      <w:bookmarkStart w:id="130" w:name="_Toc122000024"/>
      <w:r>
        <w:rPr>
          <w:rStyle w:val="CharSClsNo"/>
        </w:rPr>
        <w:t>5</w:t>
      </w:r>
      <w:r>
        <w:rPr>
          <w:snapToGrid w:val="0"/>
        </w:rPr>
        <w:t>.</w:t>
      </w:r>
      <w:r>
        <w:rPr>
          <w:snapToGrid w:val="0"/>
        </w:rPr>
        <w:tab/>
        <w:t>Firearm security</w:t>
      </w:r>
      <w:bookmarkEnd w:id="130"/>
    </w:p>
    <w:p>
      <w:pPr>
        <w:pStyle w:val="ySubsection"/>
        <w:rPr>
          <w:snapToGrid w:val="0"/>
        </w:rPr>
      </w:pPr>
      <w:r>
        <w:rPr>
          <w:snapToGrid w:val="0"/>
        </w:rPr>
        <w:tab/>
        <w:t>(1)</w:t>
      </w:r>
      <w:r>
        <w:rPr>
          <w:snapToGrid w:val="0"/>
        </w:rPr>
        <w:tab/>
      </w:r>
      <w:r>
        <w:t>A security agent must ensure that a firearm for use in connection with the agent’s business is</w:t>
      </w:r>
      <w:r>
        <w:rPr>
          <w:snapToGrid w:val="0"/>
        </w:rPr>
        <w:t xml:space="preserv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Subclause (1) does not prevent a firearm for use in connection with the agent’s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lastRenderedPageBreak/>
        <w:tab/>
        <w:t>[Clause 5 amended: Gazette 1 Sep 2005 p. 4086; SL 2022/211 r. 11.]</w:t>
      </w:r>
    </w:p>
    <w:p>
      <w:pPr>
        <w:pStyle w:val="yEdnotesection"/>
      </w:pPr>
      <w:r>
        <w:t>[</w:t>
      </w:r>
      <w:r>
        <w:rPr>
          <w:b/>
        </w:rPr>
        <w:t>6.</w:t>
      </w:r>
      <w:r>
        <w:tab/>
        <w:t>Deleted: SL 2022/211 r. 12.]</w:t>
      </w:r>
    </w:p>
    <w:p>
      <w:pPr>
        <w:pStyle w:val="yHeading3"/>
        <w:rPr>
          <w:snapToGrid w:val="0"/>
        </w:rPr>
      </w:pPr>
      <w:bookmarkStart w:id="131" w:name="_Toc121993858"/>
      <w:bookmarkStart w:id="132" w:name="_Toc121994865"/>
      <w:bookmarkStart w:id="133" w:name="_Toc121999617"/>
      <w:bookmarkStart w:id="134" w:name="_Toc122000025"/>
      <w:r>
        <w:rPr>
          <w:rStyle w:val="CharSDivNo"/>
        </w:rPr>
        <w:t>Division 2</w:t>
      </w:r>
      <w:r>
        <w:rPr>
          <w:snapToGrid w:val="0"/>
        </w:rPr>
        <w:t> — </w:t>
      </w:r>
      <w:r>
        <w:rPr>
          <w:rStyle w:val="CharSDivText"/>
        </w:rPr>
        <w:t>Security officer’s licence</w:t>
      </w:r>
      <w:bookmarkEnd w:id="131"/>
      <w:bookmarkEnd w:id="132"/>
      <w:bookmarkEnd w:id="133"/>
      <w:bookmarkEnd w:id="134"/>
      <w:r>
        <w:rPr>
          <w:snapToGrid w:val="0"/>
        </w:rPr>
        <w:t xml:space="preserve"> </w:t>
      </w:r>
    </w:p>
    <w:p>
      <w:pPr>
        <w:pStyle w:val="yHeading5"/>
        <w:rPr>
          <w:snapToGrid w:val="0"/>
        </w:rPr>
      </w:pPr>
      <w:bookmarkStart w:id="135" w:name="_Toc122000026"/>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135"/>
    </w:p>
    <w:p>
      <w:pPr>
        <w:pStyle w:val="ySubsection"/>
      </w:pPr>
      <w:r>
        <w:tab/>
        <w:t>(1)</w:t>
      </w:r>
      <w:r>
        <w:tab/>
        <w:t>A security officer must, at all times while performing a licensed activity, wear a uniform of a type approved by the Commissioner.</w:t>
      </w:r>
    </w:p>
    <w:p>
      <w:pPr>
        <w:pStyle w:val="ySubsection"/>
        <w:rPr>
          <w:snapToGrid w:val="0"/>
        </w:rPr>
      </w:pPr>
      <w:r>
        <w:rPr>
          <w:snapToGrid w:val="0"/>
        </w:rPr>
        <w:tab/>
        <w:t>(2)</w:t>
      </w:r>
      <w:r>
        <w:rPr>
          <w:snapToGrid w:val="0"/>
        </w:rPr>
        <w:tab/>
      </w:r>
      <w:r>
        <w:t xml:space="preserve">Subclause (1) </w:t>
      </w:r>
      <w:r>
        <w:rPr>
          <w:snapToGrid w:val="0"/>
        </w:rPr>
        <w:t>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Subclause (1) does not apply — </w:t>
      </w:r>
    </w:p>
    <w:p>
      <w:pPr>
        <w:pStyle w:val="yIndenta"/>
      </w:pPr>
      <w:r>
        <w:tab/>
        <w:t>(a)</w:t>
      </w:r>
      <w:r>
        <w:tab/>
        <w:t>to a security officer who is engaged in loss prevention activities in a retail store; or</w:t>
      </w:r>
    </w:p>
    <w:p>
      <w:pPr>
        <w:pStyle w:val="yIndenta"/>
      </w:pPr>
      <w:r>
        <w:tab/>
        <w:t>(b)</w:t>
      </w:r>
      <w:r>
        <w:tab/>
      </w:r>
      <w:r>
        <w:rPr>
          <w:szCs w:val="22"/>
        </w:rPr>
        <w:t>to a security officer who is engaged in escort duties if a licensing officer is satisfied that the circumstances</w:t>
      </w:r>
      <w:r>
        <w:t xml:space="preserve"> require the security officer to wear clothes other than a uniform of a type approved by the Commissioner.</w:t>
      </w:r>
    </w:p>
    <w:p>
      <w:pPr>
        <w:pStyle w:val="ySubsection"/>
        <w:keepNext/>
      </w:pPr>
      <w:r>
        <w:tab/>
        <w:t>(4)</w:t>
      </w:r>
      <w:r>
        <w:tab/>
        <w:t>A security officer referred to in subclause (3)(a) or (b) must not wear clothes that are confusingly similar to a uniform in use by a police force.</w:t>
      </w:r>
    </w:p>
    <w:p>
      <w:pPr>
        <w:pStyle w:val="yFootnotesection"/>
      </w:pPr>
      <w:r>
        <w:tab/>
        <w:t>[Clause 7 amended: Gazette 1 Sep 2005 p. 4087</w:t>
      </w:r>
      <w:r>
        <w:noBreakHyphen/>
        <w:t>8; SL 2022/211 r. 13.]</w:t>
      </w:r>
    </w:p>
    <w:p>
      <w:pPr>
        <w:pStyle w:val="yHeading5"/>
      </w:pPr>
      <w:bookmarkStart w:id="136" w:name="_Toc122000027"/>
      <w:r>
        <w:rPr>
          <w:rStyle w:val="CharSClsNo"/>
        </w:rPr>
        <w:t>8</w:t>
      </w:r>
      <w:r>
        <w:t>.</w:t>
      </w:r>
      <w:r>
        <w:tab/>
        <w:t>M</w:t>
      </w:r>
      <w:r>
        <w:rPr>
          <w:snapToGrid w:val="0"/>
        </w:rPr>
        <w:t>arkings on vehicles used by security officers</w:t>
      </w:r>
      <w:bookmarkEnd w:id="136"/>
    </w:p>
    <w:p>
      <w:pPr>
        <w:pStyle w:val="ySubsection"/>
      </w:pPr>
      <w:r>
        <w:tab/>
      </w:r>
      <w:r>
        <w:tab/>
        <w:t>A security officer must not use a vehicle while performing a licensed activity if a marking on the vehicle is confusingly similar to a vehicle marking in use by a police force.</w:t>
      </w:r>
    </w:p>
    <w:p>
      <w:pPr>
        <w:pStyle w:val="yFootnotesection"/>
      </w:pPr>
      <w:r>
        <w:tab/>
        <w:t>[Clause 8 inserted: Gazette 1 Sep 2005 p. 4088; amended: SL 2022/211 r. 14.]</w:t>
      </w:r>
    </w:p>
    <w:p>
      <w:pPr>
        <w:pStyle w:val="yHeading5"/>
        <w:rPr>
          <w:snapToGrid w:val="0"/>
        </w:rPr>
      </w:pPr>
      <w:bookmarkStart w:id="137" w:name="_Toc122000028"/>
      <w:r>
        <w:rPr>
          <w:rStyle w:val="CharSClsNo"/>
        </w:rPr>
        <w:lastRenderedPageBreak/>
        <w:t>9</w:t>
      </w:r>
      <w:r>
        <w:rPr>
          <w:snapToGrid w:val="0"/>
        </w:rPr>
        <w:t>.</w:t>
      </w:r>
      <w:r>
        <w:rPr>
          <w:snapToGrid w:val="0"/>
        </w:rPr>
        <w:tab/>
      </w:r>
      <w:r>
        <w:rPr>
          <w:rStyle w:val="CharSClsNo"/>
        </w:rPr>
        <w:t>Carrying</w:t>
      </w:r>
      <w:r>
        <w:rPr>
          <w:snapToGrid w:val="0"/>
        </w:rPr>
        <w:t xml:space="preserve"> of weapons</w:t>
      </w:r>
      <w:bookmarkEnd w:id="137"/>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Gazette 1 Sep 2005 p. 4088; 4 Dec 2009 p. 4911.]</w:t>
      </w:r>
    </w:p>
    <w:p>
      <w:pPr>
        <w:pStyle w:val="yHeading5"/>
        <w:rPr>
          <w:snapToGrid w:val="0"/>
        </w:rPr>
      </w:pPr>
      <w:bookmarkStart w:id="138" w:name="_Toc122000029"/>
      <w:r>
        <w:rPr>
          <w:rStyle w:val="CharSClsNo"/>
        </w:rPr>
        <w:t>10</w:t>
      </w:r>
      <w:r>
        <w:t>.</w:t>
      </w:r>
      <w:r>
        <w:rPr>
          <w:rStyle w:val="CharSClsNo"/>
        </w:rPr>
        <w:tab/>
        <w:t>Firearm</w:t>
      </w:r>
      <w:r>
        <w:rPr>
          <w:snapToGrid w:val="0"/>
        </w:rPr>
        <w:t xml:space="preserve"> security</w:t>
      </w:r>
      <w:bookmarkEnd w:id="138"/>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Gazette 1 Sep 2005 p. 4088.]</w:t>
      </w:r>
    </w:p>
    <w:p>
      <w:pPr>
        <w:pStyle w:val="yHeading5"/>
      </w:pPr>
      <w:bookmarkStart w:id="139" w:name="_Toc122000030"/>
      <w:r>
        <w:rPr>
          <w:rStyle w:val="CharSClsNo"/>
        </w:rPr>
        <w:t>11A</w:t>
      </w:r>
      <w:r>
        <w:t>.</w:t>
      </w:r>
      <w:r>
        <w:rPr>
          <w:b w:val="0"/>
        </w:rPr>
        <w:tab/>
      </w:r>
      <w:r>
        <w:t>Guard dogs not to be used without training</w:t>
      </w:r>
      <w:bookmarkEnd w:id="139"/>
    </w:p>
    <w:p>
      <w:pPr>
        <w:pStyle w:val="ySubsection"/>
      </w:pPr>
      <w:r>
        <w:tab/>
        <w:t>(1)</w:t>
      </w:r>
      <w:r>
        <w:tab/>
        <w:t>A security officer must not use a guard dog in connection with the performance of a licensed activity unless the officer has successfully completed an approved training course in the handling of a guard dog provided by a registered training provider.</w:t>
      </w:r>
    </w:p>
    <w:p>
      <w:pPr>
        <w:pStyle w:val="ySubsection"/>
        <w:rPr>
          <w:iCs/>
        </w:rPr>
      </w:pPr>
      <w:r>
        <w:lastRenderedPageBreak/>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t xml:space="preserve"> (</w:t>
      </w:r>
      <w:r>
        <w:rPr>
          <w:rStyle w:val="CharDefText"/>
        </w:rPr>
        <w:t>commencement day</w:t>
      </w:r>
      <w:r>
        <w:t>) until the day that is 12 months after commencement day</w:t>
      </w:r>
      <w:r>
        <w:rPr>
          <w:iCs/>
        </w:rPr>
        <w:t>.</w:t>
      </w:r>
    </w:p>
    <w:p>
      <w:pPr>
        <w:pStyle w:val="yFootnotesection"/>
      </w:pPr>
      <w:r>
        <w:tab/>
        <w:t>[Clause 11A inserted: Gazette 4 Dec 2009 p. 4911; amended: SL 2022/211 r. 15.]</w:t>
      </w:r>
    </w:p>
    <w:p>
      <w:pPr>
        <w:pStyle w:val="yHeading5"/>
      </w:pPr>
      <w:bookmarkStart w:id="140" w:name="_Toc122000031"/>
      <w:r>
        <w:rPr>
          <w:rStyle w:val="CharSClsNo"/>
        </w:rPr>
        <w:t>11B</w:t>
      </w:r>
      <w:r>
        <w:t>.</w:t>
      </w:r>
      <w:r>
        <w:rPr>
          <w:b w:val="0"/>
        </w:rPr>
        <w:tab/>
      </w:r>
      <w:r>
        <w:t>First aid certificate</w:t>
      </w:r>
      <w:bookmarkEnd w:id="140"/>
    </w:p>
    <w:p>
      <w:pPr>
        <w:pStyle w:val="ySubsection"/>
      </w:pPr>
      <w:r>
        <w:tab/>
        <w:t>(1)</w:t>
      </w:r>
      <w:r>
        <w:tab/>
        <w:t xml:space="preserve">A security officer must not perform any licensed activity unless the officer holds a current first aid certificate. </w:t>
      </w:r>
    </w:p>
    <w:p>
      <w:pPr>
        <w:pStyle w:val="yEdnotesubsection"/>
      </w:pPr>
      <w:r>
        <w:tab/>
        <w:t>[(2)</w:t>
      </w:r>
      <w:r>
        <w:tab/>
        <w:t>deleted]</w:t>
      </w:r>
    </w:p>
    <w:p>
      <w:pPr>
        <w:pStyle w:val="yFootnotesection"/>
      </w:pPr>
      <w:r>
        <w:tab/>
        <w:t>[Clause 11B inserted: Gazette 4 Dec 2009 p. 4912; amended: Gazette 29 Jul 2016 p. 3249.]</w:t>
      </w:r>
    </w:p>
    <w:p>
      <w:pPr>
        <w:pStyle w:val="yHeading3"/>
      </w:pPr>
      <w:bookmarkStart w:id="141" w:name="_Toc121993865"/>
      <w:bookmarkStart w:id="142" w:name="_Toc121994872"/>
      <w:bookmarkStart w:id="143" w:name="_Toc121999624"/>
      <w:bookmarkStart w:id="144" w:name="_Toc122000032"/>
      <w:r>
        <w:rPr>
          <w:rStyle w:val="CharSDivNo"/>
        </w:rPr>
        <w:t>Division 2A</w:t>
      </w:r>
      <w:r>
        <w:rPr>
          <w:b w:val="0"/>
        </w:rPr>
        <w:t> — </w:t>
      </w:r>
      <w:r>
        <w:rPr>
          <w:rStyle w:val="CharSDivText"/>
        </w:rPr>
        <w:t>Security officer’s licence endorsement</w:t>
      </w:r>
      <w:bookmarkEnd w:id="141"/>
      <w:bookmarkEnd w:id="142"/>
      <w:bookmarkEnd w:id="143"/>
      <w:bookmarkEnd w:id="144"/>
    </w:p>
    <w:p>
      <w:pPr>
        <w:pStyle w:val="yFootnoteheading"/>
      </w:pPr>
      <w:r>
        <w:tab/>
        <w:t>[Heading inserted: Gazette 3 Oct 2006 p. 4347.]</w:t>
      </w:r>
    </w:p>
    <w:p>
      <w:pPr>
        <w:pStyle w:val="yHeading5"/>
      </w:pPr>
      <w:bookmarkStart w:id="145" w:name="_Toc118887440"/>
      <w:bookmarkStart w:id="146" w:name="_Toc121824215"/>
      <w:bookmarkStart w:id="147" w:name="_Toc122000033"/>
      <w:r>
        <w:rPr>
          <w:rStyle w:val="CharSClsNo"/>
        </w:rPr>
        <w:t>11</w:t>
      </w:r>
      <w:r>
        <w:t>.</w:t>
      </w:r>
      <w:r>
        <w:tab/>
        <w:t>Periodic weapons training</w:t>
      </w:r>
      <w:bookmarkEnd w:id="145"/>
      <w:bookmarkEnd w:id="146"/>
      <w:bookmarkEnd w:id="147"/>
    </w:p>
    <w:p>
      <w:pPr>
        <w:pStyle w:val="ySubsection"/>
      </w:pPr>
      <w:r>
        <w:tab/>
        <w:t>(1)</w:t>
      </w:r>
      <w:r>
        <w:tab/>
        <w:t>A security officer whose licence is endorsed under section 24 must successfully complete a training course in firearms discharge within the period of 12 months beginning on the day on which the officer last successfully completed a training course in firearms discharge.</w:t>
      </w:r>
    </w:p>
    <w:p>
      <w:pPr>
        <w:pStyle w:val="ySubsection"/>
      </w:pPr>
      <w:r>
        <w:tab/>
        <w:t>(2)</w:t>
      </w:r>
      <w:r>
        <w:tab/>
        <w:t>A security officer whose licence is endorsed under section 26 must successfully complete an approved training course in baton use within the period of 12 months beginning on the day on which the officer last successfully completed an approved training course in baton use.</w:t>
      </w:r>
    </w:p>
    <w:p>
      <w:pPr>
        <w:pStyle w:val="yFootnotesection"/>
      </w:pPr>
      <w:r>
        <w:tab/>
        <w:t>[Clause 11 inserted: SL 2022/211 r. 16.]</w:t>
      </w:r>
    </w:p>
    <w:p>
      <w:pPr>
        <w:pStyle w:val="yHeading3"/>
      </w:pPr>
      <w:bookmarkStart w:id="148" w:name="_Toc121993867"/>
      <w:bookmarkStart w:id="149" w:name="_Toc121994874"/>
      <w:bookmarkStart w:id="150" w:name="_Toc121999626"/>
      <w:bookmarkStart w:id="151" w:name="_Toc122000034"/>
      <w:r>
        <w:rPr>
          <w:rStyle w:val="CharSDivNo"/>
        </w:rPr>
        <w:t>Division 2B</w:t>
      </w:r>
      <w:r>
        <w:rPr>
          <w:b w:val="0"/>
        </w:rPr>
        <w:t> — </w:t>
      </w:r>
      <w:r>
        <w:rPr>
          <w:rStyle w:val="CharSDivText"/>
        </w:rPr>
        <w:t>Security bodyguard’s licence</w:t>
      </w:r>
      <w:bookmarkEnd w:id="148"/>
      <w:bookmarkEnd w:id="149"/>
      <w:bookmarkEnd w:id="150"/>
      <w:bookmarkEnd w:id="151"/>
    </w:p>
    <w:p>
      <w:pPr>
        <w:pStyle w:val="yFootnoteheading"/>
      </w:pPr>
      <w:r>
        <w:tab/>
        <w:t>[Heading inserted: Gazette 4 Dec 2009 p. 4912.]</w:t>
      </w:r>
    </w:p>
    <w:p>
      <w:pPr>
        <w:pStyle w:val="yHeading5"/>
      </w:pPr>
      <w:bookmarkStart w:id="152" w:name="_Toc122000035"/>
      <w:r>
        <w:rPr>
          <w:rStyle w:val="CharSClsNo"/>
        </w:rPr>
        <w:lastRenderedPageBreak/>
        <w:t>12A</w:t>
      </w:r>
      <w:r>
        <w:t>.</w:t>
      </w:r>
      <w:r>
        <w:rPr>
          <w:b w:val="0"/>
        </w:rPr>
        <w:tab/>
      </w:r>
      <w:r>
        <w:t>No weapons to be carried by security bodyguard</w:t>
      </w:r>
      <w:bookmarkEnd w:id="152"/>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Gazette 4 Dec 2009 p. 4912.]</w:t>
      </w:r>
    </w:p>
    <w:p>
      <w:pPr>
        <w:pStyle w:val="yHeading5"/>
      </w:pPr>
      <w:bookmarkStart w:id="153" w:name="_Toc122000036"/>
      <w:r>
        <w:rPr>
          <w:rStyle w:val="CharSClsNo"/>
        </w:rPr>
        <w:t>12B</w:t>
      </w:r>
      <w:r>
        <w:t>.</w:t>
      </w:r>
      <w:r>
        <w:rPr>
          <w:b w:val="0"/>
        </w:rPr>
        <w:tab/>
      </w:r>
      <w:r>
        <w:t>First aid certificate</w:t>
      </w:r>
      <w:bookmarkEnd w:id="153"/>
    </w:p>
    <w:p>
      <w:pPr>
        <w:pStyle w:val="ySubsection"/>
      </w:pPr>
      <w:r>
        <w:tab/>
      </w:r>
      <w:r>
        <w:tab/>
        <w:t xml:space="preserve">A security bodyguard must not perform a licensed activity unless the bodyguard holds a current first aid certificate. </w:t>
      </w:r>
    </w:p>
    <w:p>
      <w:pPr>
        <w:pStyle w:val="yFootnotesection"/>
      </w:pPr>
      <w:r>
        <w:tab/>
        <w:t>[Clause 12B inserted: Gazette 4 Dec 2009 p. 4912.]</w:t>
      </w:r>
    </w:p>
    <w:p>
      <w:pPr>
        <w:pStyle w:val="yHeading3"/>
        <w:rPr>
          <w:snapToGrid w:val="0"/>
        </w:rPr>
      </w:pPr>
      <w:bookmarkStart w:id="154" w:name="_Toc121993870"/>
      <w:bookmarkStart w:id="155" w:name="_Toc121994877"/>
      <w:bookmarkStart w:id="156" w:name="_Toc121999629"/>
      <w:bookmarkStart w:id="157" w:name="_Toc122000037"/>
      <w:r>
        <w:rPr>
          <w:rStyle w:val="CharSDivNo"/>
        </w:rPr>
        <w:t>Division 3</w:t>
      </w:r>
      <w:r>
        <w:rPr>
          <w:snapToGrid w:val="0"/>
        </w:rPr>
        <w:t> — </w:t>
      </w:r>
      <w:r>
        <w:rPr>
          <w:rStyle w:val="CharSDivText"/>
        </w:rPr>
        <w:t>Inquiry agent’s licence</w:t>
      </w:r>
      <w:bookmarkEnd w:id="154"/>
      <w:bookmarkEnd w:id="155"/>
      <w:bookmarkEnd w:id="156"/>
      <w:bookmarkEnd w:id="157"/>
      <w:r>
        <w:rPr>
          <w:snapToGrid w:val="0"/>
        </w:rPr>
        <w:t xml:space="preserve"> </w:t>
      </w:r>
    </w:p>
    <w:p>
      <w:pPr>
        <w:pStyle w:val="yHeading5"/>
        <w:rPr>
          <w:rStyle w:val="CharSClsNo"/>
        </w:rPr>
      </w:pPr>
      <w:bookmarkStart w:id="158" w:name="_Toc122000038"/>
      <w:r>
        <w:rPr>
          <w:rStyle w:val="CharSClsNo"/>
        </w:rPr>
        <w:t>12</w:t>
      </w:r>
      <w:r>
        <w:t>.</w:t>
      </w:r>
      <w:r>
        <w:rPr>
          <w:rStyle w:val="CharSClsNo"/>
        </w:rPr>
        <w:tab/>
        <w:t>C</w:t>
      </w:r>
      <w:r>
        <w:rPr>
          <w:snapToGrid w:val="0"/>
        </w:rPr>
        <w:t>hange of partners, officers or personnel to be notified</w:t>
      </w:r>
      <w:bookmarkEnd w:id="158"/>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Gazette 4 Dec 2009 p. 4913.]</w:t>
      </w:r>
    </w:p>
    <w:p>
      <w:pPr>
        <w:pStyle w:val="yHeading3"/>
        <w:rPr>
          <w:snapToGrid w:val="0"/>
        </w:rPr>
      </w:pPr>
      <w:bookmarkStart w:id="159" w:name="_Toc121993872"/>
      <w:bookmarkStart w:id="160" w:name="_Toc121994879"/>
      <w:bookmarkStart w:id="161" w:name="_Toc121999631"/>
      <w:bookmarkStart w:id="162" w:name="_Toc122000039"/>
      <w:r>
        <w:rPr>
          <w:rStyle w:val="CharSDivNo"/>
        </w:rPr>
        <w:lastRenderedPageBreak/>
        <w:t>Division 4</w:t>
      </w:r>
      <w:r>
        <w:rPr>
          <w:snapToGrid w:val="0"/>
        </w:rPr>
        <w:t> — </w:t>
      </w:r>
      <w:r>
        <w:rPr>
          <w:rStyle w:val="CharSDivText"/>
        </w:rPr>
        <w:t>Crowd control agent’s licence</w:t>
      </w:r>
      <w:bookmarkEnd w:id="159"/>
      <w:bookmarkEnd w:id="160"/>
      <w:bookmarkEnd w:id="161"/>
      <w:bookmarkEnd w:id="162"/>
    </w:p>
    <w:p>
      <w:pPr>
        <w:pStyle w:val="yHeading5"/>
        <w:rPr>
          <w:rStyle w:val="CharSClsNo"/>
        </w:rPr>
      </w:pPr>
      <w:bookmarkStart w:id="163" w:name="_Toc122000040"/>
      <w:r>
        <w:rPr>
          <w:rStyle w:val="CharSClsNo"/>
        </w:rPr>
        <w:t>13</w:t>
      </w:r>
      <w:r>
        <w:t>.</w:t>
      </w:r>
      <w:r>
        <w:rPr>
          <w:rStyle w:val="CharSClsNo"/>
        </w:rPr>
        <w:tab/>
        <w:t>C</w:t>
      </w:r>
      <w:r>
        <w:rPr>
          <w:snapToGrid w:val="0"/>
        </w:rPr>
        <w:t>hange of partners, officers or personnel to be notified</w:t>
      </w:r>
      <w:bookmarkEnd w:id="163"/>
      <w:r>
        <w:rPr>
          <w:rStyle w:val="CharSClsNo"/>
        </w:rPr>
        <w:t xml:space="preserve"> </w:t>
      </w:r>
    </w:p>
    <w:p>
      <w:pPr>
        <w:pStyle w:val="ySubsection"/>
        <w:keepNext/>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Gazette 4 Dec 2009 p. 4913.]</w:t>
      </w:r>
    </w:p>
    <w:p>
      <w:pPr>
        <w:pStyle w:val="yHeading5"/>
        <w:rPr>
          <w:rStyle w:val="CharSClsNo"/>
        </w:rPr>
      </w:pPr>
      <w:bookmarkStart w:id="164" w:name="_Toc122000041"/>
      <w:r>
        <w:rPr>
          <w:rStyle w:val="CharSClsNo"/>
        </w:rPr>
        <w:t>14</w:t>
      </w:r>
      <w:r>
        <w:t>.</w:t>
      </w:r>
      <w:r>
        <w:rPr>
          <w:rStyle w:val="CharSClsNo"/>
        </w:rPr>
        <w:tab/>
        <w:t>I</w:t>
      </w:r>
      <w:r>
        <w:rPr>
          <w:snapToGrid w:val="0"/>
        </w:rPr>
        <w:t>dentification cards</w:t>
      </w:r>
      <w:r>
        <w:rPr>
          <w:rStyle w:val="CharSClsNo"/>
        </w:rPr>
        <w:t xml:space="preserve"> to be worn</w:t>
      </w:r>
      <w:bookmarkEnd w:id="164"/>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Gazette 1 Sep 2005 p. 4089.]</w:t>
      </w:r>
    </w:p>
    <w:p>
      <w:pPr>
        <w:pStyle w:val="yHeading5"/>
        <w:rPr>
          <w:snapToGrid w:val="0"/>
        </w:rPr>
      </w:pPr>
      <w:bookmarkStart w:id="165" w:name="_Toc122000042"/>
      <w:r>
        <w:rPr>
          <w:rStyle w:val="CharSClsNo"/>
        </w:rPr>
        <w:t>15</w:t>
      </w:r>
      <w:r>
        <w:t>.</w:t>
      </w:r>
      <w:r>
        <w:rPr>
          <w:rStyle w:val="CharSClsNo"/>
        </w:rPr>
        <w:tab/>
        <w:t>Information</w:t>
      </w:r>
      <w:r>
        <w:rPr>
          <w:snapToGrid w:val="0"/>
        </w:rPr>
        <w:t xml:space="preserve"> to clients</w:t>
      </w:r>
      <w:bookmarkEnd w:id="165"/>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lastRenderedPageBreak/>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Gazette 1 Sep 2005 p. 4089.]</w:t>
      </w:r>
    </w:p>
    <w:p>
      <w:pPr>
        <w:pStyle w:val="yHeading5"/>
      </w:pPr>
      <w:bookmarkStart w:id="166" w:name="_Toc122000043"/>
      <w:r>
        <w:rPr>
          <w:rStyle w:val="CharSClsNo"/>
        </w:rPr>
        <w:t>15A</w:t>
      </w:r>
      <w:r>
        <w:t>.</w:t>
      </w:r>
      <w:r>
        <w:rPr>
          <w:b w:val="0"/>
        </w:rPr>
        <w:tab/>
      </w:r>
      <w:r>
        <w:t>Information to licensing officer</w:t>
      </w:r>
      <w:bookmarkEnd w:id="166"/>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keepNext/>
      </w:pPr>
      <w:r>
        <w:tab/>
        <w:t>(2)</w:t>
      </w:r>
      <w:r>
        <w:tab/>
        <w:t>The notice under subclause (1) is to be in writing and given to a licensing officer within any time frame specified in the request.</w:t>
      </w:r>
    </w:p>
    <w:p>
      <w:pPr>
        <w:pStyle w:val="yFootnotesection"/>
      </w:pPr>
      <w:r>
        <w:tab/>
        <w:t>[Clause 15A inserted: Gazette 4 Dec 2009 p. 4913</w:t>
      </w:r>
      <w:r>
        <w:noBreakHyphen/>
        <w:t>14.]</w:t>
      </w:r>
    </w:p>
    <w:p>
      <w:pPr>
        <w:pStyle w:val="yHeading5"/>
        <w:rPr>
          <w:snapToGrid w:val="0"/>
        </w:rPr>
      </w:pPr>
      <w:bookmarkStart w:id="167" w:name="_Toc122000044"/>
      <w:r>
        <w:rPr>
          <w:rStyle w:val="CharSClsNo"/>
        </w:rPr>
        <w:t>16</w:t>
      </w:r>
      <w:r>
        <w:t>.</w:t>
      </w:r>
      <w:r>
        <w:rPr>
          <w:rStyle w:val="CharSClsNo"/>
        </w:rPr>
        <w:tab/>
      </w:r>
      <w:r>
        <w:rPr>
          <w:snapToGrid w:val="0"/>
        </w:rPr>
        <w:t>No weapons to be carried by crowd controllers</w:t>
      </w:r>
      <w:bookmarkEnd w:id="167"/>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Gazette 1 Sep 2005 p. 4089.]</w:t>
      </w:r>
    </w:p>
    <w:p>
      <w:pPr>
        <w:pStyle w:val="yHeading5"/>
      </w:pPr>
      <w:bookmarkStart w:id="168" w:name="_Toc122000045"/>
      <w:r>
        <w:rPr>
          <w:rStyle w:val="CharSClsNo"/>
        </w:rPr>
        <w:t>16A</w:t>
      </w:r>
      <w:r>
        <w:t>.</w:t>
      </w:r>
      <w:r>
        <w:rPr>
          <w:rStyle w:val="CharSClsNo"/>
        </w:rPr>
        <w:tab/>
        <w:t>Incident</w:t>
      </w:r>
      <w:r>
        <w:rPr>
          <w:snapToGrid w:val="0"/>
        </w:rPr>
        <w:t xml:space="preserve"> register, duties as to</w:t>
      </w:r>
      <w:bookmarkEnd w:id="168"/>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lastRenderedPageBreak/>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Gazette 1 Sep 2005 p. 4090.]</w:t>
      </w:r>
    </w:p>
    <w:p>
      <w:pPr>
        <w:pStyle w:val="yHeading3"/>
        <w:rPr>
          <w:snapToGrid w:val="0"/>
        </w:rPr>
      </w:pPr>
      <w:bookmarkStart w:id="169" w:name="_Toc121993879"/>
      <w:bookmarkStart w:id="170" w:name="_Toc121994886"/>
      <w:bookmarkStart w:id="171" w:name="_Toc121999638"/>
      <w:bookmarkStart w:id="172" w:name="_Toc122000046"/>
      <w:r>
        <w:rPr>
          <w:rStyle w:val="CharSDivNo"/>
        </w:rPr>
        <w:t>Division 5</w:t>
      </w:r>
      <w:r>
        <w:rPr>
          <w:snapToGrid w:val="0"/>
        </w:rPr>
        <w:t> — </w:t>
      </w:r>
      <w:r>
        <w:rPr>
          <w:rStyle w:val="CharSDivText"/>
        </w:rPr>
        <w:t>Crowd controller’s licence</w:t>
      </w:r>
      <w:bookmarkEnd w:id="169"/>
      <w:bookmarkEnd w:id="170"/>
      <w:bookmarkEnd w:id="171"/>
      <w:bookmarkEnd w:id="172"/>
    </w:p>
    <w:p>
      <w:pPr>
        <w:pStyle w:val="yHeading5"/>
        <w:rPr>
          <w:snapToGrid w:val="0"/>
        </w:rPr>
      </w:pPr>
      <w:bookmarkStart w:id="173" w:name="_Toc122000047"/>
      <w:r>
        <w:rPr>
          <w:rStyle w:val="CharSClsNo"/>
        </w:rPr>
        <w:t>17</w:t>
      </w:r>
      <w:r>
        <w:t>.</w:t>
      </w:r>
      <w:r>
        <w:rPr>
          <w:rStyle w:val="CharSClsNo"/>
        </w:rPr>
        <w:tab/>
        <w:t>I</w:t>
      </w:r>
      <w:r>
        <w:rPr>
          <w:snapToGrid w:val="0"/>
        </w:rPr>
        <w:t>dentification card to be worn</w:t>
      </w:r>
      <w:bookmarkEnd w:id="173"/>
    </w:p>
    <w:p>
      <w:pPr>
        <w:pStyle w:val="ySubsection"/>
        <w:keepNext/>
        <w:rPr>
          <w:snapToGrid w:val="0"/>
        </w:rPr>
      </w:pPr>
      <w:r>
        <w:rPr>
          <w:snapToGrid w:val="0"/>
        </w:rPr>
        <w:tab/>
      </w:r>
      <w:r>
        <w:rPr>
          <w:snapToGrid w:val="0"/>
        </w:rPr>
        <w:tab/>
        <w:t>A crowd controller to whom an identification card has been issued under section 61 must wear that card — </w:t>
      </w:r>
    </w:p>
    <w:p>
      <w:pPr>
        <w:pStyle w:val="yIndenta"/>
        <w:keepNext/>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Gazette 1 Sep 2005 p. 4090.]</w:t>
      </w:r>
    </w:p>
    <w:p>
      <w:pPr>
        <w:pStyle w:val="yHeading5"/>
        <w:rPr>
          <w:rStyle w:val="CharSClsNo"/>
        </w:rPr>
      </w:pPr>
      <w:bookmarkStart w:id="174" w:name="_Toc122000048"/>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74"/>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75" w:name="_Toc122000049"/>
      <w:r>
        <w:rPr>
          <w:rStyle w:val="CharSClsNo"/>
        </w:rPr>
        <w:t>19A</w:t>
      </w:r>
      <w:r>
        <w:t>.</w:t>
      </w:r>
      <w:r>
        <w:rPr>
          <w:b w:val="0"/>
        </w:rPr>
        <w:tab/>
      </w:r>
      <w:r>
        <w:t>First aid certificate</w:t>
      </w:r>
      <w:bookmarkEnd w:id="175"/>
    </w:p>
    <w:p>
      <w:pPr>
        <w:pStyle w:val="ySubsection"/>
      </w:pPr>
      <w:r>
        <w:tab/>
        <w:t>(1)</w:t>
      </w:r>
      <w:r>
        <w:tab/>
        <w:t>A crowd controller must not perform crowd control activities unless the controller holds a current first aid certificate.</w:t>
      </w:r>
    </w:p>
    <w:p>
      <w:pPr>
        <w:pStyle w:val="yEdnotesubsection"/>
      </w:pPr>
      <w:r>
        <w:tab/>
        <w:t>[(2)</w:t>
      </w:r>
      <w:r>
        <w:tab/>
        <w:t>deleted]</w:t>
      </w:r>
    </w:p>
    <w:p>
      <w:pPr>
        <w:pStyle w:val="yFootnotesection"/>
      </w:pPr>
      <w:r>
        <w:lastRenderedPageBreak/>
        <w:tab/>
        <w:t>[Clause 19A inserted: Gazette 4 Dec 2009 p. 4914; amended: Gazette 29 Jul 2016 p. 3249.]</w:t>
      </w:r>
    </w:p>
    <w:p>
      <w:pPr>
        <w:pStyle w:val="yHeading5"/>
      </w:pPr>
      <w:bookmarkStart w:id="176" w:name="_Toc122000050"/>
      <w:r>
        <w:rPr>
          <w:rStyle w:val="CharSClsNo"/>
        </w:rPr>
        <w:t>19</w:t>
      </w:r>
      <w:r>
        <w:t>.</w:t>
      </w:r>
      <w:r>
        <w:rPr>
          <w:rStyle w:val="CharSClsNo"/>
        </w:rPr>
        <w:tab/>
        <w:t>Incident</w:t>
      </w:r>
      <w:r>
        <w:rPr>
          <w:snapToGrid w:val="0"/>
        </w:rPr>
        <w:t xml:space="preserve"> register, duties as to</w:t>
      </w:r>
      <w:bookmarkEnd w:id="176"/>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Gazette 1 Sep 2005 p. 4091.]</w:t>
      </w:r>
    </w:p>
    <w:p>
      <w:pPr>
        <w:pStyle w:val="yHeading3"/>
      </w:pPr>
      <w:bookmarkStart w:id="177" w:name="_Toc121993884"/>
      <w:bookmarkStart w:id="178" w:name="_Toc121994891"/>
      <w:bookmarkStart w:id="179" w:name="_Toc121999643"/>
      <w:bookmarkStart w:id="180" w:name="_Toc122000051"/>
      <w:r>
        <w:rPr>
          <w:rStyle w:val="CharSDivNo"/>
        </w:rPr>
        <w:t>Division 6 </w:t>
      </w:r>
      <w:r>
        <w:t>— </w:t>
      </w:r>
      <w:r>
        <w:rPr>
          <w:rStyle w:val="CharSDivText"/>
        </w:rPr>
        <w:t>All licences</w:t>
      </w:r>
      <w:bookmarkEnd w:id="177"/>
      <w:bookmarkEnd w:id="178"/>
      <w:bookmarkEnd w:id="179"/>
      <w:bookmarkEnd w:id="180"/>
    </w:p>
    <w:p>
      <w:pPr>
        <w:pStyle w:val="yFootnoteheading"/>
      </w:pPr>
      <w:r>
        <w:tab/>
        <w:t>[Heading inserted: Gazette 1 Sep 2005 p. 4091.]</w:t>
      </w:r>
    </w:p>
    <w:p>
      <w:pPr>
        <w:pStyle w:val="yHeading5"/>
      </w:pPr>
      <w:bookmarkStart w:id="181" w:name="_Toc122000052"/>
      <w:r>
        <w:rPr>
          <w:rStyle w:val="CharSClsNo"/>
        </w:rPr>
        <w:t>20</w:t>
      </w:r>
      <w:r>
        <w:t>.</w:t>
      </w:r>
      <w:r>
        <w:tab/>
        <w:t>Identity cards, duties of people holding</w:t>
      </w:r>
      <w:bookmarkEnd w:id="181"/>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lastRenderedPageBreak/>
        <w:tab/>
        <w:t>(d)</w:t>
      </w:r>
      <w:r>
        <w:tab/>
        <w:t>must not request or allow another person to deliberately alter, remove or obscure the photograph on the identity card.</w:t>
      </w:r>
    </w:p>
    <w:p>
      <w:pPr>
        <w:pStyle w:val="yFootnotesection"/>
        <w:keepNext/>
      </w:pPr>
      <w:r>
        <w:tab/>
        <w:t>[Clause 20 inserted: Gazette 1 Sep 2005 p. 4091</w:t>
      </w:r>
      <w:r>
        <w:noBreakHyphen/>
        <w:t>2.]</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83" w:name="_Toc121993886"/>
      <w:bookmarkStart w:id="184" w:name="_Toc121994893"/>
      <w:bookmarkStart w:id="185" w:name="_Toc121999645"/>
      <w:bookmarkStart w:id="186" w:name="_Toc122000053"/>
      <w:r>
        <w:rPr>
          <w:rStyle w:val="CharSchNo"/>
        </w:rPr>
        <w:lastRenderedPageBreak/>
        <w:t>Schedule 2</w:t>
      </w:r>
      <w:r>
        <w:t> — </w:t>
      </w:r>
      <w:r>
        <w:rPr>
          <w:rStyle w:val="CharSchText"/>
        </w:rPr>
        <w:t>Disqualifying offences</w:t>
      </w:r>
      <w:bookmarkEnd w:id="183"/>
      <w:bookmarkEnd w:id="184"/>
      <w:bookmarkEnd w:id="185"/>
      <w:bookmarkEnd w:id="186"/>
    </w:p>
    <w:p>
      <w:pPr>
        <w:pStyle w:val="yShoulderClause"/>
      </w:pPr>
      <w:r>
        <w:t>[r. 24]</w:t>
      </w:r>
    </w:p>
    <w:p>
      <w:pPr>
        <w:pStyle w:val="yFootnoteheading"/>
      </w:pPr>
      <w:r>
        <w:tab/>
        <w:t>[Heading inserted: Gazette 4 Dec 2009 p. 4914.]</w:t>
      </w:r>
    </w:p>
    <w:p>
      <w:pPr>
        <w:pStyle w:val="yHeading3"/>
      </w:pPr>
      <w:bookmarkStart w:id="187" w:name="_Toc121993887"/>
      <w:bookmarkStart w:id="188" w:name="_Toc121994894"/>
      <w:bookmarkStart w:id="189" w:name="_Toc121999646"/>
      <w:bookmarkStart w:id="190" w:name="_Toc122000054"/>
      <w:r>
        <w:rPr>
          <w:rStyle w:val="CharSDivNo"/>
        </w:rPr>
        <w:t>Division 1</w:t>
      </w:r>
      <w:r>
        <w:rPr>
          <w:b w:val="0"/>
        </w:rPr>
        <w:t> — </w:t>
      </w:r>
      <w:r>
        <w:rPr>
          <w:rStyle w:val="CharSDivText"/>
        </w:rPr>
        <w:t>Division 1 offences</w:t>
      </w:r>
      <w:bookmarkEnd w:id="187"/>
      <w:bookmarkEnd w:id="188"/>
      <w:bookmarkEnd w:id="189"/>
      <w:bookmarkEnd w:id="190"/>
    </w:p>
    <w:p>
      <w:pPr>
        <w:pStyle w:val="yFootnoteheading"/>
        <w:spacing w:after="120"/>
      </w:pPr>
      <w:r>
        <w:tab/>
        <w:t>[Heading inserted: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192</w:t>
            </w:r>
          </w:p>
        </w:tc>
        <w:tc>
          <w:tcPr>
            <w:tcW w:w="1701" w:type="dxa"/>
            <w:tcBorders>
              <w:top w:val="nil"/>
              <w:left w:val="nil"/>
              <w:bottom w:val="nil"/>
              <w:right w:val="nil"/>
            </w:tcBorders>
          </w:tcPr>
          <w:p>
            <w:pPr>
              <w:pStyle w:val="yTableNAm"/>
              <w:spacing w:before="80"/>
            </w:pPr>
            <w:r>
              <w:t>s. 345</w:t>
            </w:r>
          </w:p>
        </w:tc>
        <w:tc>
          <w:tcPr>
            <w:tcW w:w="1681" w:type="dxa"/>
            <w:tcBorders>
              <w:top w:val="nil"/>
              <w:left w:val="nil"/>
              <w:bottom w:val="nil"/>
              <w:right w:val="nil"/>
            </w:tcBorders>
          </w:tcPr>
          <w:p>
            <w:pPr>
              <w:pStyle w:val="yTableNAm"/>
              <w:spacing w:before="80"/>
            </w:pPr>
            <w:r>
              <w:t>s. 396</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488</w:t>
            </w:r>
          </w:p>
        </w:tc>
        <w:tc>
          <w:tcPr>
            <w:tcW w:w="1701" w:type="dxa"/>
            <w:tcBorders>
              <w:top w:val="nil"/>
              <w:left w:val="nil"/>
              <w:bottom w:val="nil"/>
              <w:right w:val="nil"/>
            </w:tcBorders>
          </w:tcPr>
          <w:p>
            <w:pPr>
              <w:pStyle w:val="yTableNAm"/>
              <w:spacing w:before="80"/>
            </w:pP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Gazette 4 Dec 2009 p. 4914</w:t>
      </w:r>
      <w:r>
        <w:noBreakHyphen/>
        <w:t>15; amended: Gazette 29 Jul 2016 p. 3249.]</w:t>
      </w:r>
    </w:p>
    <w:p>
      <w:pPr>
        <w:pStyle w:val="yHeading3"/>
      </w:pPr>
      <w:bookmarkStart w:id="191" w:name="_Toc121993888"/>
      <w:bookmarkStart w:id="192" w:name="_Toc121994895"/>
      <w:bookmarkStart w:id="193" w:name="_Toc121999647"/>
      <w:bookmarkStart w:id="194" w:name="_Toc122000055"/>
      <w:r>
        <w:rPr>
          <w:rStyle w:val="CharSDivNo"/>
        </w:rPr>
        <w:lastRenderedPageBreak/>
        <w:t>Division 2</w:t>
      </w:r>
      <w:r>
        <w:rPr>
          <w:b w:val="0"/>
        </w:rPr>
        <w:t> — </w:t>
      </w:r>
      <w:r>
        <w:rPr>
          <w:rStyle w:val="CharSDivText"/>
        </w:rPr>
        <w:t>Division 2 offences</w:t>
      </w:r>
      <w:bookmarkEnd w:id="191"/>
      <w:bookmarkEnd w:id="192"/>
      <w:bookmarkEnd w:id="193"/>
      <w:bookmarkEnd w:id="194"/>
    </w:p>
    <w:p>
      <w:pPr>
        <w:pStyle w:val="yFootnoteheading"/>
        <w:spacing w:after="120"/>
      </w:pPr>
      <w:r>
        <w:tab/>
        <w:t>[Heading inserted: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rPr>
                <w:szCs w:val="22"/>
              </w:rPr>
              <w:t>s. 172</w:t>
            </w:r>
          </w:p>
        </w:tc>
        <w:tc>
          <w:tcPr>
            <w:tcW w:w="1624" w:type="dxa"/>
            <w:tcBorders>
              <w:top w:val="nil"/>
              <w:left w:val="nil"/>
              <w:bottom w:val="nil"/>
              <w:right w:val="nil"/>
            </w:tcBorders>
          </w:tcPr>
          <w:p>
            <w:pPr>
              <w:pStyle w:val="yTableNAm"/>
              <w:spacing w:before="80"/>
            </w:pPr>
            <w:r>
              <w:t>s. 190</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191</w:t>
            </w:r>
          </w:p>
        </w:tc>
        <w:tc>
          <w:tcPr>
            <w:tcW w:w="1701" w:type="dxa"/>
            <w:tcBorders>
              <w:top w:val="nil"/>
              <w:left w:val="nil"/>
              <w:bottom w:val="nil"/>
              <w:right w:val="nil"/>
            </w:tcBorders>
          </w:tcPr>
          <w:p>
            <w:pPr>
              <w:pStyle w:val="yTableNAm"/>
              <w:spacing w:before="80"/>
            </w:pPr>
            <w:r>
              <w:t>s. 202</w:t>
            </w:r>
          </w:p>
        </w:tc>
        <w:tc>
          <w:tcPr>
            <w:tcW w:w="1624" w:type="dxa"/>
            <w:tcBorders>
              <w:top w:val="nil"/>
              <w:left w:val="nil"/>
              <w:bottom w:val="nil"/>
              <w:right w:val="nil"/>
            </w:tcBorders>
          </w:tcPr>
          <w:p>
            <w:pPr>
              <w:pStyle w:val="yTableNAm"/>
              <w:spacing w:before="80"/>
            </w:pPr>
            <w:r>
              <w:t>s. 313</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445</w:t>
            </w:r>
          </w:p>
        </w:tc>
        <w:tc>
          <w:tcPr>
            <w:tcW w:w="1701" w:type="dxa"/>
            <w:tcBorders>
              <w:top w:val="nil"/>
              <w:left w:val="nil"/>
              <w:bottom w:val="nil"/>
              <w:right w:val="nil"/>
            </w:tcBorders>
          </w:tcPr>
          <w:p>
            <w:pPr>
              <w:pStyle w:val="yTableNAm"/>
              <w:spacing w:before="80"/>
            </w:pPr>
            <w:r>
              <w:t>s. 474</w:t>
            </w:r>
          </w:p>
        </w:tc>
        <w:tc>
          <w:tcPr>
            <w:tcW w:w="1624" w:type="dxa"/>
            <w:tcBorders>
              <w:top w:val="nil"/>
              <w:left w:val="nil"/>
              <w:bottom w:val="nil"/>
              <w:right w:val="nil"/>
            </w:tcBorders>
          </w:tcPr>
          <w:p>
            <w:pPr>
              <w:pStyle w:val="yTableNAm"/>
              <w:spacing w:before="80"/>
            </w:pPr>
            <w:r>
              <w:t>s. 514</w:t>
            </w: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Medicines and Poisons Act 2014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Gazette 4 Dec 2009 p. 4915</w:t>
      </w:r>
      <w:r>
        <w:noBreakHyphen/>
        <w:t>16; amended: Gazette 29 Jul 2016 p. 3249; 17 Jan 2017 p. 416.]</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195" w:name="_Toc121993889"/>
      <w:bookmarkStart w:id="196" w:name="_Toc121994896"/>
      <w:bookmarkStart w:id="197" w:name="_Toc121999648"/>
      <w:bookmarkStart w:id="198" w:name="_Toc122000056"/>
      <w:r>
        <w:rPr>
          <w:rStyle w:val="CharSchNo"/>
        </w:rPr>
        <w:lastRenderedPageBreak/>
        <w:t>Schedule 3</w:t>
      </w:r>
      <w:r>
        <w:rPr>
          <w:rStyle w:val="CharSDivText"/>
        </w:rPr>
        <w:t> </w:t>
      </w:r>
      <w:r>
        <w:t>—</w:t>
      </w:r>
      <w:r>
        <w:rPr>
          <w:rStyle w:val="CharSDivNo"/>
        </w:rPr>
        <w:t> </w:t>
      </w:r>
      <w:r>
        <w:rPr>
          <w:rStyle w:val="CharSchText"/>
        </w:rPr>
        <w:t>Prescribed drugs</w:t>
      </w:r>
      <w:bookmarkEnd w:id="195"/>
      <w:bookmarkEnd w:id="196"/>
      <w:bookmarkEnd w:id="197"/>
      <w:bookmarkEnd w:id="198"/>
    </w:p>
    <w:p>
      <w:pPr>
        <w:pStyle w:val="yShoulderClause"/>
      </w:pPr>
      <w:r>
        <w:t>[r. 45, 51 and 52]</w:t>
      </w:r>
    </w:p>
    <w:p>
      <w:pPr>
        <w:pStyle w:val="yFootnoteheading"/>
        <w:spacing w:after="120"/>
      </w:pPr>
      <w:r>
        <w:tab/>
        <w:t>[Heading inserted: Gazette 17 Jan 2017 p. 416.]</w:t>
      </w:r>
    </w:p>
    <w:p>
      <w:pPr>
        <w:pStyle w:val="ySubsection"/>
      </w:pPr>
      <w:r>
        <w:tab/>
      </w:r>
      <w:r>
        <w:tab/>
        <w:t xml:space="preserve">Any drug, other than testosterone, that is from time to time — </w:t>
      </w:r>
    </w:p>
    <w:p>
      <w:pPr>
        <w:pStyle w:val="yIndenta"/>
      </w:pPr>
      <w:r>
        <w:tab/>
        <w:t>(a)</w:t>
      </w:r>
      <w:r>
        <w:tab/>
        <w:t xml:space="preserve">a specified drug within the meaning of the </w:t>
      </w:r>
      <w:r>
        <w:rPr>
          <w:i/>
        </w:rPr>
        <w:t>Misuse of Drugs Act 1981</w:t>
      </w:r>
      <w:r>
        <w:t xml:space="preserve"> section 3(1); or</w:t>
      </w:r>
    </w:p>
    <w:p>
      <w:pPr>
        <w:pStyle w:val="yIndenta"/>
      </w:pPr>
      <w:r>
        <w:tab/>
        <w:t>(b)</w:t>
      </w:r>
      <w:r>
        <w:tab/>
        <w:t xml:space="preserve">a Schedule 8 poison or a Schedule 9 poison as those terms are defined in the </w:t>
      </w:r>
      <w:r>
        <w:rPr>
          <w:i/>
        </w:rPr>
        <w:t>Medicines and Poisons Act 2014</w:t>
      </w:r>
      <w:r>
        <w:t xml:space="preserve"> section 3.</w:t>
      </w:r>
    </w:p>
    <w:p>
      <w:pPr>
        <w:pStyle w:val="yFootnotesection"/>
        <w:keepNext/>
        <w:rPr>
          <w:rStyle w:val="CharSchNo"/>
        </w:rPr>
      </w:pPr>
      <w:r>
        <w:tab/>
        <w:t>[Schedule 3 inserted: Gazette 17 Jan 2017 p. 416</w:t>
      </w:r>
      <w:r>
        <w:noBreakHyphen/>
        <w:t>17.]</w:t>
      </w:r>
    </w:p>
    <w:p>
      <w:pPr>
        <w:pStyle w:val="yScheduleHeading"/>
      </w:pPr>
      <w:bookmarkStart w:id="199" w:name="_Toc121993890"/>
      <w:bookmarkStart w:id="200" w:name="_Toc121994897"/>
      <w:bookmarkStart w:id="201" w:name="_Toc121999649"/>
      <w:bookmarkStart w:id="202" w:name="_Toc122000057"/>
      <w:r>
        <w:rPr>
          <w:rStyle w:val="CharSchNo"/>
        </w:rPr>
        <w:lastRenderedPageBreak/>
        <w:t>Schedule 4</w:t>
      </w:r>
      <w:r>
        <w:t> — </w:t>
      </w:r>
      <w:r>
        <w:rPr>
          <w:rStyle w:val="CharSchText"/>
        </w:rPr>
        <w:t>Fees</w:t>
      </w:r>
      <w:bookmarkEnd w:id="199"/>
      <w:bookmarkEnd w:id="200"/>
      <w:bookmarkEnd w:id="201"/>
      <w:bookmarkEnd w:id="202"/>
    </w:p>
    <w:p>
      <w:pPr>
        <w:pStyle w:val="yShoulderClause"/>
      </w:pPr>
      <w:r>
        <w:t>[r. 54]</w:t>
      </w:r>
    </w:p>
    <w:p>
      <w:pPr>
        <w:pStyle w:val="yFootnoteheading"/>
        <w:spacing w:after="60"/>
      </w:pPr>
      <w:r>
        <w:tab/>
        <w:t>[Heading inserted: SL 2022/65 r. 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1985"/>
        <w:gridCol w:w="3543"/>
        <w:gridCol w:w="1276"/>
      </w:tblGrid>
      <w:tr>
        <w:trPr>
          <w:cantSplit/>
          <w:tblHeader/>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jc w:val="center"/>
              <w:rPr>
                <w:b/>
              </w:rPr>
            </w:pPr>
            <w:r>
              <w:rPr>
                <w:b/>
              </w:rPr>
              <w:t>Column 1</w:t>
            </w:r>
          </w:p>
          <w:p>
            <w:pPr>
              <w:pStyle w:val="yTableNAm"/>
              <w:jc w:val="center"/>
              <w:rPr>
                <w:b/>
              </w:rPr>
            </w:pPr>
            <w:r>
              <w:rPr>
                <w:b/>
              </w:rPr>
              <w:t>Provision of Act or regulations</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jc w:val="center"/>
              <w:rPr>
                <w:b/>
              </w:rPr>
            </w:pPr>
            <w:r>
              <w:rPr>
                <w:b/>
              </w:rPr>
              <w:t>Column 2</w:t>
            </w:r>
          </w:p>
          <w:p>
            <w:pPr>
              <w:pStyle w:val="yTableNAm"/>
              <w:jc w:val="center"/>
              <w:rPr>
                <w:b/>
              </w:rPr>
            </w:pPr>
            <w:r>
              <w:rPr>
                <w:b/>
              </w:rPr>
              <w:br/>
              <w:t>Subject matter</w:t>
            </w:r>
          </w:p>
        </w:tc>
        <w:tc>
          <w:tcPr>
            <w:tcW w:w="1276" w:type="dxa"/>
            <w:tcBorders>
              <w:top w:val="single" w:sz="4" w:space="0" w:color="auto"/>
              <w:left w:val="single" w:sz="4" w:space="0" w:color="auto"/>
              <w:bottom w:val="single" w:sz="4" w:space="0" w:color="auto"/>
              <w:right w:val="single" w:sz="4" w:space="0" w:color="auto"/>
            </w:tcBorders>
            <w:noWrap/>
            <w:hideMark/>
          </w:tcPr>
          <w:p>
            <w:pPr>
              <w:pStyle w:val="yTableNAm"/>
              <w:jc w:val="center"/>
              <w:rPr>
                <w:b/>
              </w:rPr>
            </w:pPr>
            <w:r>
              <w:rPr>
                <w:b/>
              </w:rPr>
              <w:t>Column 3</w:t>
            </w:r>
          </w:p>
          <w:p>
            <w:pPr>
              <w:pStyle w:val="yTableNAm"/>
              <w:jc w:val="center"/>
              <w:rPr>
                <w:b/>
              </w:rPr>
            </w:pPr>
            <w:r>
              <w:rPr>
                <w:b/>
              </w:rPr>
              <w:t>Fee</w:t>
            </w:r>
            <w:r>
              <w:rPr>
                <w:b/>
              </w:rPr>
              <w:br/>
              <w:t>$</w:t>
            </w:r>
          </w:p>
        </w:tc>
      </w:tr>
      <w:tr>
        <w:trPr>
          <w:cantSplit/>
        </w:trPr>
        <w:tc>
          <w:tcPr>
            <w:tcW w:w="6804" w:type="dxa"/>
            <w:gridSpan w:val="3"/>
            <w:tcBorders>
              <w:top w:val="single" w:sz="4" w:space="0" w:color="auto"/>
              <w:left w:val="single" w:sz="4" w:space="0" w:color="auto"/>
              <w:bottom w:val="single" w:sz="4" w:space="0" w:color="auto"/>
              <w:right w:val="single" w:sz="4" w:space="0" w:color="auto"/>
            </w:tcBorders>
            <w:noWrap/>
            <w:hideMark/>
          </w:tcPr>
          <w:p>
            <w:pPr>
              <w:pStyle w:val="yTableNAm"/>
              <w:rPr>
                <w:b/>
              </w:rPr>
            </w:pPr>
            <w:r>
              <w:rPr>
                <w:b/>
                <w:i/>
              </w:rPr>
              <w:t>Agent’s licences</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46(1)(c)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pPr>
            <w:r>
              <w:t>Application for issue of agent’s licence —</w:t>
            </w:r>
          </w:p>
          <w:p>
            <w:pPr>
              <w:pStyle w:val="yTableNAm"/>
              <w:tabs>
                <w:tab w:val="right" w:leader="dot" w:pos="567"/>
                <w:tab w:val="right" w:leader="dot" w:pos="3328"/>
              </w:tabs>
            </w:pPr>
            <w:r>
              <w:t xml:space="preserve">for 1 year or less </w:t>
            </w:r>
            <w:r>
              <w:tab/>
            </w:r>
          </w:p>
          <w:p>
            <w:pPr>
              <w:pStyle w:val="yTableNAm"/>
              <w:tabs>
                <w:tab w:val="right" w:leader="dot" w:pos="567"/>
                <w:tab w:val="right" w:leader="dot" w:pos="3328"/>
              </w:tabs>
            </w:pPr>
            <w:r>
              <w:t xml:space="preserve">for more than 1 year but not more than 3 years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br/>
            </w:r>
          </w:p>
          <w:p>
            <w:pPr>
              <w:pStyle w:val="yTableNAm"/>
              <w:ind w:right="240"/>
              <w:jc w:val="right"/>
            </w:pPr>
            <w:r>
              <w:t>1 391</w:t>
            </w:r>
          </w:p>
          <w:p>
            <w:pPr>
              <w:pStyle w:val="yTableNAm"/>
              <w:ind w:right="240"/>
              <w:jc w:val="right"/>
            </w:pPr>
            <w:r>
              <w:br/>
              <w:t>1 401</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46(1)(c)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by licensee for additional agent’s licence (each licence)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928</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49(1)(c)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Application for renewal of agent’s licence — for 3 years (each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993</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46(1)(c)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for issue of temporary licence under s. 42B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1 391</w:t>
            </w:r>
          </w:p>
        </w:tc>
      </w:tr>
      <w:tr>
        <w:trPr>
          <w:cantSplit/>
        </w:trPr>
        <w:tc>
          <w:tcPr>
            <w:tcW w:w="6804" w:type="dxa"/>
            <w:gridSpan w:val="3"/>
            <w:tcBorders>
              <w:top w:val="single" w:sz="4" w:space="0" w:color="auto"/>
              <w:left w:val="single" w:sz="4" w:space="0" w:color="auto"/>
              <w:bottom w:val="single" w:sz="4" w:space="0" w:color="auto"/>
              <w:right w:val="single" w:sz="4" w:space="0" w:color="auto"/>
            </w:tcBorders>
            <w:noWrap/>
            <w:hideMark/>
          </w:tcPr>
          <w:p>
            <w:pPr>
              <w:pStyle w:val="yTableNAm"/>
              <w:rPr>
                <w:b/>
              </w:rPr>
            </w:pPr>
            <w:r>
              <w:rPr>
                <w:b/>
                <w:i/>
              </w:rPr>
              <w:t>Other licences, endorsements and permits</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46(1)(c)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pPr>
            <w:r>
              <w:t>Application for issue of licence (other than agent’s licence or temporary licence) —</w:t>
            </w:r>
          </w:p>
          <w:p>
            <w:pPr>
              <w:pStyle w:val="yTableNAm"/>
              <w:tabs>
                <w:tab w:val="right" w:leader="dot" w:pos="567"/>
                <w:tab w:val="right" w:leader="dot" w:pos="3328"/>
              </w:tabs>
            </w:pPr>
            <w:r>
              <w:t xml:space="preserve">for 1 year or less </w:t>
            </w:r>
            <w:r>
              <w:tab/>
            </w:r>
          </w:p>
          <w:p>
            <w:pPr>
              <w:pStyle w:val="yTableNAm"/>
              <w:tabs>
                <w:tab w:val="right" w:leader="dot" w:pos="567"/>
                <w:tab w:val="right" w:leader="dot" w:pos="3328"/>
              </w:tabs>
            </w:pPr>
            <w:r>
              <w:t xml:space="preserve">for more than 1 year but not more than 3 years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br/>
            </w:r>
            <w:r>
              <w:br/>
            </w:r>
          </w:p>
          <w:p>
            <w:pPr>
              <w:pStyle w:val="yTableNAm"/>
              <w:ind w:right="240"/>
              <w:jc w:val="right"/>
            </w:pPr>
            <w:r>
              <w:t>365</w:t>
            </w:r>
          </w:p>
          <w:p>
            <w:pPr>
              <w:pStyle w:val="yTableNAm"/>
              <w:ind w:right="240"/>
              <w:jc w:val="right"/>
            </w:pPr>
            <w:r>
              <w:br/>
              <w:t>375</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46(1)(c)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by licensee for additional licence (other than agent’s licence or temporary licence) (each licence)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214</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lastRenderedPageBreak/>
              <w:t>s. 49(1)(c)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for renewal of licence (other than agent’s licence or temporary licence) — for 3 years or less (each licence)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229</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r. 10(b)</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right" w:leader="dot" w:pos="481"/>
                <w:tab w:val="right" w:leader="dot" w:pos="3328"/>
              </w:tabs>
            </w:pPr>
            <w:r>
              <w:t xml:space="preserve">Application for endorsement under s. 24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203</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r. 12</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for permit under s. 25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243</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r. 13(b)</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right" w:leader="dot" w:pos="481"/>
                <w:tab w:val="right" w:leader="dot" w:pos="3328"/>
              </w:tabs>
            </w:pPr>
            <w:r>
              <w:t xml:space="preserve">Application for endorsement under s. 26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203</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46(1)(c)</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for issue of temporary licence under s. 42A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365</w:t>
            </w:r>
          </w:p>
        </w:tc>
      </w:tr>
      <w:tr>
        <w:trPr>
          <w:cantSplit/>
        </w:trPr>
        <w:tc>
          <w:tcPr>
            <w:tcW w:w="6804" w:type="dxa"/>
            <w:gridSpan w:val="3"/>
            <w:tcBorders>
              <w:top w:val="single" w:sz="4" w:space="0" w:color="auto"/>
              <w:left w:val="single" w:sz="4" w:space="0" w:color="auto"/>
              <w:bottom w:val="single" w:sz="4" w:space="0" w:color="auto"/>
              <w:right w:val="single" w:sz="4" w:space="0" w:color="auto"/>
            </w:tcBorders>
            <w:noWrap/>
            <w:hideMark/>
          </w:tcPr>
          <w:p>
            <w:pPr>
              <w:pStyle w:val="yTableNAm"/>
              <w:rPr>
                <w:b/>
              </w:rPr>
            </w:pPr>
            <w:r>
              <w:rPr>
                <w:b/>
                <w:i/>
              </w:rPr>
              <w:t>Miscellaneous</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10(2)</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Application to inspect register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40"/>
              <w:jc w:val="right"/>
            </w:pPr>
            <w:r>
              <w:t>50</w:t>
            </w:r>
          </w:p>
        </w:tc>
      </w:tr>
      <w:tr>
        <w:trPr>
          <w:cantSplit/>
          <w:trHeight w:val="434"/>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10(3)</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Certified copy of register entry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38"/>
              <w:jc w:val="right"/>
            </w:pPr>
            <w:r>
              <w:t>51</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66</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Issue of duplicate licence or duplicate identity card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38"/>
              <w:jc w:val="right"/>
            </w:pPr>
            <w:r>
              <w:t>33</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 94(4)(b)</w:t>
            </w:r>
          </w:p>
        </w:tc>
        <w:tc>
          <w:tcPr>
            <w:tcW w:w="3543" w:type="dxa"/>
            <w:tcBorders>
              <w:top w:val="single" w:sz="4" w:space="0" w:color="auto"/>
              <w:left w:val="single" w:sz="4" w:space="0" w:color="auto"/>
              <w:bottom w:val="single" w:sz="4" w:space="0" w:color="auto"/>
              <w:right w:val="single" w:sz="4" w:space="0" w:color="auto"/>
            </w:tcBorders>
            <w:noWrap/>
            <w:hideMark/>
          </w:tcPr>
          <w:p>
            <w:pPr>
              <w:pStyle w:val="yTableNAm"/>
              <w:tabs>
                <w:tab w:val="right" w:leader="dot" w:pos="567"/>
                <w:tab w:val="right" w:leader="dot" w:pos="3328"/>
              </w:tabs>
            </w:pPr>
            <w:r>
              <w:t xml:space="preserve">Additional fee if fingerprints and palm prints are required under s. 48(1)(a) or (b)(i) </w:t>
            </w:r>
            <w:r>
              <w:tab/>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238"/>
              <w:jc w:val="right"/>
            </w:pPr>
            <w:r>
              <w:t>123</w:t>
            </w:r>
          </w:p>
        </w:tc>
      </w:tr>
    </w:tbl>
    <w:p>
      <w:pPr>
        <w:pStyle w:val="yFootnotesection"/>
      </w:pPr>
      <w:r>
        <w:tab/>
        <w:t>[Schedule 4 inserted: SL 2022/65 r. 11.]</w:t>
      </w:r>
    </w:p>
    <w:p>
      <w:pPr>
        <w:pStyle w:val="yScheduleHeading"/>
      </w:pPr>
      <w:bookmarkStart w:id="203" w:name="_Toc121993891"/>
      <w:bookmarkStart w:id="204" w:name="_Toc121994898"/>
      <w:bookmarkStart w:id="205" w:name="_Toc121999650"/>
      <w:bookmarkStart w:id="206" w:name="_Toc122000058"/>
      <w:r>
        <w:rPr>
          <w:rStyle w:val="CharSchNo"/>
        </w:rPr>
        <w:lastRenderedPageBreak/>
        <w:t>Schedule 5</w:t>
      </w:r>
      <w:r>
        <w:t> — </w:t>
      </w:r>
      <w:r>
        <w:rPr>
          <w:rStyle w:val="CharSchText"/>
        </w:rPr>
        <w:t>Prescribed offences and modified penalties for infringement notices</w:t>
      </w:r>
      <w:bookmarkEnd w:id="203"/>
      <w:bookmarkEnd w:id="204"/>
      <w:bookmarkEnd w:id="205"/>
      <w:bookmarkEnd w:id="206"/>
    </w:p>
    <w:p>
      <w:pPr>
        <w:pStyle w:val="yShoulderClause"/>
        <w:rPr>
          <w:szCs w:val="22"/>
        </w:rPr>
      </w:pPr>
      <w:r>
        <w:rPr>
          <w:szCs w:val="22"/>
        </w:rPr>
        <w:t>[r. 58]</w:t>
      </w:r>
    </w:p>
    <w:p>
      <w:pPr>
        <w:pStyle w:val="yFootnoteheading"/>
      </w:pPr>
      <w:r>
        <w:tab/>
        <w:t>[Heading inserted: Gazette 29 Jul 2016 p. 3249.]</w:t>
      </w:r>
    </w:p>
    <w:p>
      <w:pPr>
        <w:pStyle w:val="yHeading3"/>
      </w:pPr>
      <w:bookmarkStart w:id="207" w:name="_Toc121993892"/>
      <w:bookmarkStart w:id="208" w:name="_Toc121994899"/>
      <w:bookmarkStart w:id="209" w:name="_Toc121999651"/>
      <w:bookmarkStart w:id="210" w:name="_Toc122000059"/>
      <w:r>
        <w:rPr>
          <w:rStyle w:val="CharSDivNo"/>
        </w:rPr>
        <w:t>Division 1</w:t>
      </w:r>
      <w:r>
        <w:t> — </w:t>
      </w:r>
      <w:r>
        <w:rPr>
          <w:rStyle w:val="CharSDivText"/>
        </w:rPr>
        <w:t>Offences under the Act</w:t>
      </w:r>
      <w:bookmarkEnd w:id="207"/>
      <w:bookmarkEnd w:id="208"/>
      <w:bookmarkEnd w:id="209"/>
      <w:bookmarkEnd w:id="210"/>
    </w:p>
    <w:p>
      <w:pPr>
        <w:pStyle w:val="yFootnoteheading"/>
      </w:pPr>
      <w:r>
        <w:tab/>
        <w:t>[Heading inserted: Gazette 29 Jul 2016 p. 3249.]</w:t>
      </w:r>
    </w:p>
    <w:tbl>
      <w:tblPr>
        <w:tblStyle w:val="TableGrid"/>
        <w:tblW w:w="0" w:type="auto"/>
        <w:tblInd w:w="392" w:type="dxa"/>
        <w:tblLook w:val="04A0" w:firstRow="1" w:lastRow="0" w:firstColumn="1" w:lastColumn="0" w:noHBand="0" w:noVBand="1"/>
      </w:tblPr>
      <w:tblGrid>
        <w:gridCol w:w="766"/>
        <w:gridCol w:w="1785"/>
        <w:gridCol w:w="2835"/>
        <w:gridCol w:w="1276"/>
      </w:tblGrid>
      <w:tr>
        <w:trPr>
          <w:tblHeader/>
        </w:trPr>
        <w:tc>
          <w:tcPr>
            <w:tcW w:w="766" w:type="dxa"/>
          </w:tcPr>
          <w:p>
            <w:pPr>
              <w:pStyle w:val="yTableNAm"/>
            </w:pPr>
            <w:r>
              <w:rPr>
                <w:b/>
              </w:rPr>
              <w:t>Item</w:t>
            </w:r>
          </w:p>
        </w:tc>
        <w:tc>
          <w:tcPr>
            <w:tcW w:w="1785" w:type="dxa"/>
          </w:tcPr>
          <w:p>
            <w:pPr>
              <w:pStyle w:val="yTableNAm"/>
            </w:pPr>
            <w:r>
              <w:rPr>
                <w:b/>
              </w:rPr>
              <w:t>Section</w:t>
            </w:r>
          </w:p>
        </w:tc>
        <w:tc>
          <w:tcPr>
            <w:tcW w:w="2835" w:type="dxa"/>
          </w:tcPr>
          <w:p>
            <w:pPr>
              <w:pStyle w:val="yTableNAm"/>
            </w:pPr>
            <w:r>
              <w:rPr>
                <w:b/>
              </w:rPr>
              <w:t>Offence</w:t>
            </w:r>
          </w:p>
        </w:tc>
        <w:tc>
          <w:tcPr>
            <w:tcW w:w="1276" w:type="dxa"/>
          </w:tcPr>
          <w:p>
            <w:pPr>
              <w:pStyle w:val="yTableNAm"/>
              <w:jc w:val="center"/>
            </w:pPr>
            <w:r>
              <w:rPr>
                <w:b/>
              </w:rPr>
              <w:t>Modified penalty</w:t>
            </w:r>
            <w:r>
              <w:rPr>
                <w:b/>
              </w:rPr>
              <w:br/>
              <w:t>($)</w:t>
            </w:r>
          </w:p>
        </w:tc>
      </w:tr>
      <w:tr>
        <w:tc>
          <w:tcPr>
            <w:tcW w:w="766" w:type="dxa"/>
          </w:tcPr>
          <w:p>
            <w:pPr>
              <w:pStyle w:val="yTableNAm"/>
            </w:pPr>
            <w:r>
              <w:t>1</w:t>
            </w:r>
          </w:p>
        </w:tc>
        <w:tc>
          <w:tcPr>
            <w:tcW w:w="1785" w:type="dxa"/>
          </w:tcPr>
          <w:p>
            <w:pPr>
              <w:pStyle w:val="yTableNAm"/>
            </w:pPr>
            <w:r>
              <w:t>s. 15</w:t>
            </w:r>
          </w:p>
        </w:tc>
        <w:tc>
          <w:tcPr>
            <w:tcW w:w="2835" w:type="dxa"/>
          </w:tcPr>
          <w:p>
            <w:pPr>
              <w:pStyle w:val="yTableNAm"/>
            </w:pPr>
            <w:r>
              <w:t>Acting as a security agent without a licence</w:t>
            </w:r>
          </w:p>
        </w:tc>
        <w:tc>
          <w:tcPr>
            <w:tcW w:w="1276" w:type="dxa"/>
            <w:vAlign w:val="bottom"/>
          </w:tcPr>
          <w:p>
            <w:pPr>
              <w:pStyle w:val="yTableNAm"/>
              <w:jc w:val="center"/>
            </w:pPr>
            <w:r>
              <w:t>500</w:t>
            </w:r>
          </w:p>
        </w:tc>
      </w:tr>
      <w:tr>
        <w:tc>
          <w:tcPr>
            <w:tcW w:w="766" w:type="dxa"/>
          </w:tcPr>
          <w:p>
            <w:pPr>
              <w:pStyle w:val="yTableNAm"/>
            </w:pPr>
            <w:r>
              <w:t>2</w:t>
            </w:r>
          </w:p>
        </w:tc>
        <w:tc>
          <w:tcPr>
            <w:tcW w:w="1785" w:type="dxa"/>
          </w:tcPr>
          <w:p>
            <w:pPr>
              <w:pStyle w:val="yTableNAm"/>
            </w:pPr>
            <w:r>
              <w:t>s. 16</w:t>
            </w:r>
          </w:p>
        </w:tc>
        <w:tc>
          <w:tcPr>
            <w:tcW w:w="2835" w:type="dxa"/>
          </w:tcPr>
          <w:p>
            <w:pPr>
              <w:pStyle w:val="yTableNAm"/>
            </w:pPr>
            <w:r>
              <w:t>Acting as a security officer without a licence</w:t>
            </w:r>
          </w:p>
        </w:tc>
        <w:tc>
          <w:tcPr>
            <w:tcW w:w="1276" w:type="dxa"/>
            <w:vAlign w:val="bottom"/>
          </w:tcPr>
          <w:p>
            <w:pPr>
              <w:pStyle w:val="yTableNAm"/>
              <w:jc w:val="center"/>
            </w:pPr>
            <w:r>
              <w:t>500</w:t>
            </w:r>
          </w:p>
        </w:tc>
      </w:tr>
      <w:tr>
        <w:tc>
          <w:tcPr>
            <w:tcW w:w="766" w:type="dxa"/>
          </w:tcPr>
          <w:p>
            <w:pPr>
              <w:pStyle w:val="yTableNAm"/>
            </w:pPr>
            <w:r>
              <w:t>3</w:t>
            </w:r>
          </w:p>
        </w:tc>
        <w:tc>
          <w:tcPr>
            <w:tcW w:w="1785" w:type="dxa"/>
          </w:tcPr>
          <w:p>
            <w:pPr>
              <w:pStyle w:val="yTableNAm"/>
            </w:pPr>
            <w:r>
              <w:t>s. 17(1) or (2)</w:t>
            </w:r>
          </w:p>
        </w:tc>
        <w:tc>
          <w:tcPr>
            <w:tcW w:w="2835" w:type="dxa"/>
          </w:tcPr>
          <w:p>
            <w:pPr>
              <w:pStyle w:val="yTableNAm"/>
            </w:pPr>
            <w:r>
              <w:t>Acting as a security consultant without a licence</w:t>
            </w:r>
          </w:p>
        </w:tc>
        <w:tc>
          <w:tcPr>
            <w:tcW w:w="1276" w:type="dxa"/>
            <w:vAlign w:val="bottom"/>
          </w:tcPr>
          <w:p>
            <w:pPr>
              <w:pStyle w:val="yTableNAm"/>
              <w:jc w:val="center"/>
            </w:pPr>
            <w:r>
              <w:t>500</w:t>
            </w:r>
          </w:p>
        </w:tc>
      </w:tr>
      <w:tr>
        <w:tc>
          <w:tcPr>
            <w:tcW w:w="766" w:type="dxa"/>
          </w:tcPr>
          <w:p>
            <w:pPr>
              <w:pStyle w:val="yTableNAm"/>
            </w:pPr>
            <w:r>
              <w:t>4</w:t>
            </w:r>
          </w:p>
        </w:tc>
        <w:tc>
          <w:tcPr>
            <w:tcW w:w="1785" w:type="dxa"/>
          </w:tcPr>
          <w:p>
            <w:pPr>
              <w:pStyle w:val="yTableNAm"/>
            </w:pPr>
            <w:r>
              <w:t>s. 18(1) or (2)</w:t>
            </w:r>
          </w:p>
        </w:tc>
        <w:tc>
          <w:tcPr>
            <w:tcW w:w="2835" w:type="dxa"/>
          </w:tcPr>
          <w:p>
            <w:pPr>
              <w:pStyle w:val="yTableNAm"/>
            </w:pPr>
            <w:r>
              <w:t>Acting as a security installer without a licence</w:t>
            </w:r>
          </w:p>
        </w:tc>
        <w:tc>
          <w:tcPr>
            <w:tcW w:w="1276" w:type="dxa"/>
            <w:vAlign w:val="bottom"/>
          </w:tcPr>
          <w:p>
            <w:pPr>
              <w:pStyle w:val="yTableNAm"/>
              <w:jc w:val="center"/>
            </w:pPr>
            <w:r>
              <w:t>500</w:t>
            </w:r>
          </w:p>
        </w:tc>
      </w:tr>
      <w:tr>
        <w:tc>
          <w:tcPr>
            <w:tcW w:w="766" w:type="dxa"/>
          </w:tcPr>
          <w:p>
            <w:pPr>
              <w:pStyle w:val="yTableNAm"/>
            </w:pPr>
            <w:r>
              <w:t>5</w:t>
            </w:r>
          </w:p>
        </w:tc>
        <w:tc>
          <w:tcPr>
            <w:tcW w:w="1785" w:type="dxa"/>
          </w:tcPr>
          <w:p>
            <w:pPr>
              <w:pStyle w:val="yTableNAm"/>
            </w:pPr>
            <w:r>
              <w:t>s. 18A</w:t>
            </w:r>
          </w:p>
        </w:tc>
        <w:tc>
          <w:tcPr>
            <w:tcW w:w="2835" w:type="dxa"/>
          </w:tcPr>
          <w:p>
            <w:pPr>
              <w:pStyle w:val="yTableNAm"/>
            </w:pPr>
            <w:r>
              <w:t>Acting as a security bodyguard without a licence</w:t>
            </w:r>
          </w:p>
        </w:tc>
        <w:tc>
          <w:tcPr>
            <w:tcW w:w="1276" w:type="dxa"/>
            <w:vAlign w:val="bottom"/>
          </w:tcPr>
          <w:p>
            <w:pPr>
              <w:pStyle w:val="yTableNAm"/>
              <w:jc w:val="center"/>
            </w:pPr>
            <w:r>
              <w:t>500</w:t>
            </w:r>
          </w:p>
        </w:tc>
      </w:tr>
      <w:tr>
        <w:tc>
          <w:tcPr>
            <w:tcW w:w="766" w:type="dxa"/>
          </w:tcPr>
          <w:p>
            <w:pPr>
              <w:pStyle w:val="yTableNAm"/>
            </w:pPr>
            <w:r>
              <w:t>6</w:t>
            </w:r>
          </w:p>
        </w:tc>
        <w:tc>
          <w:tcPr>
            <w:tcW w:w="1785" w:type="dxa"/>
          </w:tcPr>
          <w:p>
            <w:pPr>
              <w:pStyle w:val="yTableNAm"/>
            </w:pPr>
            <w:r>
              <w:t>s. 19(1)</w:t>
            </w:r>
          </w:p>
        </w:tc>
        <w:tc>
          <w:tcPr>
            <w:tcW w:w="2835" w:type="dxa"/>
          </w:tcPr>
          <w:p>
            <w:pPr>
              <w:pStyle w:val="yTableNAm"/>
            </w:pPr>
            <w:r>
              <w:t>Acting as a security officer, etc., while not in the employment of a security agent</w:t>
            </w:r>
          </w:p>
        </w:tc>
        <w:tc>
          <w:tcPr>
            <w:tcW w:w="1276" w:type="dxa"/>
            <w:vAlign w:val="bottom"/>
          </w:tcPr>
          <w:p>
            <w:pPr>
              <w:pStyle w:val="yTableNAm"/>
              <w:jc w:val="center"/>
            </w:pPr>
            <w:r>
              <w:t>500</w:t>
            </w:r>
          </w:p>
        </w:tc>
      </w:tr>
      <w:tr>
        <w:tc>
          <w:tcPr>
            <w:tcW w:w="766" w:type="dxa"/>
          </w:tcPr>
          <w:p>
            <w:pPr>
              <w:pStyle w:val="yTableNAm"/>
            </w:pPr>
            <w:r>
              <w:t>7</w:t>
            </w:r>
          </w:p>
        </w:tc>
        <w:tc>
          <w:tcPr>
            <w:tcW w:w="1785" w:type="dxa"/>
          </w:tcPr>
          <w:p>
            <w:pPr>
              <w:pStyle w:val="yTableNAm"/>
            </w:pPr>
            <w:r>
              <w:t>s. 20(1) or (2)</w:t>
            </w:r>
          </w:p>
        </w:tc>
        <w:tc>
          <w:tcPr>
            <w:tcW w:w="2835" w:type="dxa"/>
          </w:tcPr>
          <w:p>
            <w:pPr>
              <w:pStyle w:val="yTableNAm"/>
            </w:pPr>
            <w:r>
              <w:t>Employing an unlicensed person as a security officer, etc.</w:t>
            </w:r>
          </w:p>
        </w:tc>
        <w:tc>
          <w:tcPr>
            <w:tcW w:w="1276" w:type="dxa"/>
            <w:vAlign w:val="bottom"/>
          </w:tcPr>
          <w:p>
            <w:pPr>
              <w:pStyle w:val="yTableNAm"/>
              <w:jc w:val="center"/>
            </w:pPr>
            <w:r>
              <w:t>500</w:t>
            </w:r>
          </w:p>
        </w:tc>
      </w:tr>
      <w:tr>
        <w:tc>
          <w:tcPr>
            <w:tcW w:w="766" w:type="dxa"/>
          </w:tcPr>
          <w:p>
            <w:pPr>
              <w:pStyle w:val="yTableNAm"/>
              <w:keepNext/>
            </w:pPr>
            <w:r>
              <w:lastRenderedPageBreak/>
              <w:t>8</w:t>
            </w:r>
          </w:p>
        </w:tc>
        <w:tc>
          <w:tcPr>
            <w:tcW w:w="1785" w:type="dxa"/>
          </w:tcPr>
          <w:p>
            <w:pPr>
              <w:pStyle w:val="yTableNAm"/>
              <w:keepNext/>
            </w:pPr>
            <w:r>
              <w:t>s. 21(1)</w:t>
            </w:r>
          </w:p>
        </w:tc>
        <w:tc>
          <w:tcPr>
            <w:tcW w:w="2835" w:type="dxa"/>
          </w:tcPr>
          <w:p>
            <w:pPr>
              <w:pStyle w:val="yTableNAm"/>
              <w:keepNext/>
            </w:pPr>
            <w:r>
              <w:t>Advertising or holding out to be willing to supply the services of a security officer, security consultant, security installer or security bodyguard while not being a holder of a security agent’s licence</w:t>
            </w:r>
          </w:p>
        </w:tc>
        <w:tc>
          <w:tcPr>
            <w:tcW w:w="1276" w:type="dxa"/>
            <w:vAlign w:val="bottom"/>
          </w:tcPr>
          <w:p>
            <w:pPr>
              <w:pStyle w:val="yTableNAm"/>
              <w:keepNext/>
              <w:jc w:val="center"/>
            </w:pPr>
            <w:r>
              <w:t>500</w:t>
            </w:r>
          </w:p>
        </w:tc>
      </w:tr>
      <w:tr>
        <w:tc>
          <w:tcPr>
            <w:tcW w:w="766" w:type="dxa"/>
          </w:tcPr>
          <w:p>
            <w:pPr>
              <w:pStyle w:val="yTableNAm"/>
            </w:pPr>
            <w:r>
              <w:t>9</w:t>
            </w:r>
          </w:p>
        </w:tc>
        <w:tc>
          <w:tcPr>
            <w:tcW w:w="1785" w:type="dxa"/>
          </w:tcPr>
          <w:p>
            <w:pPr>
              <w:pStyle w:val="yTableNAm"/>
            </w:pPr>
            <w:r>
              <w:t>s. 23</w:t>
            </w:r>
          </w:p>
        </w:tc>
        <w:tc>
          <w:tcPr>
            <w:tcW w:w="2835" w:type="dxa"/>
          </w:tcPr>
          <w:p>
            <w:pPr>
              <w:pStyle w:val="yTableNAm"/>
            </w:pPr>
            <w:r>
              <w:t>Possessing a firearm without an endorsement on security officer’s licence authorising possession</w:t>
            </w:r>
          </w:p>
        </w:tc>
        <w:tc>
          <w:tcPr>
            <w:tcW w:w="1276" w:type="dxa"/>
            <w:vAlign w:val="bottom"/>
          </w:tcPr>
          <w:p>
            <w:pPr>
              <w:pStyle w:val="yTableNAm"/>
              <w:jc w:val="center"/>
            </w:pPr>
            <w:r>
              <w:t>500</w:t>
            </w:r>
          </w:p>
        </w:tc>
      </w:tr>
      <w:tr>
        <w:tc>
          <w:tcPr>
            <w:tcW w:w="766" w:type="dxa"/>
          </w:tcPr>
          <w:p>
            <w:pPr>
              <w:pStyle w:val="yTableNAm"/>
            </w:pPr>
            <w:r>
              <w:t>10</w:t>
            </w:r>
          </w:p>
        </w:tc>
        <w:tc>
          <w:tcPr>
            <w:tcW w:w="1785" w:type="dxa"/>
          </w:tcPr>
          <w:p>
            <w:pPr>
              <w:pStyle w:val="yTableNAm"/>
            </w:pPr>
            <w:r>
              <w:t>s. 29</w:t>
            </w:r>
          </w:p>
        </w:tc>
        <w:tc>
          <w:tcPr>
            <w:tcW w:w="2835" w:type="dxa"/>
          </w:tcPr>
          <w:p>
            <w:pPr>
              <w:pStyle w:val="yTableNAm"/>
            </w:pPr>
            <w:r>
              <w:t>Acting as an inquiry agent without a licence</w:t>
            </w:r>
          </w:p>
        </w:tc>
        <w:tc>
          <w:tcPr>
            <w:tcW w:w="1276" w:type="dxa"/>
            <w:vAlign w:val="bottom"/>
          </w:tcPr>
          <w:p>
            <w:pPr>
              <w:pStyle w:val="yTableNAm"/>
              <w:jc w:val="center"/>
            </w:pPr>
            <w:r>
              <w:t>500</w:t>
            </w:r>
          </w:p>
        </w:tc>
      </w:tr>
      <w:tr>
        <w:tc>
          <w:tcPr>
            <w:tcW w:w="766" w:type="dxa"/>
          </w:tcPr>
          <w:p>
            <w:pPr>
              <w:pStyle w:val="yTableNAm"/>
            </w:pPr>
            <w:r>
              <w:t>11</w:t>
            </w:r>
          </w:p>
        </w:tc>
        <w:tc>
          <w:tcPr>
            <w:tcW w:w="1785" w:type="dxa"/>
          </w:tcPr>
          <w:p>
            <w:pPr>
              <w:pStyle w:val="yTableNAm"/>
            </w:pPr>
            <w:r>
              <w:t>s. 30</w:t>
            </w:r>
          </w:p>
        </w:tc>
        <w:tc>
          <w:tcPr>
            <w:tcW w:w="2835" w:type="dxa"/>
          </w:tcPr>
          <w:p>
            <w:pPr>
              <w:pStyle w:val="yTableNAm"/>
            </w:pPr>
            <w:r>
              <w:t>Acting as an investigator without a licence</w:t>
            </w:r>
          </w:p>
        </w:tc>
        <w:tc>
          <w:tcPr>
            <w:tcW w:w="1276" w:type="dxa"/>
            <w:vAlign w:val="bottom"/>
          </w:tcPr>
          <w:p>
            <w:pPr>
              <w:pStyle w:val="yTableNAm"/>
              <w:jc w:val="center"/>
            </w:pPr>
            <w:r>
              <w:t>500</w:t>
            </w:r>
          </w:p>
        </w:tc>
      </w:tr>
      <w:tr>
        <w:tc>
          <w:tcPr>
            <w:tcW w:w="766" w:type="dxa"/>
          </w:tcPr>
          <w:p>
            <w:pPr>
              <w:pStyle w:val="yTableNAm"/>
            </w:pPr>
            <w:r>
              <w:t>12</w:t>
            </w:r>
          </w:p>
        </w:tc>
        <w:tc>
          <w:tcPr>
            <w:tcW w:w="1785" w:type="dxa"/>
          </w:tcPr>
          <w:p>
            <w:pPr>
              <w:pStyle w:val="yTableNAm"/>
            </w:pPr>
            <w:r>
              <w:t>s. 31(1)</w:t>
            </w:r>
          </w:p>
        </w:tc>
        <w:tc>
          <w:tcPr>
            <w:tcW w:w="2835" w:type="dxa"/>
          </w:tcPr>
          <w:p>
            <w:pPr>
              <w:pStyle w:val="yTableNAm"/>
            </w:pPr>
            <w:r>
              <w:t>Acting as a licensed investigator while not in the employment of an inquiry agent</w:t>
            </w:r>
          </w:p>
        </w:tc>
        <w:tc>
          <w:tcPr>
            <w:tcW w:w="1276" w:type="dxa"/>
            <w:vAlign w:val="bottom"/>
          </w:tcPr>
          <w:p>
            <w:pPr>
              <w:pStyle w:val="yTableNAm"/>
              <w:jc w:val="center"/>
            </w:pPr>
            <w:r>
              <w:t>500</w:t>
            </w:r>
          </w:p>
        </w:tc>
      </w:tr>
      <w:tr>
        <w:tc>
          <w:tcPr>
            <w:tcW w:w="766" w:type="dxa"/>
          </w:tcPr>
          <w:p>
            <w:pPr>
              <w:pStyle w:val="yTableNAm"/>
            </w:pPr>
            <w:r>
              <w:t>13</w:t>
            </w:r>
          </w:p>
        </w:tc>
        <w:tc>
          <w:tcPr>
            <w:tcW w:w="1785" w:type="dxa"/>
          </w:tcPr>
          <w:p>
            <w:pPr>
              <w:pStyle w:val="yTableNAm"/>
            </w:pPr>
            <w:r>
              <w:t>s. 32</w:t>
            </w:r>
          </w:p>
        </w:tc>
        <w:tc>
          <w:tcPr>
            <w:tcW w:w="2835" w:type="dxa"/>
          </w:tcPr>
          <w:p>
            <w:pPr>
              <w:pStyle w:val="yTableNAm"/>
            </w:pPr>
            <w:r>
              <w:t>Employing a person as an investigator who does not hold an investigator’s licence</w:t>
            </w:r>
          </w:p>
        </w:tc>
        <w:tc>
          <w:tcPr>
            <w:tcW w:w="1276" w:type="dxa"/>
            <w:vAlign w:val="bottom"/>
          </w:tcPr>
          <w:p>
            <w:pPr>
              <w:pStyle w:val="yTableNAm"/>
              <w:jc w:val="center"/>
            </w:pPr>
            <w:r>
              <w:t>500</w:t>
            </w:r>
          </w:p>
        </w:tc>
      </w:tr>
      <w:tr>
        <w:tc>
          <w:tcPr>
            <w:tcW w:w="766" w:type="dxa"/>
          </w:tcPr>
          <w:p>
            <w:pPr>
              <w:pStyle w:val="yTableNAm"/>
            </w:pPr>
            <w:r>
              <w:t>14</w:t>
            </w:r>
          </w:p>
        </w:tc>
        <w:tc>
          <w:tcPr>
            <w:tcW w:w="1785" w:type="dxa"/>
          </w:tcPr>
          <w:p>
            <w:pPr>
              <w:pStyle w:val="yTableNAm"/>
            </w:pPr>
            <w:r>
              <w:t>s. 33(1)</w:t>
            </w:r>
          </w:p>
        </w:tc>
        <w:tc>
          <w:tcPr>
            <w:tcW w:w="2835" w:type="dxa"/>
          </w:tcPr>
          <w:p>
            <w:pPr>
              <w:pStyle w:val="yTableNAm"/>
            </w:pPr>
            <w:r>
              <w:t>Advertising or holding out to be willing to supply the services of an investigator while not being a holder of an inquiry agent’s licence</w:t>
            </w:r>
          </w:p>
        </w:tc>
        <w:tc>
          <w:tcPr>
            <w:tcW w:w="1276" w:type="dxa"/>
            <w:vAlign w:val="bottom"/>
          </w:tcPr>
          <w:p>
            <w:pPr>
              <w:pStyle w:val="yTableNAm"/>
              <w:jc w:val="center"/>
            </w:pPr>
            <w:r>
              <w:t>500</w:t>
            </w:r>
          </w:p>
        </w:tc>
      </w:tr>
      <w:tr>
        <w:tc>
          <w:tcPr>
            <w:tcW w:w="766" w:type="dxa"/>
          </w:tcPr>
          <w:p>
            <w:pPr>
              <w:pStyle w:val="yTableNAm"/>
            </w:pPr>
            <w:r>
              <w:t>15</w:t>
            </w:r>
          </w:p>
        </w:tc>
        <w:tc>
          <w:tcPr>
            <w:tcW w:w="1785" w:type="dxa"/>
          </w:tcPr>
          <w:p>
            <w:pPr>
              <w:pStyle w:val="yTableNAm"/>
            </w:pPr>
            <w:r>
              <w:t>s. 36</w:t>
            </w:r>
          </w:p>
        </w:tc>
        <w:tc>
          <w:tcPr>
            <w:tcW w:w="2835" w:type="dxa"/>
          </w:tcPr>
          <w:p>
            <w:pPr>
              <w:pStyle w:val="yTableNAm"/>
            </w:pPr>
            <w:r>
              <w:t>Acting as a crowd control agent without a licence</w:t>
            </w:r>
          </w:p>
        </w:tc>
        <w:tc>
          <w:tcPr>
            <w:tcW w:w="1276" w:type="dxa"/>
            <w:vAlign w:val="bottom"/>
          </w:tcPr>
          <w:p>
            <w:pPr>
              <w:pStyle w:val="yTableNAm"/>
              <w:jc w:val="center"/>
            </w:pPr>
            <w:r>
              <w:t>500</w:t>
            </w:r>
          </w:p>
        </w:tc>
      </w:tr>
      <w:tr>
        <w:tc>
          <w:tcPr>
            <w:tcW w:w="766" w:type="dxa"/>
          </w:tcPr>
          <w:p>
            <w:pPr>
              <w:pStyle w:val="yTableNAm"/>
            </w:pPr>
            <w:r>
              <w:t>16</w:t>
            </w:r>
          </w:p>
        </w:tc>
        <w:tc>
          <w:tcPr>
            <w:tcW w:w="1785" w:type="dxa"/>
          </w:tcPr>
          <w:p>
            <w:pPr>
              <w:pStyle w:val="yTableNAm"/>
            </w:pPr>
            <w:r>
              <w:t>s. 37</w:t>
            </w:r>
          </w:p>
        </w:tc>
        <w:tc>
          <w:tcPr>
            <w:tcW w:w="2835" w:type="dxa"/>
          </w:tcPr>
          <w:p>
            <w:pPr>
              <w:pStyle w:val="yTableNAm"/>
            </w:pPr>
            <w:r>
              <w:t>Acting as a crowd controller without a licence</w:t>
            </w:r>
          </w:p>
        </w:tc>
        <w:tc>
          <w:tcPr>
            <w:tcW w:w="1276" w:type="dxa"/>
            <w:vAlign w:val="bottom"/>
          </w:tcPr>
          <w:p>
            <w:pPr>
              <w:pStyle w:val="yTableNAm"/>
              <w:jc w:val="center"/>
            </w:pPr>
            <w:r>
              <w:t>500</w:t>
            </w:r>
          </w:p>
        </w:tc>
      </w:tr>
      <w:tr>
        <w:tc>
          <w:tcPr>
            <w:tcW w:w="766" w:type="dxa"/>
          </w:tcPr>
          <w:p>
            <w:pPr>
              <w:pStyle w:val="yTableNAm"/>
            </w:pPr>
            <w:r>
              <w:lastRenderedPageBreak/>
              <w:t>17</w:t>
            </w:r>
          </w:p>
        </w:tc>
        <w:tc>
          <w:tcPr>
            <w:tcW w:w="1785" w:type="dxa"/>
          </w:tcPr>
          <w:p>
            <w:pPr>
              <w:pStyle w:val="yTableNAm"/>
            </w:pPr>
            <w:r>
              <w:t>s. 38(1)</w:t>
            </w:r>
          </w:p>
        </w:tc>
        <w:tc>
          <w:tcPr>
            <w:tcW w:w="2835" w:type="dxa"/>
          </w:tcPr>
          <w:p>
            <w:pPr>
              <w:pStyle w:val="yTableNAm"/>
            </w:pPr>
            <w:r>
              <w:t>Acting as a crowd controller while not in the employment of a crowd control agent</w:t>
            </w:r>
          </w:p>
        </w:tc>
        <w:tc>
          <w:tcPr>
            <w:tcW w:w="1276" w:type="dxa"/>
            <w:vAlign w:val="bottom"/>
          </w:tcPr>
          <w:p>
            <w:pPr>
              <w:pStyle w:val="yTableNAm"/>
              <w:jc w:val="center"/>
            </w:pPr>
            <w:r>
              <w:t>500</w:t>
            </w:r>
          </w:p>
        </w:tc>
      </w:tr>
      <w:tr>
        <w:tc>
          <w:tcPr>
            <w:tcW w:w="766" w:type="dxa"/>
          </w:tcPr>
          <w:p>
            <w:pPr>
              <w:pStyle w:val="yTableNAm"/>
            </w:pPr>
            <w:r>
              <w:t>18</w:t>
            </w:r>
          </w:p>
        </w:tc>
        <w:tc>
          <w:tcPr>
            <w:tcW w:w="1785" w:type="dxa"/>
          </w:tcPr>
          <w:p>
            <w:pPr>
              <w:pStyle w:val="yTableNAm"/>
            </w:pPr>
            <w:r>
              <w:t>s. 39</w:t>
            </w:r>
          </w:p>
        </w:tc>
        <w:tc>
          <w:tcPr>
            <w:tcW w:w="2835" w:type="dxa"/>
          </w:tcPr>
          <w:p>
            <w:pPr>
              <w:pStyle w:val="yTableNAm"/>
            </w:pPr>
            <w:r>
              <w:t>Employing a person as a crowd controller who does not hold a crowd controller’s licence</w:t>
            </w:r>
          </w:p>
        </w:tc>
        <w:tc>
          <w:tcPr>
            <w:tcW w:w="1276" w:type="dxa"/>
            <w:vAlign w:val="bottom"/>
          </w:tcPr>
          <w:p>
            <w:pPr>
              <w:pStyle w:val="yTableNAm"/>
              <w:jc w:val="center"/>
            </w:pPr>
            <w:r>
              <w:t>500</w:t>
            </w:r>
          </w:p>
        </w:tc>
      </w:tr>
      <w:tr>
        <w:tc>
          <w:tcPr>
            <w:tcW w:w="766" w:type="dxa"/>
          </w:tcPr>
          <w:p>
            <w:pPr>
              <w:pStyle w:val="yTableNAm"/>
            </w:pPr>
            <w:r>
              <w:t>19</w:t>
            </w:r>
          </w:p>
        </w:tc>
        <w:tc>
          <w:tcPr>
            <w:tcW w:w="1785" w:type="dxa"/>
          </w:tcPr>
          <w:p>
            <w:pPr>
              <w:pStyle w:val="yTableNAm"/>
            </w:pPr>
            <w:r>
              <w:t>s. 40(1)</w:t>
            </w:r>
          </w:p>
        </w:tc>
        <w:tc>
          <w:tcPr>
            <w:tcW w:w="2835" w:type="dxa"/>
          </w:tcPr>
          <w:p>
            <w:pPr>
              <w:pStyle w:val="yTableNAm"/>
            </w:pPr>
            <w:r>
              <w:t>Advertising or holding out to be willing to supply the services of a crowd controller while not being a holder of a crowd control agent’s licence</w:t>
            </w:r>
          </w:p>
        </w:tc>
        <w:tc>
          <w:tcPr>
            <w:tcW w:w="1276" w:type="dxa"/>
            <w:vAlign w:val="bottom"/>
          </w:tcPr>
          <w:p>
            <w:pPr>
              <w:pStyle w:val="yTableNAm"/>
              <w:jc w:val="center"/>
            </w:pPr>
            <w:r>
              <w:t>500</w:t>
            </w:r>
          </w:p>
        </w:tc>
      </w:tr>
      <w:tr>
        <w:tc>
          <w:tcPr>
            <w:tcW w:w="766" w:type="dxa"/>
          </w:tcPr>
          <w:p>
            <w:pPr>
              <w:pStyle w:val="yTableNAm"/>
            </w:pPr>
            <w:r>
              <w:t>20</w:t>
            </w:r>
          </w:p>
        </w:tc>
        <w:tc>
          <w:tcPr>
            <w:tcW w:w="1785" w:type="dxa"/>
          </w:tcPr>
          <w:p>
            <w:pPr>
              <w:pStyle w:val="yTableNAm"/>
            </w:pPr>
            <w:r>
              <w:t>s. 41(1)</w:t>
            </w:r>
          </w:p>
        </w:tc>
        <w:tc>
          <w:tcPr>
            <w:tcW w:w="2835" w:type="dxa"/>
          </w:tcPr>
          <w:p>
            <w:pPr>
              <w:pStyle w:val="yTableNAm"/>
            </w:pPr>
            <w:r>
              <w:t>Acting as an armed security bodyguard while not authorised to do so</w:t>
            </w:r>
          </w:p>
        </w:tc>
        <w:tc>
          <w:tcPr>
            <w:tcW w:w="1276" w:type="dxa"/>
            <w:vAlign w:val="bottom"/>
          </w:tcPr>
          <w:p>
            <w:pPr>
              <w:pStyle w:val="yTableNAm"/>
              <w:jc w:val="center"/>
            </w:pPr>
            <w:r>
              <w:t>500</w:t>
            </w:r>
          </w:p>
        </w:tc>
      </w:tr>
      <w:tr>
        <w:tc>
          <w:tcPr>
            <w:tcW w:w="766" w:type="dxa"/>
          </w:tcPr>
          <w:p>
            <w:pPr>
              <w:pStyle w:val="yTableNAm"/>
            </w:pPr>
            <w:r>
              <w:t>21</w:t>
            </w:r>
          </w:p>
        </w:tc>
        <w:tc>
          <w:tcPr>
            <w:tcW w:w="1785" w:type="dxa"/>
          </w:tcPr>
          <w:p>
            <w:pPr>
              <w:pStyle w:val="yTableNAm"/>
            </w:pPr>
            <w:r>
              <w:t>s. 64</w:t>
            </w:r>
          </w:p>
        </w:tc>
        <w:tc>
          <w:tcPr>
            <w:tcW w:w="2835" w:type="dxa"/>
          </w:tcPr>
          <w:p>
            <w:pPr>
              <w:pStyle w:val="yTableNAm"/>
            </w:pPr>
            <w:r>
              <w:t>Failing to comply with a condition or restriction attached to a licence</w:t>
            </w:r>
          </w:p>
        </w:tc>
        <w:tc>
          <w:tcPr>
            <w:tcW w:w="1276" w:type="dxa"/>
            <w:vAlign w:val="bottom"/>
          </w:tcPr>
          <w:p>
            <w:pPr>
              <w:pStyle w:val="yTableNAm"/>
              <w:jc w:val="center"/>
            </w:pPr>
            <w:r>
              <w:t>500</w:t>
            </w:r>
          </w:p>
        </w:tc>
      </w:tr>
      <w:tr>
        <w:tc>
          <w:tcPr>
            <w:tcW w:w="766" w:type="dxa"/>
          </w:tcPr>
          <w:p>
            <w:pPr>
              <w:pStyle w:val="yTableNAm"/>
            </w:pPr>
            <w:r>
              <w:t>22</w:t>
            </w:r>
          </w:p>
        </w:tc>
        <w:tc>
          <w:tcPr>
            <w:tcW w:w="1785" w:type="dxa"/>
          </w:tcPr>
          <w:p>
            <w:pPr>
              <w:pStyle w:val="yTableNAm"/>
            </w:pPr>
            <w:r>
              <w:t>s. 67B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r>
              <w:t>400</w:t>
            </w:r>
          </w:p>
        </w:tc>
      </w:tr>
      <w:tr>
        <w:tc>
          <w:tcPr>
            <w:tcW w:w="766" w:type="dxa"/>
          </w:tcPr>
          <w:p>
            <w:pPr>
              <w:pStyle w:val="yTableNAm"/>
            </w:pPr>
            <w:r>
              <w:t>23</w:t>
            </w:r>
          </w:p>
        </w:tc>
        <w:tc>
          <w:tcPr>
            <w:tcW w:w="1785" w:type="dxa"/>
          </w:tcPr>
          <w:p>
            <w:pPr>
              <w:pStyle w:val="yTableNAm"/>
            </w:pPr>
            <w:r>
              <w:t>s. 68(2b)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r>
              <w:t>400</w:t>
            </w:r>
          </w:p>
        </w:tc>
      </w:tr>
      <w:tr>
        <w:tc>
          <w:tcPr>
            <w:tcW w:w="766" w:type="dxa"/>
          </w:tcPr>
          <w:p>
            <w:pPr>
              <w:pStyle w:val="yTableNAm"/>
            </w:pPr>
            <w:r>
              <w:t>24</w:t>
            </w:r>
          </w:p>
        </w:tc>
        <w:tc>
          <w:tcPr>
            <w:tcW w:w="1785" w:type="dxa"/>
          </w:tcPr>
          <w:p>
            <w:pPr>
              <w:pStyle w:val="yTableNAm"/>
            </w:pPr>
            <w:r>
              <w:t>s. 75</w:t>
            </w:r>
          </w:p>
        </w:tc>
        <w:tc>
          <w:tcPr>
            <w:tcW w:w="2835" w:type="dxa"/>
          </w:tcPr>
          <w:p>
            <w:pPr>
              <w:pStyle w:val="yTableNAm"/>
            </w:pPr>
            <w:r>
              <w:t>Failing to produce licence for inspection</w:t>
            </w:r>
          </w:p>
        </w:tc>
        <w:tc>
          <w:tcPr>
            <w:tcW w:w="1276" w:type="dxa"/>
            <w:vAlign w:val="bottom"/>
          </w:tcPr>
          <w:p>
            <w:pPr>
              <w:pStyle w:val="yTableNAm"/>
              <w:jc w:val="center"/>
            </w:pPr>
            <w:r>
              <w:t>400</w:t>
            </w:r>
          </w:p>
        </w:tc>
      </w:tr>
      <w:tr>
        <w:tc>
          <w:tcPr>
            <w:tcW w:w="766" w:type="dxa"/>
          </w:tcPr>
          <w:p>
            <w:pPr>
              <w:pStyle w:val="yTableNAm"/>
            </w:pPr>
            <w:r>
              <w:t>25</w:t>
            </w:r>
          </w:p>
        </w:tc>
        <w:tc>
          <w:tcPr>
            <w:tcW w:w="1785" w:type="dxa"/>
          </w:tcPr>
          <w:p>
            <w:pPr>
              <w:pStyle w:val="yTableNAm"/>
            </w:pPr>
            <w:r>
              <w:t>s. 76</w:t>
            </w:r>
          </w:p>
        </w:tc>
        <w:tc>
          <w:tcPr>
            <w:tcW w:w="2835" w:type="dxa"/>
          </w:tcPr>
          <w:p>
            <w:pPr>
              <w:pStyle w:val="yTableNAm"/>
            </w:pPr>
            <w:r>
              <w:t>Failing to return licence and identity card when licence has expired, terminated or been surrendered</w:t>
            </w:r>
          </w:p>
        </w:tc>
        <w:tc>
          <w:tcPr>
            <w:tcW w:w="1276" w:type="dxa"/>
            <w:vAlign w:val="bottom"/>
          </w:tcPr>
          <w:p>
            <w:pPr>
              <w:pStyle w:val="yTableNAm"/>
              <w:jc w:val="center"/>
            </w:pPr>
            <w:r>
              <w:t>400</w:t>
            </w:r>
          </w:p>
        </w:tc>
      </w:tr>
      <w:tr>
        <w:tc>
          <w:tcPr>
            <w:tcW w:w="766" w:type="dxa"/>
          </w:tcPr>
          <w:p>
            <w:pPr>
              <w:pStyle w:val="yTableNAm"/>
            </w:pPr>
            <w:r>
              <w:lastRenderedPageBreak/>
              <w:t>26</w:t>
            </w:r>
          </w:p>
        </w:tc>
        <w:tc>
          <w:tcPr>
            <w:tcW w:w="1785" w:type="dxa"/>
          </w:tcPr>
          <w:p>
            <w:pPr>
              <w:pStyle w:val="yTableNAm"/>
            </w:pPr>
            <w:r>
              <w:t>s. 77(1)</w:t>
            </w:r>
          </w:p>
        </w:tc>
        <w:tc>
          <w:tcPr>
            <w:tcW w:w="2835" w:type="dxa"/>
          </w:tcPr>
          <w:p>
            <w:pPr>
              <w:pStyle w:val="yTableNAm"/>
            </w:pPr>
            <w:r>
              <w:t>Failing to give notice of change of business address</w:t>
            </w:r>
          </w:p>
        </w:tc>
        <w:tc>
          <w:tcPr>
            <w:tcW w:w="1276" w:type="dxa"/>
            <w:vAlign w:val="bottom"/>
          </w:tcPr>
          <w:p>
            <w:pPr>
              <w:pStyle w:val="yTableNAm"/>
              <w:jc w:val="center"/>
            </w:pPr>
            <w:r>
              <w:t>400</w:t>
            </w:r>
          </w:p>
        </w:tc>
      </w:tr>
      <w:tr>
        <w:tc>
          <w:tcPr>
            <w:tcW w:w="766" w:type="dxa"/>
          </w:tcPr>
          <w:p>
            <w:pPr>
              <w:pStyle w:val="yTableNAm"/>
            </w:pPr>
            <w:r>
              <w:t>27</w:t>
            </w:r>
          </w:p>
        </w:tc>
        <w:tc>
          <w:tcPr>
            <w:tcW w:w="1785" w:type="dxa"/>
          </w:tcPr>
          <w:p>
            <w:pPr>
              <w:pStyle w:val="yTableNAm"/>
            </w:pPr>
            <w:r>
              <w:t>s. 77(2)</w:t>
            </w:r>
          </w:p>
        </w:tc>
        <w:tc>
          <w:tcPr>
            <w:tcW w:w="2835" w:type="dxa"/>
          </w:tcPr>
          <w:p>
            <w:pPr>
              <w:pStyle w:val="yTableNAm"/>
            </w:pPr>
            <w:r>
              <w:t>Failing to give notice of change of residential address</w:t>
            </w:r>
          </w:p>
        </w:tc>
        <w:tc>
          <w:tcPr>
            <w:tcW w:w="1276" w:type="dxa"/>
            <w:vAlign w:val="bottom"/>
          </w:tcPr>
          <w:p>
            <w:pPr>
              <w:pStyle w:val="yTableNAm"/>
              <w:jc w:val="center"/>
            </w:pPr>
            <w:r>
              <w:t>400</w:t>
            </w:r>
          </w:p>
        </w:tc>
      </w:tr>
      <w:tr>
        <w:tc>
          <w:tcPr>
            <w:tcW w:w="766" w:type="dxa"/>
          </w:tcPr>
          <w:p>
            <w:pPr>
              <w:pStyle w:val="yTableNAm"/>
            </w:pPr>
            <w:r>
              <w:t>28</w:t>
            </w:r>
          </w:p>
        </w:tc>
        <w:tc>
          <w:tcPr>
            <w:tcW w:w="1785" w:type="dxa"/>
          </w:tcPr>
          <w:p>
            <w:pPr>
              <w:pStyle w:val="yTableNAm"/>
            </w:pPr>
            <w:r>
              <w:t>s. 77A(1)</w:t>
            </w:r>
          </w:p>
        </w:tc>
        <w:tc>
          <w:tcPr>
            <w:tcW w:w="2835" w:type="dxa"/>
          </w:tcPr>
          <w:p>
            <w:pPr>
              <w:pStyle w:val="yTableNAm"/>
            </w:pPr>
            <w:r>
              <w:t>Failing to give notice of being charged or found guilty of disqualifying offence</w:t>
            </w:r>
          </w:p>
        </w:tc>
        <w:tc>
          <w:tcPr>
            <w:tcW w:w="1276" w:type="dxa"/>
            <w:vAlign w:val="bottom"/>
          </w:tcPr>
          <w:p>
            <w:pPr>
              <w:pStyle w:val="yTableNAm"/>
              <w:jc w:val="center"/>
            </w:pPr>
            <w:r>
              <w:t>400</w:t>
            </w:r>
          </w:p>
        </w:tc>
      </w:tr>
      <w:tr>
        <w:tc>
          <w:tcPr>
            <w:tcW w:w="766" w:type="dxa"/>
          </w:tcPr>
          <w:p>
            <w:pPr>
              <w:pStyle w:val="yTableNAm"/>
            </w:pPr>
            <w:r>
              <w:t>29</w:t>
            </w:r>
          </w:p>
        </w:tc>
        <w:tc>
          <w:tcPr>
            <w:tcW w:w="1785" w:type="dxa"/>
          </w:tcPr>
          <w:p>
            <w:pPr>
              <w:pStyle w:val="yTableNAm"/>
            </w:pPr>
            <w:r>
              <w:t>s. 78(1)(a)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30</w:t>
            </w:r>
          </w:p>
        </w:tc>
        <w:tc>
          <w:tcPr>
            <w:tcW w:w="1785" w:type="dxa"/>
          </w:tcPr>
          <w:p>
            <w:pPr>
              <w:pStyle w:val="yTableNAm"/>
            </w:pPr>
            <w:r>
              <w:t>s. 78(2)</w:t>
            </w:r>
          </w:p>
        </w:tc>
        <w:tc>
          <w:tcPr>
            <w:tcW w:w="2835" w:type="dxa"/>
          </w:tcPr>
          <w:p>
            <w:pPr>
              <w:pStyle w:val="yTableNAm"/>
            </w:pPr>
            <w:r>
              <w:t>Failing to notify licensing officer of address where records are kept</w:t>
            </w:r>
          </w:p>
        </w:tc>
        <w:tc>
          <w:tcPr>
            <w:tcW w:w="1276" w:type="dxa"/>
            <w:vAlign w:val="bottom"/>
          </w:tcPr>
          <w:p>
            <w:pPr>
              <w:pStyle w:val="yTableNAm"/>
              <w:jc w:val="center"/>
            </w:pPr>
            <w:r>
              <w:t>400</w:t>
            </w:r>
          </w:p>
        </w:tc>
      </w:tr>
      <w:tr>
        <w:tc>
          <w:tcPr>
            <w:tcW w:w="766" w:type="dxa"/>
          </w:tcPr>
          <w:p>
            <w:pPr>
              <w:pStyle w:val="yTableNAm"/>
            </w:pPr>
            <w:r>
              <w:t>31</w:t>
            </w:r>
          </w:p>
        </w:tc>
        <w:tc>
          <w:tcPr>
            <w:tcW w:w="1785" w:type="dxa"/>
          </w:tcPr>
          <w:p>
            <w:pPr>
              <w:pStyle w:val="yTableNAm"/>
            </w:pPr>
            <w:r>
              <w:t>s. 79</w:t>
            </w:r>
          </w:p>
        </w:tc>
        <w:tc>
          <w:tcPr>
            <w:tcW w:w="2835" w:type="dxa"/>
          </w:tcPr>
          <w:p>
            <w:pPr>
              <w:pStyle w:val="yTableNAm"/>
            </w:pPr>
            <w:r>
              <w:t>Disposing of a licence or identity card to another person or permitting another person to use licence or identity card</w:t>
            </w:r>
          </w:p>
        </w:tc>
        <w:tc>
          <w:tcPr>
            <w:tcW w:w="1276" w:type="dxa"/>
            <w:vAlign w:val="bottom"/>
          </w:tcPr>
          <w:p>
            <w:pPr>
              <w:pStyle w:val="yTableNAm"/>
              <w:jc w:val="center"/>
            </w:pPr>
            <w:r>
              <w:t>500</w:t>
            </w:r>
          </w:p>
        </w:tc>
      </w:tr>
      <w:tr>
        <w:tc>
          <w:tcPr>
            <w:tcW w:w="766" w:type="dxa"/>
          </w:tcPr>
          <w:p>
            <w:pPr>
              <w:pStyle w:val="yTableNAm"/>
            </w:pPr>
            <w:r>
              <w:t>32</w:t>
            </w:r>
          </w:p>
        </w:tc>
        <w:tc>
          <w:tcPr>
            <w:tcW w:w="1785" w:type="dxa"/>
          </w:tcPr>
          <w:p>
            <w:pPr>
              <w:pStyle w:val="yTableNAm"/>
            </w:pPr>
            <w:r>
              <w:t>s. 79A(2)</w:t>
            </w:r>
          </w:p>
        </w:tc>
        <w:tc>
          <w:tcPr>
            <w:tcW w:w="2835" w:type="dxa"/>
          </w:tcPr>
          <w:p>
            <w:pPr>
              <w:pStyle w:val="yTableNAm"/>
            </w:pPr>
            <w:r>
              <w:t>Employing an unlicensed person or a person whose licence has been refused, suspended or revoked</w:t>
            </w:r>
          </w:p>
        </w:tc>
        <w:tc>
          <w:tcPr>
            <w:tcW w:w="1276" w:type="dxa"/>
            <w:vAlign w:val="bottom"/>
          </w:tcPr>
          <w:p>
            <w:pPr>
              <w:pStyle w:val="yTableNAm"/>
              <w:jc w:val="center"/>
            </w:pPr>
            <w:r>
              <w:t>500</w:t>
            </w:r>
          </w:p>
        </w:tc>
      </w:tr>
      <w:tr>
        <w:tc>
          <w:tcPr>
            <w:tcW w:w="766" w:type="dxa"/>
          </w:tcPr>
          <w:p>
            <w:pPr>
              <w:pStyle w:val="yTableNAm"/>
            </w:pPr>
            <w:r>
              <w:t>33</w:t>
            </w:r>
          </w:p>
        </w:tc>
        <w:tc>
          <w:tcPr>
            <w:tcW w:w="1785" w:type="dxa"/>
          </w:tcPr>
          <w:p>
            <w:pPr>
              <w:pStyle w:val="yTableNAm"/>
            </w:pPr>
            <w:r>
              <w:t>s. 84(a)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34</w:t>
            </w:r>
          </w:p>
        </w:tc>
        <w:tc>
          <w:tcPr>
            <w:tcW w:w="1785" w:type="dxa"/>
          </w:tcPr>
          <w:p>
            <w:pPr>
              <w:pStyle w:val="yTableNAm"/>
            </w:pPr>
            <w:r>
              <w:t>s. 85(4)</w:t>
            </w:r>
          </w:p>
        </w:tc>
        <w:tc>
          <w:tcPr>
            <w:tcW w:w="2835" w:type="dxa"/>
          </w:tcPr>
          <w:p>
            <w:pPr>
              <w:pStyle w:val="yTableNAm"/>
            </w:pPr>
            <w:r>
              <w:t>Refusing or failing to comply with a requirement or providing false or misleading information</w:t>
            </w:r>
          </w:p>
        </w:tc>
        <w:tc>
          <w:tcPr>
            <w:tcW w:w="1276" w:type="dxa"/>
            <w:vAlign w:val="bottom"/>
          </w:tcPr>
          <w:p>
            <w:pPr>
              <w:pStyle w:val="yTableNAm"/>
              <w:jc w:val="center"/>
            </w:pPr>
            <w:r>
              <w:t>400</w:t>
            </w:r>
          </w:p>
        </w:tc>
      </w:tr>
      <w:tr>
        <w:tc>
          <w:tcPr>
            <w:tcW w:w="766" w:type="dxa"/>
          </w:tcPr>
          <w:p>
            <w:pPr>
              <w:pStyle w:val="yTableNAm"/>
            </w:pPr>
            <w:r>
              <w:t>35</w:t>
            </w:r>
          </w:p>
        </w:tc>
        <w:tc>
          <w:tcPr>
            <w:tcW w:w="1785" w:type="dxa"/>
          </w:tcPr>
          <w:p>
            <w:pPr>
              <w:pStyle w:val="yTableNAm"/>
            </w:pPr>
            <w:r>
              <w:t>s. 93A(2)</w:t>
            </w:r>
          </w:p>
        </w:tc>
        <w:tc>
          <w:tcPr>
            <w:tcW w:w="2835" w:type="dxa"/>
          </w:tcPr>
          <w:p>
            <w:pPr>
              <w:pStyle w:val="yTableNAm"/>
            </w:pPr>
            <w:r>
              <w:t>Refusing or failing to comply with requirement to provide name and address of agent</w:t>
            </w:r>
          </w:p>
        </w:tc>
        <w:tc>
          <w:tcPr>
            <w:tcW w:w="1276" w:type="dxa"/>
            <w:vAlign w:val="bottom"/>
          </w:tcPr>
          <w:p>
            <w:pPr>
              <w:pStyle w:val="yTableNAm"/>
              <w:jc w:val="center"/>
            </w:pPr>
            <w:r>
              <w:t>400</w:t>
            </w:r>
          </w:p>
        </w:tc>
      </w:tr>
    </w:tbl>
    <w:p>
      <w:pPr>
        <w:pStyle w:val="yFootnotesection"/>
      </w:pPr>
      <w:r>
        <w:tab/>
        <w:t>[Division 1 inserted: Gazette 29 Jul 2016 p. 3249-53.]</w:t>
      </w:r>
    </w:p>
    <w:p>
      <w:pPr>
        <w:pStyle w:val="yHeading3"/>
      </w:pPr>
      <w:bookmarkStart w:id="211" w:name="_Toc121993893"/>
      <w:bookmarkStart w:id="212" w:name="_Toc121994900"/>
      <w:bookmarkStart w:id="213" w:name="_Toc121999652"/>
      <w:bookmarkStart w:id="214" w:name="_Toc122000060"/>
      <w:r>
        <w:rPr>
          <w:rStyle w:val="CharSDivNo"/>
        </w:rPr>
        <w:lastRenderedPageBreak/>
        <w:t>Division 2</w:t>
      </w:r>
      <w:r>
        <w:rPr>
          <w:b w:val="0"/>
        </w:rPr>
        <w:t> — </w:t>
      </w:r>
      <w:r>
        <w:rPr>
          <w:rStyle w:val="CharSDivText"/>
        </w:rPr>
        <w:t>Offence under these regulations</w:t>
      </w:r>
      <w:bookmarkEnd w:id="211"/>
      <w:bookmarkEnd w:id="212"/>
      <w:bookmarkEnd w:id="213"/>
      <w:bookmarkEnd w:id="214"/>
    </w:p>
    <w:p>
      <w:pPr>
        <w:pStyle w:val="yFootnoteheading"/>
      </w:pPr>
      <w:r>
        <w:tab/>
        <w:t>[Heading inserted: Gazette 29 Jul 2016 p. 3253.]</w:t>
      </w:r>
    </w:p>
    <w:tbl>
      <w:tblPr>
        <w:tblStyle w:val="TableGrid"/>
        <w:tblW w:w="0" w:type="auto"/>
        <w:tblInd w:w="392" w:type="dxa"/>
        <w:tblLook w:val="04A0" w:firstRow="1" w:lastRow="0" w:firstColumn="1" w:lastColumn="0" w:noHBand="0" w:noVBand="1"/>
      </w:tblPr>
      <w:tblGrid>
        <w:gridCol w:w="780"/>
        <w:gridCol w:w="1778"/>
        <w:gridCol w:w="2827"/>
        <w:gridCol w:w="1277"/>
      </w:tblGrid>
      <w:tr>
        <w:tc>
          <w:tcPr>
            <w:tcW w:w="780" w:type="dxa"/>
          </w:tcPr>
          <w:p>
            <w:pPr>
              <w:pStyle w:val="yTableNAm"/>
            </w:pPr>
            <w:r>
              <w:rPr>
                <w:b/>
              </w:rPr>
              <w:t>Item</w:t>
            </w:r>
          </w:p>
        </w:tc>
        <w:tc>
          <w:tcPr>
            <w:tcW w:w="1778" w:type="dxa"/>
          </w:tcPr>
          <w:p>
            <w:pPr>
              <w:pStyle w:val="yTableNAm"/>
            </w:pPr>
            <w:r>
              <w:rPr>
                <w:b/>
              </w:rPr>
              <w:t>Regulation</w:t>
            </w:r>
          </w:p>
        </w:tc>
        <w:tc>
          <w:tcPr>
            <w:tcW w:w="2827" w:type="dxa"/>
          </w:tcPr>
          <w:p>
            <w:pPr>
              <w:pStyle w:val="yTableNAm"/>
            </w:pPr>
            <w:r>
              <w:rPr>
                <w:b/>
              </w:rPr>
              <w:t>Offence</w:t>
            </w:r>
          </w:p>
        </w:tc>
        <w:tc>
          <w:tcPr>
            <w:tcW w:w="1277" w:type="dxa"/>
            <w:vAlign w:val="center"/>
          </w:tcPr>
          <w:p>
            <w:pPr>
              <w:pStyle w:val="yTableNAm"/>
              <w:jc w:val="center"/>
            </w:pPr>
            <w:r>
              <w:rPr>
                <w:b/>
              </w:rPr>
              <w:t>Modified penalty</w:t>
            </w:r>
            <w:r>
              <w:rPr>
                <w:b/>
              </w:rPr>
              <w:br/>
              <w:t>($)</w:t>
            </w:r>
          </w:p>
        </w:tc>
      </w:tr>
      <w:tr>
        <w:tc>
          <w:tcPr>
            <w:tcW w:w="780" w:type="dxa"/>
          </w:tcPr>
          <w:p>
            <w:pPr>
              <w:pStyle w:val="yTableNAm"/>
            </w:pPr>
            <w:r>
              <w:t>1</w:t>
            </w:r>
          </w:p>
        </w:tc>
        <w:tc>
          <w:tcPr>
            <w:tcW w:w="1778" w:type="dxa"/>
          </w:tcPr>
          <w:p>
            <w:pPr>
              <w:pStyle w:val="yTableNAm"/>
            </w:pPr>
            <w:r>
              <w:t>r. 40(2)</w:t>
            </w:r>
          </w:p>
        </w:tc>
        <w:tc>
          <w:tcPr>
            <w:tcW w:w="2827" w:type="dxa"/>
          </w:tcPr>
          <w:p>
            <w:pPr>
              <w:pStyle w:val="yTableNAm"/>
            </w:pPr>
            <w:r>
              <w:t>Failing to record details in incident register</w:t>
            </w:r>
          </w:p>
        </w:tc>
        <w:tc>
          <w:tcPr>
            <w:tcW w:w="1277" w:type="dxa"/>
            <w:vAlign w:val="bottom"/>
          </w:tcPr>
          <w:p>
            <w:pPr>
              <w:pStyle w:val="yTableNAm"/>
              <w:jc w:val="center"/>
            </w:pPr>
            <w:r>
              <w:t>400</w:t>
            </w:r>
          </w:p>
        </w:tc>
      </w:tr>
      <w:tr>
        <w:tc>
          <w:tcPr>
            <w:tcW w:w="780" w:type="dxa"/>
          </w:tcPr>
          <w:p>
            <w:pPr>
              <w:pStyle w:val="yTableNAm"/>
            </w:pPr>
            <w:r>
              <w:t>2</w:t>
            </w:r>
          </w:p>
        </w:tc>
        <w:tc>
          <w:tcPr>
            <w:tcW w:w="1778" w:type="dxa"/>
          </w:tcPr>
          <w:p>
            <w:pPr>
              <w:pStyle w:val="yTableNAm"/>
            </w:pPr>
            <w:r>
              <w:t>r. 48A(1)</w:t>
            </w:r>
          </w:p>
        </w:tc>
        <w:tc>
          <w:tcPr>
            <w:tcW w:w="2827" w:type="dxa"/>
          </w:tcPr>
          <w:p>
            <w:pPr>
              <w:pStyle w:val="yTableNAm"/>
            </w:pPr>
            <w:r>
              <w:t>Failing to produce identity card when giving blood or urine sample under direction</w:t>
            </w:r>
          </w:p>
        </w:tc>
        <w:tc>
          <w:tcPr>
            <w:tcW w:w="1277" w:type="dxa"/>
            <w:vAlign w:val="bottom"/>
          </w:tcPr>
          <w:p>
            <w:pPr>
              <w:pStyle w:val="yTableNAm"/>
              <w:jc w:val="center"/>
            </w:pPr>
            <w:r>
              <w:t>400</w:t>
            </w:r>
          </w:p>
        </w:tc>
      </w:tr>
    </w:tbl>
    <w:p>
      <w:pPr>
        <w:pStyle w:val="yFootnotesection"/>
      </w:pPr>
      <w:r>
        <w:tab/>
        <w:t>[Division 2 inserted: Gazette 29 Jul 2016 p. 3253.]</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215" w:name="_Toc121993894"/>
      <w:bookmarkStart w:id="216" w:name="_Toc121994901"/>
      <w:bookmarkStart w:id="217" w:name="_Toc121999653"/>
      <w:bookmarkStart w:id="218" w:name="_Toc122000061"/>
      <w:r>
        <w:rPr>
          <w:rStyle w:val="CharSchNo"/>
        </w:rPr>
        <w:lastRenderedPageBreak/>
        <w:t>Schedule 6</w:t>
      </w:r>
      <w:r>
        <w:t> — </w:t>
      </w:r>
      <w:r>
        <w:rPr>
          <w:rStyle w:val="CharSchText"/>
        </w:rPr>
        <w:t>Forms</w:t>
      </w:r>
      <w:bookmarkEnd w:id="215"/>
      <w:bookmarkEnd w:id="216"/>
      <w:bookmarkEnd w:id="217"/>
      <w:bookmarkEnd w:id="218"/>
    </w:p>
    <w:p>
      <w:pPr>
        <w:pStyle w:val="yShoulderClause"/>
      </w:pPr>
      <w:r>
        <w:t>[r. 59]</w:t>
      </w:r>
    </w:p>
    <w:p>
      <w:pPr>
        <w:pStyle w:val="yFootnoteheading"/>
      </w:pPr>
      <w:r>
        <w:tab/>
        <w:t>[Heading inserted: Gazette 29 Jul 2016 p. 3254.]</w:t>
      </w:r>
    </w:p>
    <w:p>
      <w:pPr>
        <w:pStyle w:val="zyMiscellaneousHeading"/>
        <w:spacing w:after="60"/>
        <w:rPr>
          <w:b/>
        </w:rPr>
      </w:pPr>
      <w:r>
        <w:rPr>
          <w:b/>
        </w:rPr>
        <w:t xml:space="preserve">Form </w:t>
      </w:r>
      <w:r>
        <w:rPr>
          <w:rStyle w:val="CharSClsNo"/>
          <w:b/>
        </w:rPr>
        <w:t>1</w:t>
      </w:r>
      <w:r>
        <w:rPr>
          <w:b/>
        </w:rPr>
        <w:t> — Infringement notice</w:t>
      </w:r>
    </w:p>
    <w:tbl>
      <w:tblPr>
        <w:tblW w:w="695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495"/>
        <w:gridCol w:w="3908"/>
      </w:tblGrid>
      <w:tr>
        <w:trPr>
          <w:cantSplit/>
          <w:trHeight w:val="282"/>
        </w:trPr>
        <w:tc>
          <w:tcPr>
            <w:tcW w:w="6957" w:type="dxa"/>
            <w:gridSpan w:val="3"/>
          </w:tcPr>
          <w:p>
            <w:pPr>
              <w:pStyle w:val="yTableNAm"/>
            </w:pPr>
            <w:r>
              <w:br w:type="page"/>
            </w:r>
            <w:r>
              <w:rPr>
                <w:i/>
              </w:rPr>
              <w:t>Security and Related Activities (Control) Act 1996</w:t>
            </w:r>
          </w:p>
          <w:p>
            <w:pPr>
              <w:pStyle w:val="yTableNAm"/>
            </w:pPr>
            <w:r>
              <w:t>Security and Related Activities (Control) Regulations 1997</w:t>
            </w:r>
          </w:p>
          <w:p>
            <w:pPr>
              <w:pStyle w:val="yTableNAm"/>
              <w:rPr>
                <w:b/>
                <w:sz w:val="24"/>
                <w:szCs w:val="24"/>
              </w:rPr>
            </w:pPr>
            <w:r>
              <w:rPr>
                <w:b/>
                <w:sz w:val="24"/>
                <w:szCs w:val="24"/>
              </w:rPr>
              <w:t>Infringement notice</w:t>
            </w:r>
            <w:r>
              <w:rPr>
                <w:b/>
                <w:sz w:val="24"/>
                <w:szCs w:val="24"/>
              </w:rPr>
              <w:tab/>
            </w:r>
          </w:p>
        </w:tc>
      </w:tr>
      <w:tr>
        <w:trPr>
          <w:cantSplit/>
          <w:trHeight w:val="150"/>
        </w:trPr>
        <w:tc>
          <w:tcPr>
            <w:tcW w:w="1554" w:type="dxa"/>
            <w:vMerge w:val="restart"/>
          </w:tcPr>
          <w:p>
            <w:pPr>
              <w:pStyle w:val="yTableNAm"/>
            </w:pPr>
            <w:r>
              <w:rPr>
                <w:b/>
              </w:rPr>
              <w:t>Alleged offender</w:t>
            </w:r>
          </w:p>
        </w:tc>
        <w:tc>
          <w:tcPr>
            <w:tcW w:w="5403" w:type="dxa"/>
            <w:gridSpan w:val="2"/>
          </w:tcPr>
          <w:p>
            <w:pPr>
              <w:pStyle w:val="yTableNAm"/>
            </w:pPr>
            <w:r>
              <w:t>Name:</w:t>
            </w:r>
            <w:r>
              <w:tab/>
              <w:t>Surname</w:t>
            </w:r>
          </w:p>
        </w:tc>
      </w:tr>
      <w:tr>
        <w:trPr>
          <w:cantSplit/>
          <w:trHeight w:val="150"/>
        </w:trPr>
        <w:tc>
          <w:tcPr>
            <w:tcW w:w="1554" w:type="dxa"/>
            <w:vMerge/>
          </w:tcPr>
          <w:p>
            <w:pPr>
              <w:pStyle w:val="zyTableNAm"/>
            </w:pPr>
          </w:p>
        </w:tc>
        <w:tc>
          <w:tcPr>
            <w:tcW w:w="5403" w:type="dxa"/>
            <w:gridSpan w:val="2"/>
          </w:tcPr>
          <w:p>
            <w:pPr>
              <w:pStyle w:val="yTableNAm"/>
            </w:pPr>
            <w:r>
              <w:tab/>
            </w:r>
            <w:r>
              <w:tab/>
              <w:t>Given names</w:t>
            </w:r>
          </w:p>
        </w:tc>
      </w:tr>
      <w:tr>
        <w:trPr>
          <w:cantSplit/>
          <w:trHeight w:val="150"/>
        </w:trPr>
        <w:tc>
          <w:tcPr>
            <w:tcW w:w="1554" w:type="dxa"/>
            <w:vMerge/>
          </w:tcPr>
          <w:p>
            <w:pPr>
              <w:pStyle w:val="zyTableNAm"/>
            </w:pPr>
          </w:p>
        </w:tc>
        <w:tc>
          <w:tcPr>
            <w:tcW w:w="5403" w:type="dxa"/>
            <w:gridSpan w:val="2"/>
          </w:tcPr>
          <w:p>
            <w:pPr>
              <w:pStyle w:val="yTableNAm"/>
            </w:pPr>
            <w:r>
              <w:t>Address _______________________________________</w:t>
            </w:r>
          </w:p>
          <w:p>
            <w:pPr>
              <w:pStyle w:val="yTableNAm"/>
            </w:pPr>
            <w:r>
              <w:tab/>
            </w:r>
            <w:r>
              <w:tab/>
            </w:r>
            <w:r>
              <w:tab/>
            </w:r>
            <w:r>
              <w:tab/>
            </w:r>
            <w:r>
              <w:tab/>
              <w:t>Postcode</w:t>
            </w:r>
          </w:p>
        </w:tc>
      </w:tr>
      <w:tr>
        <w:trPr>
          <w:cantSplit/>
        </w:trPr>
        <w:tc>
          <w:tcPr>
            <w:tcW w:w="1554" w:type="dxa"/>
            <w:vMerge w:val="restart"/>
          </w:tcPr>
          <w:p>
            <w:pPr>
              <w:pStyle w:val="yTableNAm"/>
            </w:pPr>
            <w:r>
              <w:rPr>
                <w:b/>
              </w:rPr>
              <w:t>Details of alleged offence</w:t>
            </w:r>
          </w:p>
        </w:tc>
        <w:tc>
          <w:tcPr>
            <w:tcW w:w="5403" w:type="dxa"/>
            <w:gridSpan w:val="2"/>
          </w:tcPr>
          <w:p>
            <w:pPr>
              <w:pStyle w:val="yTableNAm"/>
            </w:pPr>
            <w:r>
              <w:t>Description of offence ____________________________</w:t>
            </w:r>
          </w:p>
          <w:p>
            <w:pPr>
              <w:pStyle w:val="yTableNAm"/>
              <w:tabs>
                <w:tab w:val="left" w:pos="2663"/>
              </w:tabs>
            </w:pPr>
          </w:p>
        </w:tc>
      </w:tr>
      <w:tr>
        <w:trPr>
          <w:cantSplit/>
        </w:trPr>
        <w:tc>
          <w:tcPr>
            <w:tcW w:w="1554" w:type="dxa"/>
            <w:vMerge/>
          </w:tcPr>
          <w:p>
            <w:pPr>
              <w:pStyle w:val="zyTableNAm"/>
            </w:pPr>
          </w:p>
        </w:tc>
        <w:tc>
          <w:tcPr>
            <w:tcW w:w="5403" w:type="dxa"/>
            <w:gridSpan w:val="2"/>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w:t>
            </w:r>
          </w:p>
        </w:tc>
      </w:tr>
      <w:tr>
        <w:trPr>
          <w:cantSplit/>
        </w:trPr>
        <w:tc>
          <w:tcPr>
            <w:tcW w:w="1554" w:type="dxa"/>
            <w:vMerge/>
          </w:tcPr>
          <w:p>
            <w:pPr>
              <w:pStyle w:val="zyTableNAm"/>
            </w:pPr>
          </w:p>
        </w:tc>
        <w:tc>
          <w:tcPr>
            <w:tcW w:w="5403" w:type="dxa"/>
            <w:gridSpan w:val="2"/>
          </w:tcPr>
          <w:p>
            <w:pPr>
              <w:pStyle w:val="yTableNAm"/>
              <w:tabs>
                <w:tab w:val="clear" w:pos="567"/>
                <w:tab w:val="left" w:pos="820"/>
                <w:tab w:val="left" w:pos="2663"/>
              </w:tabs>
            </w:pPr>
            <w:r>
              <w:t xml:space="preserve">Date </w:t>
            </w:r>
            <w:r>
              <w:tab/>
              <w:t>/          /20</w:t>
            </w:r>
            <w:r>
              <w:tab/>
              <w:t xml:space="preserve">Time </w:t>
            </w:r>
            <w:r>
              <w:tab/>
            </w:r>
          </w:p>
        </w:tc>
      </w:tr>
      <w:tr>
        <w:trPr>
          <w:cantSplit/>
        </w:trPr>
        <w:tc>
          <w:tcPr>
            <w:tcW w:w="1554" w:type="dxa"/>
            <w:vMerge/>
            <w:tcBorders>
              <w:bottom w:val="single" w:sz="4" w:space="0" w:color="auto"/>
            </w:tcBorders>
          </w:tcPr>
          <w:p>
            <w:pPr>
              <w:pStyle w:val="zyTableNAm"/>
            </w:pPr>
          </w:p>
        </w:tc>
        <w:tc>
          <w:tcPr>
            <w:tcW w:w="5403" w:type="dxa"/>
            <w:gridSpan w:val="2"/>
            <w:tcBorders>
              <w:bottom w:val="single" w:sz="4" w:space="0" w:color="auto"/>
            </w:tcBorders>
          </w:tcPr>
          <w:p>
            <w:pPr>
              <w:pStyle w:val="yTableNAm"/>
            </w:pPr>
            <w:r>
              <w:t>Place</w:t>
            </w:r>
          </w:p>
        </w:tc>
      </w:tr>
      <w:tr>
        <w:trPr>
          <w:cantSplit/>
        </w:trPr>
        <w:tc>
          <w:tcPr>
            <w:tcW w:w="1554" w:type="dxa"/>
            <w:vMerge w:val="restart"/>
          </w:tcPr>
          <w:p>
            <w:pPr>
              <w:pStyle w:val="yTableNAm"/>
            </w:pPr>
            <w:r>
              <w:rPr>
                <w:b/>
              </w:rPr>
              <w:t>Officer issuing notice</w:t>
            </w:r>
          </w:p>
        </w:tc>
        <w:tc>
          <w:tcPr>
            <w:tcW w:w="5403" w:type="dxa"/>
            <w:gridSpan w:val="2"/>
            <w:tcBorders>
              <w:bottom w:val="single" w:sz="4" w:space="0" w:color="auto"/>
            </w:tcBorders>
          </w:tcPr>
          <w:p>
            <w:pPr>
              <w:pStyle w:val="yTableNAm"/>
            </w:pPr>
            <w:r>
              <w:t>Name</w:t>
            </w:r>
          </w:p>
        </w:tc>
      </w:tr>
      <w:tr>
        <w:trPr>
          <w:cantSplit/>
        </w:trPr>
        <w:tc>
          <w:tcPr>
            <w:tcW w:w="1554" w:type="dxa"/>
            <w:vMerge/>
          </w:tcPr>
          <w:p>
            <w:pPr>
              <w:pStyle w:val="zyTableNAm"/>
              <w:rPr>
                <w:b/>
              </w:rPr>
            </w:pPr>
          </w:p>
        </w:tc>
        <w:tc>
          <w:tcPr>
            <w:tcW w:w="5403" w:type="dxa"/>
            <w:gridSpan w:val="2"/>
            <w:tcBorders>
              <w:top w:val="single" w:sz="4" w:space="0" w:color="auto"/>
              <w:bottom w:val="single" w:sz="4" w:space="0" w:color="auto"/>
            </w:tcBorders>
          </w:tcPr>
          <w:p>
            <w:pPr>
              <w:pStyle w:val="yTableNAm"/>
              <w:rPr>
                <w:highlight w:val="yellow"/>
              </w:rPr>
            </w:pPr>
            <w:r>
              <w:t>Signature</w:t>
            </w:r>
          </w:p>
        </w:tc>
      </w:tr>
      <w:tr>
        <w:trPr>
          <w:cantSplit/>
        </w:trPr>
        <w:tc>
          <w:tcPr>
            <w:tcW w:w="1554" w:type="dxa"/>
            <w:vMerge/>
            <w:tcBorders>
              <w:bottom w:val="single" w:sz="4" w:space="0" w:color="auto"/>
            </w:tcBorders>
          </w:tcPr>
          <w:p>
            <w:pPr>
              <w:pStyle w:val="zyTableNAm"/>
              <w:rPr>
                <w:b/>
              </w:rPr>
            </w:pPr>
          </w:p>
        </w:tc>
        <w:tc>
          <w:tcPr>
            <w:tcW w:w="5403" w:type="dxa"/>
            <w:gridSpan w:val="2"/>
            <w:tcBorders>
              <w:top w:val="single" w:sz="4" w:space="0" w:color="auto"/>
              <w:bottom w:val="single" w:sz="4" w:space="0" w:color="auto"/>
            </w:tcBorders>
          </w:tcPr>
          <w:p>
            <w:pPr>
              <w:pStyle w:val="yTableNAm"/>
            </w:pPr>
            <w:r>
              <w:t>Office</w:t>
            </w:r>
          </w:p>
        </w:tc>
      </w:tr>
      <w:tr>
        <w:trPr>
          <w:cantSplit/>
        </w:trPr>
        <w:tc>
          <w:tcPr>
            <w:tcW w:w="1554" w:type="dxa"/>
            <w:tcBorders>
              <w:top w:val="single" w:sz="4" w:space="0" w:color="auto"/>
              <w:bottom w:val="single" w:sz="4" w:space="0" w:color="auto"/>
            </w:tcBorders>
          </w:tcPr>
          <w:p>
            <w:pPr>
              <w:pStyle w:val="yTableNAm"/>
            </w:pPr>
            <w:r>
              <w:rPr>
                <w:b/>
              </w:rPr>
              <w:t>Date of notice</w:t>
            </w:r>
          </w:p>
        </w:tc>
        <w:tc>
          <w:tcPr>
            <w:tcW w:w="5403" w:type="dxa"/>
            <w:gridSpan w:val="2"/>
            <w:tcBorders>
              <w:top w:val="single" w:sz="4" w:space="0" w:color="auto"/>
              <w:bottom w:val="single" w:sz="4" w:space="0" w:color="auto"/>
            </w:tcBorders>
          </w:tcPr>
          <w:p>
            <w:pPr>
              <w:pStyle w:val="yTableNAm"/>
              <w:tabs>
                <w:tab w:val="clear" w:pos="567"/>
                <w:tab w:val="left" w:pos="678"/>
                <w:tab w:val="left" w:pos="1245"/>
              </w:tabs>
            </w:pPr>
            <w:r>
              <w:tab/>
              <w:t>/</w:t>
            </w:r>
            <w:r>
              <w:tab/>
              <w:t>/20</w:t>
            </w:r>
          </w:p>
        </w:tc>
      </w:tr>
      <w:tr>
        <w:trPr>
          <w:cantSplit/>
        </w:trPr>
        <w:tc>
          <w:tcPr>
            <w:tcW w:w="1554" w:type="dxa"/>
            <w:tcBorders>
              <w:top w:val="single" w:sz="4" w:space="0" w:color="auto"/>
              <w:bottom w:val="single" w:sz="4" w:space="0" w:color="auto"/>
            </w:tcBorders>
          </w:tcPr>
          <w:p>
            <w:pPr>
              <w:pStyle w:val="yTableNAm"/>
            </w:pPr>
            <w:r>
              <w:rPr>
                <w:b/>
              </w:rPr>
              <w:t>Modified 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yTableNAm"/>
            </w:pPr>
            <w:r>
              <w:rPr>
                <w:b/>
              </w:rPr>
              <w:t>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zyTableNAm"/>
            </w:pPr>
          </w:p>
        </w:tc>
        <w:tc>
          <w:tcPr>
            <w:tcW w:w="5403" w:type="dxa"/>
            <w:gridSpan w:val="2"/>
            <w:tcBorders>
              <w:top w:val="single" w:sz="4" w:space="0" w:color="auto"/>
              <w:bottom w:val="single" w:sz="4" w:space="0" w:color="auto"/>
            </w:tcBorders>
          </w:tcPr>
          <w:p>
            <w:pPr>
              <w:pStyle w:val="yTableNAm"/>
            </w:pPr>
            <w:r>
              <w:t>You do not have to pay this amount.  This is the maximum fine that can be imposed if you are prosecuted in a court and convicted of an offence.</w:t>
            </w:r>
          </w:p>
        </w:tc>
      </w:tr>
      <w:tr>
        <w:trPr>
          <w:cantSplit/>
        </w:trPr>
        <w:tc>
          <w:tcPr>
            <w:tcW w:w="1554" w:type="dxa"/>
            <w:vMerge w:val="restart"/>
            <w:tcBorders>
              <w:top w:val="single" w:sz="4" w:space="0" w:color="auto"/>
            </w:tcBorders>
          </w:tcPr>
          <w:p>
            <w:pPr>
              <w:pStyle w:val="yTableNAm"/>
            </w:pPr>
            <w:r>
              <w:rPr>
                <w:b/>
              </w:rPr>
              <w:lastRenderedPageBreak/>
              <w:t>Notice to alleged offender</w:t>
            </w:r>
          </w:p>
        </w:tc>
        <w:tc>
          <w:tcPr>
            <w:tcW w:w="5403" w:type="dxa"/>
            <w:gridSpan w:val="2"/>
            <w:tcBorders>
              <w:top w:val="single" w:sz="4" w:space="0" w:color="auto"/>
              <w:bottom w:val="nil"/>
            </w:tcBorders>
          </w:tcPr>
          <w:p>
            <w:pPr>
              <w:pStyle w:val="yTableNAm"/>
            </w:pPr>
            <w:r>
              <w:t>It is alleged that you have committed the above offence.</w:t>
            </w:r>
          </w:p>
        </w:tc>
      </w:tr>
      <w:tr>
        <w:trPr>
          <w:cantSplit/>
        </w:trPr>
        <w:tc>
          <w:tcPr>
            <w:tcW w:w="1554" w:type="dxa"/>
            <w:vMerge/>
          </w:tcPr>
          <w:p>
            <w:pPr>
              <w:pStyle w:val="zyTableNAm"/>
              <w:keepLines/>
              <w:widowControl w:val="0"/>
            </w:pPr>
          </w:p>
        </w:tc>
        <w:tc>
          <w:tcPr>
            <w:tcW w:w="5403" w:type="dxa"/>
            <w:gridSpan w:val="2"/>
            <w:tcBorders>
              <w:top w:val="nil"/>
            </w:tcBorders>
          </w:tcPr>
          <w:p>
            <w:pPr>
              <w:pStyle w:val="yTableNAm"/>
              <w:rPr>
                <w:highlight w:val="yellow"/>
              </w:rPr>
            </w:pPr>
            <w:r>
              <w:rPr>
                <w:b/>
              </w:rPr>
              <w:t>If you do not want to be prosecuted in court for the alleged offence</w:t>
            </w:r>
            <w:r>
              <w:t>, pay the modified penalty within 28 days after the date of this notice.  See below for how and where to pay the modified penalty.</w:t>
            </w:r>
          </w:p>
        </w:tc>
      </w:tr>
      <w:tr>
        <w:trPr>
          <w:cantSplit/>
        </w:trPr>
        <w:tc>
          <w:tcPr>
            <w:tcW w:w="1554" w:type="dxa"/>
            <w:vMerge/>
          </w:tcPr>
          <w:p>
            <w:pPr>
              <w:pStyle w:val="zyTableNAm"/>
              <w:widowControl w:val="0"/>
            </w:pPr>
          </w:p>
        </w:tc>
        <w:tc>
          <w:tcPr>
            <w:tcW w:w="5403" w:type="dxa"/>
            <w:gridSpan w:val="2"/>
          </w:tcPr>
          <w:p>
            <w:pPr>
              <w:pStyle w:val="yTableNAm"/>
            </w:pPr>
            <w:r>
              <w:rPr>
                <w:b/>
              </w:rPr>
              <w:t>Paying the modified penalty will not be regarded as an admission for the purposes of any civil or criminal court case.</w:t>
            </w:r>
          </w:p>
        </w:tc>
      </w:tr>
      <w:tr>
        <w:trPr>
          <w:cantSplit/>
        </w:trPr>
        <w:tc>
          <w:tcPr>
            <w:tcW w:w="1554" w:type="dxa"/>
            <w:vMerge/>
          </w:tcPr>
          <w:p>
            <w:pPr>
              <w:pStyle w:val="zyTableNAm"/>
              <w:widowControl w:val="0"/>
            </w:pPr>
          </w:p>
        </w:tc>
        <w:tc>
          <w:tcPr>
            <w:tcW w:w="5403" w:type="dxa"/>
            <w:gridSpan w:val="2"/>
          </w:tcPr>
          <w:p>
            <w:pPr>
              <w:pStyle w:val="yTableNAm"/>
            </w:pPr>
            <w:r>
              <w:rPr>
                <w:b/>
              </w:rPr>
              <w:t>If you do not pay</w:t>
            </w:r>
            <w:r>
              <w:t xml:space="preserve"> the modified penalty within 28 days, you may be prosecuted in court for the alleged offence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cantSplit/>
        </w:trPr>
        <w:tc>
          <w:tcPr>
            <w:tcW w:w="1554" w:type="dxa"/>
            <w:vMerge/>
          </w:tcPr>
          <w:p>
            <w:pPr>
              <w:pStyle w:val="yTableNAm"/>
            </w:pPr>
            <w:r>
              <w:t>Date of notice</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need more time</w:t>
            </w:r>
            <w:r>
              <w:t xml:space="preserve"> to pay the modified penalty, you should contact the designated person at the address below.</w:t>
            </w:r>
          </w:p>
        </w:tc>
      </w:tr>
      <w:tr>
        <w:trPr>
          <w:cantSplit/>
        </w:trPr>
        <w:tc>
          <w:tcPr>
            <w:tcW w:w="1554" w:type="dxa"/>
            <w:vMerge/>
          </w:tcPr>
          <w:p>
            <w:pPr>
              <w:pStyle w:val="yTableNAm"/>
            </w:pPr>
            <w:r>
              <w:t>Modified 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designated person at the address below within 28 days after the date of this notice.</w:t>
            </w:r>
          </w:p>
        </w:tc>
      </w:tr>
      <w:tr>
        <w:trPr>
          <w:cantSplit/>
        </w:trPr>
        <w:tc>
          <w:tcPr>
            <w:tcW w:w="1554" w:type="dxa"/>
            <w:vMerge/>
          </w:tcPr>
          <w:p>
            <w:pPr>
              <w:pStyle w:val="yTableNAm"/>
            </w:pPr>
            <w:r>
              <w:t>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are prosecuted in a court for the alleged offence, and convicted, you will be liable to a penalty and costs.</w:t>
            </w:r>
          </w:p>
        </w:tc>
      </w:tr>
      <w:tr>
        <w:trPr>
          <w:cantSplit/>
        </w:trPr>
        <w:tc>
          <w:tcPr>
            <w:tcW w:w="1554" w:type="dxa"/>
            <w:vMerge/>
          </w:tcPr>
          <w:p>
            <w:pPr>
              <w:pStyle w:val="yTableNAm"/>
            </w:pPr>
            <w:r>
              <w:t>Notice to alleged offender</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consider that you have good reason to have this notice withdrawn, you can write to the designated person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554" w:type="dxa"/>
            <w:tcBorders>
              <w:top w:val="single" w:sz="4" w:space="0" w:color="auto"/>
              <w:left w:val="single" w:sz="4" w:space="0" w:color="auto"/>
              <w:bottom w:val="single" w:sz="4" w:space="0" w:color="auto"/>
              <w:right w:val="single" w:sz="4" w:space="0" w:color="auto"/>
            </w:tcBorders>
          </w:tcPr>
          <w:p>
            <w:pPr>
              <w:pStyle w:val="yTableNAm"/>
            </w:pPr>
            <w:r>
              <w:rPr>
                <w:b/>
              </w:rPr>
              <w:lastRenderedPageBreak/>
              <w:t>How to pay the modified penalty</w:t>
            </w:r>
          </w:p>
        </w:tc>
        <w:tc>
          <w:tcPr>
            <w:tcW w:w="1495" w:type="dxa"/>
            <w:tcBorders>
              <w:top w:val="single" w:sz="4" w:space="0" w:color="auto"/>
              <w:left w:val="single" w:sz="4" w:space="0" w:color="auto"/>
              <w:bottom w:val="single" w:sz="4" w:space="0" w:color="auto"/>
              <w:right w:val="single" w:sz="4" w:space="0" w:color="auto"/>
            </w:tcBorders>
          </w:tcPr>
          <w:p>
            <w:pPr>
              <w:pStyle w:val="yTableNAm"/>
            </w:pPr>
            <w:r>
              <w:t>In person</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paying in person]</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post</w:t>
            </w:r>
          </w:p>
        </w:tc>
        <w:tc>
          <w:tcPr>
            <w:tcW w:w="3908" w:type="dxa"/>
            <w:tcBorders>
              <w:top w:val="single" w:sz="4" w:space="0" w:color="auto"/>
              <w:left w:val="single" w:sz="4" w:space="0" w:color="auto"/>
              <w:bottom w:val="single" w:sz="4" w:space="0" w:color="auto"/>
              <w:right w:val="single" w:sz="4" w:space="0" w:color="auto"/>
            </w:tcBorders>
          </w:tcPr>
          <w:p>
            <w:pPr>
              <w:pStyle w:val="yTableNAm"/>
            </w:pPr>
            <w:r>
              <w:t>Post this notice, with a cheque or money order made payable to [</w:t>
            </w:r>
            <w:r>
              <w:rPr>
                <w:i/>
              </w:rPr>
              <w:t>payee</w:t>
            </w:r>
            <w:r>
              <w:t>], to:</w:t>
            </w:r>
          </w:p>
          <w:p>
            <w:pPr>
              <w:pStyle w:val="yTableNAm"/>
            </w:pPr>
            <w:r>
              <w:t>Western Australia Police</w:t>
            </w:r>
            <w:r>
              <w:br/>
              <w:t>303 Sevenoaks Street</w:t>
            </w:r>
            <w:r>
              <w:br/>
              <w:t>Cannington WA 6107</w:t>
            </w:r>
          </w:p>
          <w:p>
            <w:pPr>
              <w:pStyle w:val="yTableNAm"/>
            </w:pPr>
            <w:r>
              <w:t>or</w:t>
            </w:r>
          </w:p>
          <w:p>
            <w:pPr>
              <w:pStyle w:val="yTableNAm"/>
            </w:pPr>
            <w:r>
              <w:t>Locked Bag 9, East Perth WA 6892</w:t>
            </w:r>
          </w:p>
          <w:p>
            <w:pPr>
              <w:pStyle w:val="yTableNAm"/>
            </w:pPr>
          </w:p>
          <w:p>
            <w:pPr>
              <w:pStyle w:val="yTableNAm"/>
              <w:rPr>
                <w:u w:val="single"/>
              </w:rPr>
            </w:pPr>
            <w:r>
              <w:t>Do not send cash in the mail.</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Online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online payments]</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telephone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telephone payments]</w:t>
            </w:r>
          </w:p>
        </w:tc>
      </w:tr>
    </w:tbl>
    <w:p>
      <w:pPr>
        <w:pStyle w:val="yFootnotesection"/>
      </w:pPr>
      <w:r>
        <w:tab/>
        <w:t>[Form 1 inserted: Gazette 29 Jul 2016 p. 3254</w:t>
      </w:r>
      <w:r>
        <w:noBreakHyphen/>
        <w:t>6; amended: SL 2020/171 r. 4.]</w:t>
      </w:r>
    </w:p>
    <w:p>
      <w:pPr>
        <w:pStyle w:val="zyMiscellaneousHeading"/>
        <w:spacing w:before="360" w:after="60"/>
        <w:rPr>
          <w:b/>
        </w:rPr>
      </w:pPr>
      <w:r>
        <w:rPr>
          <w:b/>
        </w:rPr>
        <w:t xml:space="preserve">Form </w:t>
      </w:r>
      <w:r>
        <w:rPr>
          <w:rStyle w:val="CharSClsNo"/>
          <w:b/>
        </w:rPr>
        <w:t>2</w:t>
      </w:r>
      <w:r>
        <w:rPr>
          <w:b/>
        </w:rPr>
        <w:t>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trPr>
        <w:tc>
          <w:tcPr>
            <w:tcW w:w="6946" w:type="dxa"/>
            <w:gridSpan w:val="2"/>
          </w:tcPr>
          <w:p>
            <w:pPr>
              <w:pStyle w:val="yTableNAm"/>
            </w:pPr>
            <w:r>
              <w:rPr>
                <w:i/>
              </w:rPr>
              <w:t>Security and Related Activities (Control) Act 1996</w:t>
            </w:r>
          </w:p>
          <w:p>
            <w:pPr>
              <w:pStyle w:val="yTableNAm"/>
            </w:pPr>
            <w:r>
              <w:t>Security and Related Activities (Control) Regulations 1997</w:t>
            </w:r>
          </w:p>
          <w:p>
            <w:pPr>
              <w:pStyle w:val="yTableNAm"/>
              <w:rPr>
                <w:szCs w:val="22"/>
              </w:rPr>
            </w:pPr>
            <w:r>
              <w:rPr>
                <w:b/>
                <w:sz w:val="24"/>
                <w:szCs w:val="24"/>
              </w:rPr>
              <w:t>Withdrawal of infringement notice</w:t>
            </w:r>
          </w:p>
        </w:tc>
      </w:tr>
      <w:tr>
        <w:trPr>
          <w:cantSplit/>
          <w:trHeight w:val="150"/>
        </w:trPr>
        <w:tc>
          <w:tcPr>
            <w:tcW w:w="1559" w:type="dxa"/>
            <w:vMerge w:val="restart"/>
          </w:tcPr>
          <w:p>
            <w:pPr>
              <w:pStyle w:val="yTableNAm"/>
            </w:pPr>
            <w:r>
              <w:rPr>
                <w:b/>
              </w:rPr>
              <w:t>Alleged offender</w:t>
            </w:r>
          </w:p>
        </w:tc>
        <w:tc>
          <w:tcPr>
            <w:tcW w:w="5387" w:type="dxa"/>
          </w:tcPr>
          <w:p>
            <w:pPr>
              <w:pStyle w:val="yTableNAm"/>
            </w:pPr>
            <w:r>
              <w:t>Name:</w:t>
            </w:r>
            <w:r>
              <w:tab/>
              <w:t>Surname</w:t>
            </w:r>
          </w:p>
        </w:tc>
      </w:tr>
      <w:tr>
        <w:trPr>
          <w:cantSplit/>
          <w:trHeight w:val="150"/>
        </w:trPr>
        <w:tc>
          <w:tcPr>
            <w:tcW w:w="1559" w:type="dxa"/>
            <w:vMerge/>
          </w:tcPr>
          <w:p>
            <w:pPr>
              <w:pStyle w:val="zyTableNAm"/>
              <w:rPr>
                <w:b/>
              </w:rPr>
            </w:pPr>
          </w:p>
        </w:tc>
        <w:tc>
          <w:tcPr>
            <w:tcW w:w="5387" w:type="dxa"/>
          </w:tcPr>
          <w:p>
            <w:pPr>
              <w:pStyle w:val="yTableNAm"/>
            </w:pPr>
            <w:r>
              <w:tab/>
              <w:t>Given names</w:t>
            </w:r>
          </w:p>
        </w:tc>
      </w:tr>
      <w:tr>
        <w:trPr>
          <w:cantSplit/>
          <w:trHeight w:val="150"/>
        </w:trPr>
        <w:tc>
          <w:tcPr>
            <w:tcW w:w="1559" w:type="dxa"/>
            <w:vMerge/>
          </w:tcPr>
          <w:p>
            <w:pPr>
              <w:pStyle w:val="zyTableNAm"/>
              <w:rPr>
                <w:b/>
              </w:rPr>
            </w:pPr>
          </w:p>
        </w:tc>
        <w:tc>
          <w:tcPr>
            <w:tcW w:w="5387" w:type="dxa"/>
          </w:tcPr>
          <w:p>
            <w:pPr>
              <w:pStyle w:val="yTableNAm"/>
            </w:pPr>
            <w:r>
              <w:t>Address _______________________________________</w:t>
            </w:r>
          </w:p>
          <w:p>
            <w:pPr>
              <w:pStyle w:val="yTableNAm"/>
            </w:pPr>
            <w:r>
              <w:tab/>
            </w:r>
            <w:r>
              <w:tab/>
            </w:r>
            <w:r>
              <w:tab/>
            </w:r>
            <w:r>
              <w:tab/>
            </w:r>
            <w:r>
              <w:tab/>
              <w:t>Postcode</w:t>
            </w:r>
          </w:p>
        </w:tc>
      </w:tr>
      <w:tr>
        <w:trPr>
          <w:cantSplit/>
        </w:trPr>
        <w:tc>
          <w:tcPr>
            <w:tcW w:w="1559" w:type="dxa"/>
            <w:vMerge w:val="restart"/>
          </w:tcPr>
          <w:p>
            <w:pPr>
              <w:pStyle w:val="yTableNAm"/>
            </w:pPr>
            <w:r>
              <w:rPr>
                <w:b/>
              </w:rPr>
              <w:t>Infringement notice</w:t>
            </w:r>
          </w:p>
        </w:tc>
        <w:tc>
          <w:tcPr>
            <w:tcW w:w="5387" w:type="dxa"/>
          </w:tcPr>
          <w:p>
            <w:pPr>
              <w:pStyle w:val="yTableNAm"/>
            </w:pPr>
            <w:r>
              <w:t>Infringement notice no.</w:t>
            </w:r>
          </w:p>
        </w:tc>
      </w:tr>
      <w:tr>
        <w:trPr>
          <w:cantSplit/>
        </w:trPr>
        <w:tc>
          <w:tcPr>
            <w:tcW w:w="1559" w:type="dxa"/>
            <w:vMerge/>
          </w:tcPr>
          <w:p>
            <w:pPr>
              <w:pStyle w:val="zyTableNAm"/>
            </w:pPr>
          </w:p>
        </w:tc>
        <w:tc>
          <w:tcPr>
            <w:tcW w:w="5387" w:type="dxa"/>
          </w:tcPr>
          <w:p>
            <w:pPr>
              <w:pStyle w:val="yTableNAm"/>
              <w:tabs>
                <w:tab w:val="left" w:pos="1735"/>
              </w:tabs>
            </w:pPr>
            <w:r>
              <w:t xml:space="preserve">Date of notice  </w:t>
            </w:r>
            <w:r>
              <w:tab/>
              <w:t>/</w:t>
            </w:r>
            <w:r>
              <w:tab/>
              <w:t>/20</w:t>
            </w:r>
          </w:p>
        </w:tc>
      </w:tr>
      <w:tr>
        <w:trPr>
          <w:cantSplit/>
        </w:trPr>
        <w:tc>
          <w:tcPr>
            <w:tcW w:w="1559" w:type="dxa"/>
            <w:vMerge w:val="restart"/>
          </w:tcPr>
          <w:p>
            <w:pPr>
              <w:pStyle w:val="yTableNAm"/>
            </w:pPr>
            <w:r>
              <w:rPr>
                <w:b/>
              </w:rPr>
              <w:t>Alleged offence</w:t>
            </w:r>
          </w:p>
        </w:tc>
        <w:tc>
          <w:tcPr>
            <w:tcW w:w="5387" w:type="dxa"/>
          </w:tcPr>
          <w:p>
            <w:pPr>
              <w:pStyle w:val="yTableNAm"/>
            </w:pPr>
            <w:r>
              <w:t>Description of offence ____________________________</w:t>
            </w:r>
          </w:p>
          <w:p>
            <w:pPr>
              <w:pStyle w:val="yTableNAm"/>
            </w:pPr>
          </w:p>
        </w:tc>
      </w:tr>
      <w:tr>
        <w:trPr>
          <w:cantSplit/>
        </w:trPr>
        <w:tc>
          <w:tcPr>
            <w:tcW w:w="1559" w:type="dxa"/>
            <w:vMerge/>
          </w:tcPr>
          <w:p>
            <w:pPr>
              <w:pStyle w:val="zyTableNAm"/>
              <w:rPr>
                <w:b/>
              </w:rPr>
            </w:pPr>
          </w:p>
        </w:tc>
        <w:tc>
          <w:tcPr>
            <w:tcW w:w="5387" w:type="dxa"/>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 </w:t>
            </w:r>
          </w:p>
          <w:p>
            <w:pPr>
              <w:pStyle w:val="yTableNAm"/>
            </w:pPr>
          </w:p>
        </w:tc>
      </w:tr>
      <w:tr>
        <w:trPr>
          <w:cantSplit/>
        </w:trPr>
        <w:tc>
          <w:tcPr>
            <w:tcW w:w="1559" w:type="dxa"/>
            <w:vMerge/>
          </w:tcPr>
          <w:p>
            <w:pPr>
              <w:pStyle w:val="zyTableNAm"/>
            </w:pPr>
          </w:p>
        </w:tc>
        <w:tc>
          <w:tcPr>
            <w:tcW w:w="5387" w:type="dxa"/>
          </w:tcPr>
          <w:p>
            <w:pPr>
              <w:pStyle w:val="yTableNAm"/>
              <w:tabs>
                <w:tab w:val="clear" w:pos="567"/>
                <w:tab w:val="left" w:pos="743"/>
                <w:tab w:val="left" w:pos="1168"/>
                <w:tab w:val="left" w:pos="2139"/>
              </w:tabs>
            </w:pPr>
            <w:r>
              <w:t xml:space="preserve">Date </w:t>
            </w:r>
            <w:r>
              <w:tab/>
              <w:t>/</w:t>
            </w:r>
            <w:r>
              <w:tab/>
              <w:t>/20</w:t>
            </w:r>
            <w:r>
              <w:tab/>
              <w:t>Time</w:t>
            </w:r>
            <w:r>
              <w:tab/>
            </w:r>
          </w:p>
        </w:tc>
      </w:tr>
      <w:tr>
        <w:trPr>
          <w:cantSplit/>
        </w:trPr>
        <w:tc>
          <w:tcPr>
            <w:tcW w:w="1559" w:type="dxa"/>
            <w:vMerge/>
          </w:tcPr>
          <w:p>
            <w:pPr>
              <w:pStyle w:val="zyTableNAm"/>
            </w:pPr>
          </w:p>
        </w:tc>
        <w:tc>
          <w:tcPr>
            <w:tcW w:w="5387" w:type="dxa"/>
          </w:tcPr>
          <w:p>
            <w:pPr>
              <w:pStyle w:val="yTableNAm"/>
            </w:pPr>
            <w:r>
              <w:t>Place</w:t>
            </w:r>
          </w:p>
        </w:tc>
      </w:tr>
      <w:tr>
        <w:trPr>
          <w:cantSplit/>
        </w:trPr>
        <w:tc>
          <w:tcPr>
            <w:tcW w:w="1559" w:type="dxa"/>
            <w:vMerge w:val="restart"/>
          </w:tcPr>
          <w:p>
            <w:pPr>
              <w:pStyle w:val="yTableNAm"/>
            </w:pPr>
            <w:r>
              <w:rPr>
                <w:b/>
              </w:rPr>
              <w:t>Officer withdrawing notice</w:t>
            </w:r>
          </w:p>
        </w:tc>
        <w:tc>
          <w:tcPr>
            <w:tcW w:w="5387" w:type="dxa"/>
          </w:tcPr>
          <w:p>
            <w:pPr>
              <w:pStyle w:val="yTableNAm"/>
            </w:pPr>
            <w:r>
              <w:t>Name</w:t>
            </w:r>
          </w:p>
        </w:tc>
      </w:tr>
      <w:tr>
        <w:trPr>
          <w:cantSplit/>
        </w:trPr>
        <w:tc>
          <w:tcPr>
            <w:tcW w:w="1559" w:type="dxa"/>
            <w:vMerge/>
          </w:tcPr>
          <w:p>
            <w:pPr>
              <w:pStyle w:val="zyTableNAm"/>
            </w:pPr>
          </w:p>
        </w:tc>
        <w:tc>
          <w:tcPr>
            <w:tcW w:w="5387" w:type="dxa"/>
          </w:tcPr>
          <w:p>
            <w:pPr>
              <w:pStyle w:val="yTableNAm"/>
            </w:pPr>
            <w:r>
              <w:t>Signature</w:t>
            </w:r>
          </w:p>
        </w:tc>
      </w:tr>
      <w:tr>
        <w:trPr>
          <w:cantSplit/>
        </w:trPr>
        <w:tc>
          <w:tcPr>
            <w:tcW w:w="1559" w:type="dxa"/>
            <w:vMerge/>
          </w:tcPr>
          <w:p>
            <w:pPr>
              <w:pStyle w:val="zyTableNAm"/>
            </w:pPr>
          </w:p>
        </w:tc>
        <w:tc>
          <w:tcPr>
            <w:tcW w:w="5387" w:type="dxa"/>
          </w:tcPr>
          <w:p>
            <w:pPr>
              <w:pStyle w:val="yTableNAm"/>
            </w:pPr>
            <w:r>
              <w:t>Office</w:t>
            </w:r>
          </w:p>
        </w:tc>
      </w:tr>
      <w:tr>
        <w:tc>
          <w:tcPr>
            <w:tcW w:w="1559" w:type="dxa"/>
          </w:tcPr>
          <w:p>
            <w:pPr>
              <w:pStyle w:val="yTableNAm"/>
            </w:pPr>
            <w:r>
              <w:rPr>
                <w:b/>
              </w:rPr>
              <w:t>Date of withdrawal</w:t>
            </w:r>
          </w:p>
        </w:tc>
        <w:tc>
          <w:tcPr>
            <w:tcW w:w="5387" w:type="dxa"/>
            <w:tcBorders>
              <w:bottom w:val="single" w:sz="4" w:space="0" w:color="auto"/>
            </w:tcBorders>
          </w:tcPr>
          <w:p>
            <w:pPr>
              <w:pStyle w:val="yTableNAm"/>
              <w:tabs>
                <w:tab w:val="left" w:pos="1077"/>
              </w:tabs>
            </w:pPr>
            <w:r>
              <w:tab/>
              <w:t>/</w:t>
            </w:r>
            <w:r>
              <w:tab/>
              <w:t>/20</w:t>
            </w:r>
          </w:p>
        </w:tc>
      </w:tr>
      <w:tr>
        <w:tc>
          <w:tcPr>
            <w:tcW w:w="1559" w:type="dxa"/>
          </w:tcPr>
          <w:p>
            <w:pPr>
              <w:pStyle w:val="yTableNAm"/>
            </w:pPr>
            <w:r>
              <w:rPr>
                <w:b/>
              </w:rPr>
              <w:t>Withdrawal of infringement notice</w:t>
            </w:r>
          </w:p>
          <w:p>
            <w:pPr>
              <w:pStyle w:val="zyTableNAm"/>
              <w:rPr>
                <w:b/>
              </w:rPr>
            </w:pPr>
          </w:p>
        </w:tc>
        <w:tc>
          <w:tcPr>
            <w:tcW w:w="5387" w:type="dxa"/>
          </w:tcPr>
          <w:p>
            <w:pPr>
              <w:pStyle w:val="yTableNAm"/>
            </w:pPr>
            <w: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 inserted: Gazette 29 Jul 2016 p. 3256</w:t>
      </w:r>
      <w:r>
        <w:noBreakHyphen/>
        <w:t>7.]</w:t>
      </w:r>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pPr>
      <w:bookmarkStart w:id="219" w:name="_Toc121993895"/>
      <w:bookmarkStart w:id="220" w:name="_Toc121994902"/>
      <w:bookmarkStart w:id="221" w:name="_Toc121999654"/>
      <w:bookmarkStart w:id="222" w:name="_Toc122000062"/>
      <w:r>
        <w:lastRenderedPageBreak/>
        <w:t>Notes</w:t>
      </w:r>
      <w:bookmarkEnd w:id="219"/>
      <w:bookmarkEnd w:id="220"/>
      <w:bookmarkEnd w:id="221"/>
      <w:bookmarkEnd w:id="222"/>
    </w:p>
    <w:p>
      <w:pPr>
        <w:pStyle w:val="nStatement"/>
      </w:pPr>
      <w:r>
        <w:t xml:space="preserve">This is a compilation of the </w:t>
      </w:r>
      <w:r>
        <w:rPr>
          <w:i/>
          <w:noProof/>
        </w:rPr>
        <w:t>Security and Related Activities (Control) Regulations 1997</w:t>
      </w:r>
      <w:r>
        <w:t xml:space="preserve"> and includes amendments made by other written laws. For provisions that have come into operation, and for information about any reprints, see the compilation table.</w:t>
      </w:r>
    </w:p>
    <w:p>
      <w:pPr>
        <w:pStyle w:val="nHeading3"/>
      </w:pPr>
      <w:bookmarkStart w:id="223" w:name="_Toc122000063"/>
      <w:r>
        <w:t>Compilation table</w:t>
      </w:r>
      <w:bookmarkEnd w:id="223"/>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keepLines/>
              <w:spacing w:after="40"/>
              <w:rPr>
                <w:i/>
              </w:rPr>
            </w:pPr>
            <w:r>
              <w:rPr>
                <w:i/>
              </w:rPr>
              <w:lastRenderedPageBreak/>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bCs/>
                <w:snapToGrid w:val="0"/>
              </w:rPr>
              <w:t>r. 1 and 2: 5 Aug 2014 (see r. 2(a));</w:t>
            </w:r>
            <w:r>
              <w:rPr>
                <w:bCs/>
                <w:snapToGrid w:val="0"/>
              </w:rPr>
              <w:br/>
              <w:t>Regulations other than r. 1 and 2: 6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bCs/>
                <w:snapToGrid w:val="0"/>
              </w:rPr>
            </w:pPr>
            <w:r>
              <w:rPr>
                <w:bCs/>
                <w:snapToGrid w:val="0"/>
              </w:rPr>
              <w:t xml:space="preserve">r. 1 and 2: </w:t>
            </w:r>
            <w:r>
              <w:t>2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bCs/>
                <w:snapToGrid w:val="0"/>
              </w:rPr>
            </w:pPr>
            <w:r>
              <w:rPr>
                <w:bCs/>
                <w:snapToGrid w:val="0"/>
              </w:rPr>
              <w:t>r. 1 and 2: 16 Jun 2015 (see r. 2(a));</w:t>
            </w:r>
            <w:r>
              <w:rPr>
                <w:bCs/>
                <w:snapToGrid w:val="0"/>
              </w:rPr>
              <w:br/>
              <w:t>Regulations other than r. 1 and 2: 17 Jun 2015 (see r. 2(b) and Gazette 16 Jun 2015 p. 2071)</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Security and Related Activities (Control) Regulations 1997</w:t>
            </w:r>
            <w:r>
              <w:rPr>
                <w:b/>
                <w:bCs/>
                <w:snapToGrid w:val="0"/>
                <w:spacing w:val="-2"/>
              </w:rPr>
              <w:t xml:space="preserve"> as at 4 Dec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Police Regulations Amendment (Fees and Charges) Regulations 2016 </w:t>
            </w:r>
            <w:r>
              <w:t>Pt. 5</w:t>
            </w:r>
          </w:p>
        </w:tc>
        <w:tc>
          <w:tcPr>
            <w:tcW w:w="1276" w:type="dxa"/>
            <w:shd w:val="clear" w:color="auto" w:fill="auto"/>
          </w:tcPr>
          <w:p>
            <w:pPr>
              <w:pStyle w:val="nTable"/>
              <w:spacing w:after="40"/>
            </w:pPr>
            <w:r>
              <w:t>14 Jun 2016 p. 1826</w:t>
            </w:r>
            <w:r>
              <w:noBreakHyphen/>
              <w:t>33</w:t>
            </w:r>
          </w:p>
        </w:tc>
        <w:tc>
          <w:tcPr>
            <w:tcW w:w="2693" w:type="dxa"/>
            <w:shd w:val="clear" w:color="auto" w:fill="auto"/>
          </w:tcPr>
          <w:p>
            <w:pPr>
              <w:pStyle w:val="nTable"/>
              <w:spacing w:after="40"/>
              <w:rPr>
                <w:bCs/>
                <w:snapToGrid w:val="0"/>
              </w:rPr>
            </w:pPr>
            <w:r>
              <w:t>1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2016</w:t>
            </w:r>
          </w:p>
        </w:tc>
        <w:tc>
          <w:tcPr>
            <w:tcW w:w="1276" w:type="dxa"/>
            <w:shd w:val="clear" w:color="auto" w:fill="auto"/>
          </w:tcPr>
          <w:p>
            <w:pPr>
              <w:pStyle w:val="nTable"/>
              <w:spacing w:after="40"/>
            </w:pPr>
            <w:r>
              <w:t>29 Jul 2016 p. 3243-57</w:t>
            </w:r>
          </w:p>
        </w:tc>
        <w:tc>
          <w:tcPr>
            <w:tcW w:w="2693" w:type="dxa"/>
            <w:shd w:val="clear" w:color="auto" w:fill="auto"/>
          </w:tcPr>
          <w:p>
            <w:pPr>
              <w:pStyle w:val="nTable"/>
              <w:spacing w:after="40"/>
            </w:pPr>
            <w:r>
              <w:rPr>
                <w:bCs/>
                <w:snapToGrid w:val="0"/>
                <w:spacing w:val="-2"/>
              </w:rPr>
              <w:t>r. 1 and 2: 29 Jul 2016 (see r. 2(a));</w:t>
            </w:r>
            <w:r>
              <w:rPr>
                <w:bCs/>
                <w:snapToGrid w:val="0"/>
                <w:spacing w:val="-2"/>
              </w:rPr>
              <w:br/>
              <w:t>Regulations other than r. 1 and 2: 30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Police Service Regulations Amendment (Public Health) Regulations 2016 </w:t>
            </w:r>
            <w:r>
              <w:t>Pt. 4</w:t>
            </w:r>
          </w:p>
        </w:tc>
        <w:tc>
          <w:tcPr>
            <w:tcW w:w="1276" w:type="dxa"/>
            <w:shd w:val="clear" w:color="auto" w:fill="auto"/>
          </w:tcPr>
          <w:p>
            <w:pPr>
              <w:pStyle w:val="nTable"/>
              <w:spacing w:after="40"/>
            </w:pPr>
            <w:r>
              <w:t>10 Jan 2017 p. 221-4</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Police Regulations Amendment (Poisons) Regulations 2016</w:t>
            </w:r>
            <w:r>
              <w:t xml:space="preserve"> Pt. 4</w:t>
            </w:r>
          </w:p>
        </w:tc>
        <w:tc>
          <w:tcPr>
            <w:tcW w:w="1276" w:type="dxa"/>
            <w:shd w:val="clear" w:color="auto" w:fill="auto"/>
          </w:tcPr>
          <w:p>
            <w:pPr>
              <w:pStyle w:val="nTable"/>
              <w:spacing w:after="40"/>
            </w:pPr>
            <w:r>
              <w:t>17 Jan 2017 p. 412</w:t>
            </w:r>
            <w:r>
              <w:noBreakHyphen/>
              <w:t>17</w:t>
            </w:r>
          </w:p>
        </w:tc>
        <w:tc>
          <w:tcPr>
            <w:tcW w:w="2693" w:type="dxa"/>
            <w:shd w:val="clear" w:color="auto" w:fill="auto"/>
          </w:tcPr>
          <w:p>
            <w:pPr>
              <w:pStyle w:val="nTable"/>
              <w:spacing w:after="40"/>
            </w:pPr>
            <w:r>
              <w:t xml:space="preserve">30 Jan 2017 (see r. 2(b) and </w:t>
            </w:r>
            <w:r>
              <w:rPr>
                <w:i/>
              </w:rPr>
              <w:t>Gazette</w:t>
            </w:r>
            <w:r>
              <w:t xml:space="preserve"> 17 Jan 2017 p. 403)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Police Regulations Amendment (Fees and Charges) Regulations 2017</w:t>
            </w:r>
            <w:r>
              <w:t xml:space="preserve"> Pt. 5</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Police Regulations Amendment (Fees and Charges) Regulations 2018</w:t>
            </w:r>
            <w:r>
              <w:t xml:space="preserve"> Pt. 5</w:t>
            </w:r>
          </w:p>
        </w:tc>
        <w:tc>
          <w:tcPr>
            <w:tcW w:w="1276" w:type="dxa"/>
            <w:shd w:val="clear" w:color="auto" w:fill="auto"/>
          </w:tcPr>
          <w:p>
            <w:pPr>
              <w:pStyle w:val="nTable"/>
              <w:spacing w:after="40"/>
            </w:pPr>
            <w:r>
              <w:t>26 Jun 2018 p. 2392</w:t>
            </w:r>
            <w:r>
              <w:noBreakHyphen/>
              <w:t>400</w:t>
            </w:r>
          </w:p>
        </w:tc>
        <w:tc>
          <w:tcPr>
            <w:tcW w:w="2693" w:type="dxa"/>
            <w:shd w:val="clear" w:color="auto" w:fill="auto"/>
          </w:tcPr>
          <w:p>
            <w:pPr>
              <w:pStyle w:val="nTable"/>
              <w:spacing w:after="40"/>
            </w:pPr>
            <w:r>
              <w:t>1 Jul 2018 (see r. 2(b))</w:t>
            </w:r>
          </w:p>
        </w:tc>
      </w:tr>
      <w:tr>
        <w:tc>
          <w:tcPr>
            <w:tcW w:w="3119" w:type="dxa"/>
            <w:tcBorders>
              <w:top w:val="nil"/>
              <w:bottom w:val="nil"/>
            </w:tcBorders>
            <w:shd w:val="clear" w:color="auto" w:fill="auto"/>
          </w:tcPr>
          <w:p>
            <w:pPr>
              <w:pStyle w:val="nTable"/>
              <w:spacing w:after="40"/>
              <w:rPr>
                <w:i/>
              </w:rPr>
            </w:pPr>
            <w:r>
              <w:rPr>
                <w:i/>
              </w:rPr>
              <w:t>Police Regulations Amendment (Fees and Charges) Regulations 2019</w:t>
            </w:r>
            <w:r>
              <w:t xml:space="preserve"> Pt. 5</w:t>
            </w:r>
          </w:p>
        </w:tc>
        <w:tc>
          <w:tcPr>
            <w:tcW w:w="1276" w:type="dxa"/>
            <w:tcBorders>
              <w:top w:val="nil"/>
              <w:bottom w:val="nil"/>
            </w:tcBorders>
            <w:shd w:val="clear" w:color="auto" w:fill="auto"/>
          </w:tcPr>
          <w:p>
            <w:pPr>
              <w:pStyle w:val="nTable"/>
              <w:spacing w:after="40"/>
            </w:pPr>
            <w:r>
              <w:t>21 Jun 2019 p. 2141</w:t>
            </w:r>
            <w:r>
              <w:noBreakHyphen/>
              <w:t>50</w:t>
            </w:r>
          </w:p>
        </w:tc>
        <w:tc>
          <w:tcPr>
            <w:tcW w:w="2693" w:type="dxa"/>
            <w:tcBorders>
              <w:top w:val="nil"/>
              <w:bottom w:val="nil"/>
            </w:tcBorders>
            <w:shd w:val="clear" w:color="auto" w:fill="auto"/>
          </w:tcPr>
          <w:p>
            <w:pPr>
              <w:pStyle w:val="nTable"/>
              <w:spacing w:after="40"/>
            </w:pPr>
            <w:r>
              <w:t>1 Jul 2019 (see r. 2(b))</w:t>
            </w:r>
          </w:p>
        </w:tc>
      </w:tr>
      <w:tr>
        <w:trPr>
          <w:cantSplit/>
        </w:trPr>
        <w:tc>
          <w:tcPr>
            <w:tcW w:w="3119" w:type="dxa"/>
            <w:tcBorders>
              <w:top w:val="nil"/>
              <w:bottom w:val="nil"/>
            </w:tcBorders>
            <w:shd w:val="clear" w:color="auto" w:fill="auto"/>
          </w:tcPr>
          <w:p>
            <w:pPr>
              <w:pStyle w:val="nTable"/>
              <w:spacing w:after="40"/>
              <w:rPr>
                <w:i/>
              </w:rPr>
            </w:pPr>
            <w:r>
              <w:rPr>
                <w:i/>
              </w:rPr>
              <w:t>Police Regulations Amendment (Fees and Charges) Regulations 2020</w:t>
            </w:r>
            <w:r>
              <w:t xml:space="preserve"> Pt. 5</w:t>
            </w:r>
          </w:p>
        </w:tc>
        <w:tc>
          <w:tcPr>
            <w:tcW w:w="1276" w:type="dxa"/>
            <w:tcBorders>
              <w:top w:val="nil"/>
              <w:bottom w:val="nil"/>
            </w:tcBorders>
            <w:shd w:val="clear" w:color="auto" w:fill="auto"/>
          </w:tcPr>
          <w:p>
            <w:pPr>
              <w:pStyle w:val="nTable"/>
              <w:spacing w:after="40"/>
            </w:pPr>
            <w:r>
              <w:t xml:space="preserve">SL 2020/82 19 Jun 2020 </w:t>
            </w:r>
          </w:p>
        </w:tc>
        <w:tc>
          <w:tcPr>
            <w:tcW w:w="2693" w:type="dxa"/>
            <w:tcBorders>
              <w:top w:val="nil"/>
              <w:bottom w:val="nil"/>
            </w:tcBorders>
            <w:shd w:val="clear" w:color="auto" w:fill="auto"/>
          </w:tcPr>
          <w:p>
            <w:pPr>
              <w:pStyle w:val="nTable"/>
              <w:spacing w:after="40"/>
            </w:pPr>
            <w:r>
              <w:t>1 Jul 2020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Security and Related Activities (Control) Amendment Regulations 2020</w:t>
            </w:r>
          </w:p>
        </w:tc>
        <w:tc>
          <w:tcPr>
            <w:tcW w:w="1276" w:type="dxa"/>
            <w:tcBorders>
              <w:top w:val="nil"/>
              <w:bottom w:val="nil"/>
            </w:tcBorders>
            <w:shd w:val="clear" w:color="auto" w:fill="auto"/>
          </w:tcPr>
          <w:p>
            <w:pPr>
              <w:pStyle w:val="nTable"/>
              <w:spacing w:after="40"/>
            </w:pPr>
            <w:r>
              <w:t>SL 2020/171 25 Sep 2020</w:t>
            </w:r>
          </w:p>
        </w:tc>
        <w:tc>
          <w:tcPr>
            <w:tcW w:w="2693" w:type="dxa"/>
            <w:tcBorders>
              <w:top w:val="nil"/>
              <w:bottom w:val="nil"/>
            </w:tcBorders>
            <w:shd w:val="clear" w:color="auto" w:fill="auto"/>
          </w:tcPr>
          <w:p>
            <w:pPr>
              <w:pStyle w:val="nTable"/>
              <w:spacing w:after="40"/>
            </w:pPr>
            <w:r>
              <w:t>r. 1 and 2: 25 Sep 2020 (see r. 2(a));</w:t>
            </w:r>
            <w:r>
              <w:br/>
              <w:t>Regulations other than r. 1 and 2: 29 Sep 2020 (see r. 2(b) and SL 2020/159 cl. 2(a))</w:t>
            </w:r>
          </w:p>
        </w:tc>
      </w:tr>
      <w:tr>
        <w:trPr>
          <w:cantSplit/>
        </w:trPr>
        <w:tc>
          <w:tcPr>
            <w:tcW w:w="3119" w:type="dxa"/>
            <w:tcBorders>
              <w:top w:val="nil"/>
              <w:bottom w:val="nil"/>
            </w:tcBorders>
            <w:shd w:val="clear" w:color="auto" w:fill="auto"/>
          </w:tcPr>
          <w:p>
            <w:pPr>
              <w:pStyle w:val="nTable"/>
              <w:spacing w:after="40"/>
              <w:rPr>
                <w:i/>
              </w:rPr>
            </w:pPr>
            <w:r>
              <w:rPr>
                <w:i/>
              </w:rPr>
              <w:t>Police Regulations Amendment (Fees and Charges) Regulations 2021</w:t>
            </w:r>
            <w:r>
              <w:t xml:space="preserve"> Pt. 5</w:t>
            </w:r>
          </w:p>
        </w:tc>
        <w:tc>
          <w:tcPr>
            <w:tcW w:w="1276" w:type="dxa"/>
            <w:tcBorders>
              <w:top w:val="nil"/>
              <w:bottom w:val="nil"/>
            </w:tcBorders>
            <w:shd w:val="clear" w:color="auto" w:fill="auto"/>
          </w:tcPr>
          <w:p>
            <w:pPr>
              <w:pStyle w:val="nTable"/>
              <w:spacing w:after="40"/>
            </w:pPr>
            <w:r>
              <w:t xml:space="preserve">SL 2021/106 29 Jun 2021 </w:t>
            </w:r>
          </w:p>
        </w:tc>
        <w:tc>
          <w:tcPr>
            <w:tcW w:w="2693"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rPr>
                <w:i/>
              </w:rPr>
            </w:pPr>
            <w:r>
              <w:rPr>
                <w:i/>
              </w:rPr>
              <w:t>Police Regulations Amendment (Fees and Charges) Regulations 2022</w:t>
            </w:r>
            <w:r>
              <w:t xml:space="preserve"> Pt. 5</w:t>
            </w:r>
          </w:p>
        </w:tc>
        <w:tc>
          <w:tcPr>
            <w:tcW w:w="1276" w:type="dxa"/>
            <w:tcBorders>
              <w:top w:val="nil"/>
              <w:bottom w:val="nil"/>
            </w:tcBorders>
            <w:shd w:val="clear" w:color="auto" w:fill="auto"/>
          </w:tcPr>
          <w:p>
            <w:pPr>
              <w:pStyle w:val="nTable"/>
              <w:spacing w:after="40"/>
            </w:pPr>
            <w:r>
              <w:t>SL 2022/65 3 Jun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9" w:type="dxa"/>
            <w:tcBorders>
              <w:top w:val="nil"/>
              <w:bottom w:val="single" w:sz="4" w:space="0" w:color="auto"/>
            </w:tcBorders>
            <w:shd w:val="clear" w:color="auto" w:fill="auto"/>
          </w:tcPr>
          <w:p>
            <w:pPr>
              <w:pStyle w:val="nTable"/>
              <w:spacing w:after="40"/>
              <w:rPr>
                <w:i/>
              </w:rPr>
            </w:pPr>
            <w:r>
              <w:rPr>
                <w:i/>
              </w:rPr>
              <w:t>Security and Related Activities (Control) Amendment Regulations 2022</w:t>
            </w:r>
          </w:p>
        </w:tc>
        <w:tc>
          <w:tcPr>
            <w:tcW w:w="1276" w:type="dxa"/>
            <w:tcBorders>
              <w:top w:val="nil"/>
              <w:bottom w:val="single" w:sz="4" w:space="0" w:color="auto"/>
            </w:tcBorders>
            <w:shd w:val="clear" w:color="auto" w:fill="auto"/>
          </w:tcPr>
          <w:p>
            <w:pPr>
              <w:pStyle w:val="nTable"/>
              <w:spacing w:after="40"/>
            </w:pPr>
            <w:r>
              <w:t>SL 2022/211 16 Dec 2022</w:t>
            </w:r>
          </w:p>
        </w:tc>
        <w:tc>
          <w:tcPr>
            <w:tcW w:w="2693" w:type="dxa"/>
            <w:tcBorders>
              <w:top w:val="nil"/>
              <w:bottom w:val="single" w:sz="4" w:space="0" w:color="auto"/>
            </w:tcBorders>
            <w:shd w:val="clear" w:color="auto" w:fill="auto"/>
          </w:tcPr>
          <w:p>
            <w:pPr>
              <w:pStyle w:val="nTable"/>
              <w:spacing w:after="40"/>
            </w:pPr>
            <w:r>
              <w:t>r. 1 and 2: 16 Dec 2022 (see r. 2(a));</w:t>
            </w:r>
            <w:r>
              <w:br/>
              <w:t>Regulations other than r. 1 and 2: 17 Dec 2022 (see r. 2(b))</w:t>
            </w:r>
          </w:p>
        </w:tc>
      </w:tr>
    </w:tbl>
    <w:p>
      <w:pPr>
        <w:pStyle w:val="nHeading3"/>
      </w:pPr>
      <w:bookmarkStart w:id="224" w:name="_Toc122000064"/>
      <w:r>
        <w:t>Other notes</w:t>
      </w:r>
      <w:bookmarkEnd w:id="224"/>
    </w:p>
    <w:p>
      <w:pPr>
        <w:pStyle w:val="nNote"/>
        <w:keepNext/>
        <w:spacing w:before="160"/>
      </w:pPr>
      <w:r>
        <w:rPr>
          <w:szCs w:val="13"/>
          <w:vertAlign w:val="superscript"/>
        </w:rPr>
        <w:t>1</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
      <w:p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226" w:name="_Toc121999657"/>
      <w:bookmarkStart w:id="227" w:name="_Toc122000065"/>
      <w:r>
        <w:rPr>
          <w:sz w:val="28"/>
        </w:rPr>
        <w:lastRenderedPageBreak/>
        <w:t>Defined terms</w:t>
      </w:r>
      <w:bookmarkEnd w:id="226"/>
      <w:bookmarkEnd w:id="2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44</w:t>
      </w:r>
    </w:p>
    <w:p>
      <w:pPr>
        <w:pStyle w:val="DefinedTerms"/>
      </w:pPr>
      <w:r>
        <w:t>ANZS</w:t>
      </w:r>
      <w:r>
        <w:tab/>
        <w:t>3(2)</w:t>
      </w:r>
    </w:p>
    <w:p>
      <w:pPr>
        <w:pStyle w:val="DefinedTerms"/>
      </w:pPr>
      <w:r>
        <w:t>approved testing equipment</w:t>
      </w:r>
      <w:r>
        <w:tab/>
        <w:t>44</w:t>
      </w:r>
    </w:p>
    <w:p>
      <w:pPr>
        <w:pStyle w:val="DefinedTerms"/>
      </w:pPr>
      <w:r>
        <w:t>approved training course</w:t>
      </w:r>
      <w:r>
        <w:tab/>
        <w:t>3(1)</w:t>
      </w:r>
    </w:p>
    <w:p>
      <w:pPr>
        <w:pStyle w:val="DefinedTerms"/>
      </w:pPr>
      <w:r>
        <w:t>AS</w:t>
      </w:r>
      <w:r>
        <w:tab/>
        <w:t>3(2)</w:t>
      </w:r>
    </w:p>
    <w:p>
      <w:pPr>
        <w:pStyle w:val="DefinedTerms"/>
      </w:pPr>
      <w:r>
        <w:t>blood sampling equipment</w:t>
      </w:r>
      <w:r>
        <w:tab/>
        <w:t>44</w:t>
      </w:r>
    </w:p>
    <w:p>
      <w:pPr>
        <w:pStyle w:val="DefinedTerms"/>
      </w:pPr>
      <w:r>
        <w:t>business</w:t>
      </w:r>
      <w:r>
        <w:tab/>
        <w:t>3(1)</w:t>
      </w:r>
    </w:p>
    <w:p>
      <w:pPr>
        <w:pStyle w:val="DefinedTerms"/>
      </w:pPr>
      <w:r>
        <w:t>business activity</w:t>
      </w:r>
      <w:r>
        <w:tab/>
        <w:t>Sch. 1 cl. 1A</w:t>
      </w:r>
    </w:p>
    <w:p>
      <w:pPr>
        <w:pStyle w:val="DefinedTerms"/>
      </w:pPr>
      <w:r>
        <w:t>chief executive officer</w:t>
      </w:r>
      <w:r>
        <w:tab/>
        <w:t>44</w:t>
      </w:r>
    </w:p>
    <w:p>
      <w:pPr>
        <w:pStyle w:val="DefinedTerms"/>
      </w:pPr>
      <w:r>
        <w:t>commencement day</w:t>
      </w:r>
      <w:r>
        <w:tab/>
        <w:t>Sch. 1 cl. 11A(2)</w:t>
      </w:r>
    </w:p>
    <w:p>
      <w:pPr>
        <w:pStyle w:val="DefinedTerms"/>
      </w:pPr>
      <w:r>
        <w:t>crowd control activities</w:t>
      </w:r>
      <w:r>
        <w:tab/>
        <w:t>3(1)</w:t>
      </w:r>
    </w:p>
    <w:p>
      <w:pPr>
        <w:pStyle w:val="DefinedTerms"/>
      </w:pPr>
      <w:r>
        <w:t>current first aid certificate</w:t>
      </w:r>
      <w:r>
        <w:tab/>
        <w:t>3(1)</w:t>
      </w:r>
    </w:p>
    <w:p>
      <w:pPr>
        <w:pStyle w:val="DefinedTerms"/>
      </w:pPr>
      <w:r>
        <w:t>Division 1 offence</w:t>
      </w:r>
      <w:r>
        <w:tab/>
        <w:t>25(1)</w:t>
      </w:r>
    </w:p>
    <w:p>
      <w:pPr>
        <w:pStyle w:val="DefinedTerms"/>
      </w:pPr>
      <w:r>
        <w:t>Division 2 incident</w:t>
      </w:r>
      <w:r>
        <w:tab/>
        <w:t>25(1)</w:t>
      </w:r>
    </w:p>
    <w:p>
      <w:pPr>
        <w:pStyle w:val="DefinedTerms"/>
      </w:pPr>
      <w:r>
        <w:t>GPO</w:t>
      </w:r>
      <w:r>
        <w:tab/>
        <w:t>14</w:t>
      </w:r>
    </w:p>
    <w:p>
      <w:pPr>
        <w:pStyle w:val="DefinedTerms"/>
      </w:pPr>
      <w:r>
        <w:t>guard dog</w:t>
      </w:r>
      <w:r>
        <w:tab/>
        <w:t>3(1), 38A(1)</w:t>
      </w:r>
    </w:p>
    <w:p>
      <w:pPr>
        <w:pStyle w:val="DefinedTerms"/>
      </w:pPr>
      <w:r>
        <w:t>licensed activity</w:t>
      </w:r>
      <w:r>
        <w:tab/>
        <w:t>3(1)</w:t>
      </w:r>
    </w:p>
    <w:p>
      <w:pPr>
        <w:pStyle w:val="DefinedTerms"/>
      </w:pPr>
      <w:r>
        <w:t>licensed premises</w:t>
      </w:r>
      <w:r>
        <w:tab/>
        <w:t>4(1)</w:t>
      </w:r>
    </w:p>
    <w:p>
      <w:pPr>
        <w:pStyle w:val="DefinedTerms"/>
      </w:pPr>
      <w:r>
        <w:t>licensee</w:t>
      </w:r>
      <w:r>
        <w:tab/>
        <w:t>44</w:t>
      </w:r>
    </w:p>
    <w:p>
      <w:pPr>
        <w:pStyle w:val="DefinedTerms"/>
      </w:pPr>
      <w:r>
        <w:t>medical certificate</w:t>
      </w:r>
      <w:r>
        <w:tab/>
        <w:t>3(1)</w:t>
      </w:r>
    </w:p>
    <w:p>
      <w:pPr>
        <w:pStyle w:val="DefinedTerms"/>
      </w:pPr>
      <w:r>
        <w:t>medical practitioner</w:t>
      </w:r>
      <w:r>
        <w:tab/>
        <w:t>3(1)</w:t>
      </w:r>
    </w:p>
    <w:p>
      <w:pPr>
        <w:pStyle w:val="DefinedTerms"/>
      </w:pPr>
      <w:r>
        <w:t>police officer or employee</w:t>
      </w:r>
      <w:r>
        <w:tab/>
        <w:t>44</w:t>
      </w:r>
    </w:p>
    <w:p>
      <w:pPr>
        <w:pStyle w:val="DefinedTerms"/>
      </w:pPr>
      <w:r>
        <w:t>responsible police division</w:t>
      </w:r>
      <w:r>
        <w:tab/>
        <w:t>3(1)</w:t>
      </w:r>
    </w:p>
    <w:p>
      <w:pPr>
        <w:pStyle w:val="DefinedTerms"/>
      </w:pPr>
      <w:r>
        <w:t>sample collector</w:t>
      </w:r>
      <w:r>
        <w:tab/>
        <w:t>44</w:t>
      </w:r>
    </w:p>
    <w:p>
      <w:pPr>
        <w:pStyle w:val="DefinedTerms"/>
      </w:pPr>
      <w:r>
        <w:t>sampling equipment</w:t>
      </w:r>
      <w:r>
        <w:tab/>
        <w:t>44</w:t>
      </w:r>
    </w:p>
    <w:p>
      <w:pPr>
        <w:pStyle w:val="DefinedTerms"/>
      </w:pPr>
      <w:r>
        <w:t>section</w:t>
      </w:r>
      <w:r>
        <w:tab/>
        <w:t>3(1)</w:t>
      </w:r>
    </w:p>
    <w:p>
      <w:pPr>
        <w:pStyle w:val="DefinedTerms"/>
      </w:pPr>
      <w:r>
        <w:t>Superintendent</w:t>
      </w:r>
      <w:r>
        <w:tab/>
        <w:t>3(1)</w:t>
      </w:r>
    </w:p>
    <w:p>
      <w:pPr>
        <w:pStyle w:val="DefinedTerms"/>
      </w:pPr>
      <w:r>
        <w:t>technologist</w:t>
      </w:r>
      <w:r>
        <w:tab/>
        <w:t>44</w:t>
      </w:r>
    </w:p>
    <w:p>
      <w:pPr>
        <w:pStyle w:val="DefinedTerms"/>
      </w:pPr>
      <w:r>
        <w:t>training course in firearms discharge</w:t>
      </w:r>
      <w:r>
        <w:tab/>
        <w:t>3(1)</w:t>
      </w:r>
    </w:p>
    <w:p>
      <w:pPr>
        <w:pStyle w:val="DefinedTerms"/>
      </w:pPr>
      <w:r>
        <w:t>urine sampling equipment</w:t>
      </w:r>
      <w:r>
        <w:tab/>
        <w:t>44</w:t>
      </w:r>
    </w:p>
    <w:p>
      <w:pPr>
        <w:pStyle w:val="DefinedTerms"/>
      </w:pPr>
      <w:r>
        <w:t>written examination</w:t>
      </w:r>
      <w:r>
        <w:tab/>
        <w:t>17(3)</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Dec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07-r0-00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07-r0-00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Dec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97"/>
      <w:gridCol w:w="5766"/>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497"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66"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rPr>
        <w:jc w:val="center"/>
      </w:trPr>
      <w:tc>
        <w:tcPr>
          <w:tcW w:w="1497" w:type="dxa"/>
        </w:tcPr>
        <w:p>
          <w:pPr>
            <w:pStyle w:val="Header"/>
            <w:spacing w:before="40"/>
          </w:pPr>
          <w:r>
            <w:rPr>
              <w:b/>
            </w:rPr>
            <w:fldChar w:fldCharType="begin"/>
          </w:r>
          <w:r>
            <w:rPr>
              <w:b/>
            </w:rPr>
            <w:instrText xml:space="preserve"> STYLEREF CharSDivNo \* charformat</w:instrText>
          </w:r>
          <w:r>
            <w:rPr>
              <w:b/>
            </w:rPr>
            <w:fldChar w:fldCharType="separate"/>
          </w:r>
          <w:r>
            <w:rPr>
              <w:b/>
            </w:rPr>
            <w:t>Division 1</w:t>
          </w:r>
          <w:r>
            <w:rPr>
              <w:b/>
            </w:rPr>
            <w:fldChar w:fldCharType="end"/>
          </w:r>
        </w:p>
      </w:tc>
      <w:tc>
        <w:tcPr>
          <w:tcW w:w="5766" w:type="dxa"/>
        </w:tcPr>
        <w:p>
          <w:pPr>
            <w:pStyle w:val="Header"/>
            <w:spacing w:before="40"/>
          </w:pPr>
          <w:r>
            <w:fldChar w:fldCharType="begin"/>
          </w:r>
          <w:r>
            <w:instrText>styleref CharSDivText</w:instrText>
          </w:r>
          <w:r>
            <w:fldChar w:fldCharType="separate"/>
          </w:r>
          <w:r>
            <w:t>Security agent’s licence</w:t>
          </w:r>
          <w:r>
            <w:fldChar w:fldCharType="end"/>
          </w:r>
        </w:p>
      </w:tc>
    </w:tr>
    <w:tr>
      <w:trPr>
        <w:jc w:val="center"/>
      </w:trP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6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72" w:type="dxa"/>
        </w:tcPr>
        <w:p>
          <w:pPr>
            <w:pStyle w:val="Header"/>
            <w:spacing w:before="40"/>
            <w:jc w:val="right"/>
          </w:pPr>
          <w:r>
            <w:fldChar w:fldCharType="begin"/>
          </w:r>
          <w:r>
            <w:instrText>styleref CharSDivText</w:instrText>
          </w:r>
          <w:r>
            <w:fldChar w:fldCharType="separate"/>
          </w:r>
          <w:r>
            <w:t>Security agent’s licence</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1</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r>
  </w:tbl>
  <w:p>
    <w:pPr>
      <w:pStyle w:val="Header"/>
      <w:pBdr>
        <w:top w:val="single" w:sz="4" w:space="1" w:color="auto"/>
      </w:pBdr>
    </w:pPr>
    <w:bookmarkStart w:id="182" w:name="Schedule"/>
    <w:bookmarkEnd w:id="1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Division 2 offences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72" w:type="dxa"/>
        </w:tcPr>
        <w:p>
          <w:pPr>
            <w:pStyle w:val="Header"/>
            <w:spacing w:before="40"/>
            <w:jc w:val="right"/>
          </w:pPr>
          <w:r>
            <w:fldChar w:fldCharType="begin"/>
          </w:r>
          <w:r>
            <w:instrText>styleref CharSDivText</w:instrText>
          </w:r>
          <w:r>
            <w:fldChar w:fldCharType="separate"/>
          </w:r>
          <w:r>
            <w:t>Division 2 offences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 for infringement notices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w:instrText>
          </w:r>
          <w:r>
            <w:rPr>
              <w:b/>
            </w:rPr>
            <w:fldChar w:fldCharType="separate"/>
          </w:r>
          <w:r>
            <w:rPr>
              <w:b/>
            </w:rPr>
            <w:t>20</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 xml:space="preserve"> styleref CharSchText </w:instrText>
          </w:r>
          <w:r>
            <w:fldChar w:fldCharType="separate"/>
          </w:r>
          <w:r>
            <w:t>Prescribed offences and modified penalties for infringement notices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5</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p>
      </w:tc>
    </w:tr>
    <w:tr>
      <w:trPr>
        <w:jc w:val="center"/>
      </w:trPr>
      <w:tc>
        <w:tcPr>
          <w:tcW w:w="5772" w:type="dxa"/>
        </w:tcPr>
        <w:p>
          <w:pPr>
            <w:pStyle w:val="Header"/>
            <w:spacing w:before="40"/>
            <w:jc w:val="right"/>
          </w:pPr>
        </w:p>
      </w:tc>
      <w:tc>
        <w:tcPr>
          <w:tcW w:w="1482"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w:instrText>
          </w:r>
          <w:r>
            <w:rPr>
              <w:b/>
            </w:rPr>
            <w:fldChar w:fldCharType="separate"/>
          </w:r>
          <w:r>
            <w:rPr>
              <w:b/>
            </w:rPr>
            <w:t>20</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5" w:name="Compilation"/>
    <w:bookmarkEnd w:id="225"/>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8" w:name="DefinedTerms"/>
    <w:bookmarkEnd w:id="228"/>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9" w:name="Coversheet"/>
    <w:bookmarkEnd w:id="22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3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915" w:type="dxa"/>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884" w:type="dxa"/>
        </w:tcPr>
        <w:p>
          <w:pPr>
            <w:pStyle w:val="Header"/>
            <w:spacing w:before="40"/>
            <w:jc w:val="right"/>
          </w:pPr>
          <w:r>
            <w:fldChar w:fldCharType="begin"/>
          </w:r>
          <w:r>
            <w:instrText>styleref CharPartText</w:instrText>
          </w:r>
          <w:r>
            <w:fldChar w:fldCharType="separate"/>
          </w:r>
          <w:r>
            <w:t>Preliminary</w: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rPr>
        <w:jc w:val="center"/>
      </w:trP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15104746"/>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 w:name="WAFER_20170112084002" w:val="RemoveTocBookmarks,RemoveUnusedBookmarks,RemoveLanguageTags,UsedStyles,ResetPageSize"/>
    <w:docVar w:name="WAFER_20170112084002_GUID" w:val="f00d2172-0063-4220-9f52-6ae2ef31b006"/>
    <w:docVar w:name="WAFER_202006181512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51237_GUID" w:val="bd73fba4-4e34-456d-9727-5c7a98015662"/>
    <w:docVar w:name="WAFER_2020062309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5946_GUID" w:val="dc648999-51c4-4219-a2da-ba19166de4a5"/>
    <w:docVar w:name="WAFER_20200922171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71347_GUID" w:val="e709533c-ecd4-45f8-87d8-1f8b0f8e3c0d"/>
    <w:docVar w:name="WAFER_20210628111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240_GUID" w:val="80ae8f59-e4bb-404f-b1b5-d61ee6a8992f"/>
    <w:docVar w:name="WAFER_202206010909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905_GUID" w:val="c77cfb01-5732-446f-b33f-b1d4408536d0"/>
    <w:docVar w:name="WAFER_202206241114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11431_GUID" w:val="c119d31c-a1c8-4cf0-b49e-fc396886a5dc"/>
    <w:docVar w:name="WAFER_202212151047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5104746_GUID" w:val="485eea64-3c11-4ac5-a7d5-abcce315f7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71380">
      <w:bodyDiv w:val="1"/>
      <w:marLeft w:val="0"/>
      <w:marRight w:val="0"/>
      <w:marTop w:val="0"/>
      <w:marBottom w:val="0"/>
      <w:divBdr>
        <w:top w:val="none" w:sz="0" w:space="0" w:color="auto"/>
        <w:left w:val="none" w:sz="0" w:space="0" w:color="auto"/>
        <w:bottom w:val="none" w:sz="0" w:space="0" w:color="auto"/>
        <w:right w:val="none" w:sz="0" w:space="0" w:color="auto"/>
      </w:divBdr>
    </w:div>
    <w:div w:id="952788886">
      <w:bodyDiv w:val="1"/>
      <w:marLeft w:val="0"/>
      <w:marRight w:val="0"/>
      <w:marTop w:val="0"/>
      <w:marBottom w:val="0"/>
      <w:divBdr>
        <w:top w:val="none" w:sz="0" w:space="0" w:color="auto"/>
        <w:left w:val="none" w:sz="0" w:space="0" w:color="auto"/>
        <w:bottom w:val="none" w:sz="0" w:space="0" w:color="auto"/>
        <w:right w:val="none" w:sz="0" w:space="0" w:color="auto"/>
      </w:divBdr>
    </w:div>
    <w:div w:id="12645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387FA-9843-408A-9276-CBAC5F85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18417</Words>
  <Characters>90063</Characters>
  <Application>Microsoft Office Word</Application>
  <DocSecurity>0</DocSecurity>
  <Lines>3002</Lines>
  <Paragraphs>1870</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106610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1997 - 07-r0-00</dc:title>
  <dc:subject/>
  <dc:creator/>
  <cp:keywords/>
  <dc:description/>
  <cp:lastModifiedBy>Master Repository Process</cp:lastModifiedBy>
  <cp:revision>4</cp:revision>
  <cp:lastPrinted>2016-07-28T08:24:00Z</cp:lastPrinted>
  <dcterms:created xsi:type="dcterms:W3CDTF">2022-12-15T06:40:00Z</dcterms:created>
  <dcterms:modified xsi:type="dcterms:W3CDTF">2022-12-15T06:40:00Z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AsAtDate">
    <vt:lpwstr>17 Dec 2022</vt:lpwstr>
  </property>
  <property fmtid="{D5CDD505-2E9C-101B-9397-08002B2CF9AE}" pid="9" name="Suffix">
    <vt:lpwstr>07-r0-00</vt:lpwstr>
  </property>
  <property fmtid="{D5CDD505-2E9C-101B-9397-08002B2CF9AE}" pid="10" name="CommencementDate">
    <vt:lpwstr>20221217</vt:lpwstr>
  </property>
</Properties>
</file>