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_Toc122683612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_Toc122683613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_Toc122683614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_Toc122683615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_Toc122683616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 fees</w:t>
      </w:r>
      <w:r>
        <w:tab/>
      </w:r>
      <w:r>
        <w:fldChar w:fldCharType="begin"/>
      </w:r>
      <w:r>
        <w:instrText xml:space="preserve"> PAGEREF _Toc122683617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_Toc122683618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_Toc122683619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_Toc122683620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_Toc122683621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_Toc122683622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_Toc122683623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_Toc122683624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_Toc122683625 \h </w:instrText>
      </w:r>
      <w:r>
        <w:fldChar w:fldCharType="separate"/>
      </w:r>
      <w:r>
        <w:t>12</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_Toc122683626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_Toc122683627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_Toc122683628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_Toc122683629 \h </w:instrText>
      </w:r>
      <w:r>
        <w:fldChar w:fldCharType="separate"/>
      </w:r>
      <w:r>
        <w:t>16</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_Toc122683630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_Toc122683631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_Toc122683632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_Toc122683633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_Toc122683638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3" w:name="_Toc122683612"/>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22683613"/>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keepNex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5" w:name="_Toc122683614"/>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lastRenderedPageBreak/>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6" w:name="_Toc122683615"/>
      <w:r>
        <w:rPr>
          <w:rStyle w:val="CharSectno"/>
        </w:rPr>
        <w:lastRenderedPageBreak/>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lastRenderedPageBreak/>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7" w:name="_Toc122683616"/>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 xml:space="preserve">The Chief Casino Officer may submit particulars of any application for a casino key employee licence or casino </w:t>
      </w:r>
      <w:r>
        <w:lastRenderedPageBreak/>
        <w:t>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8" w:name="_Toc122683617"/>
      <w:r>
        <w:rPr>
          <w:rStyle w:val="CharSectno"/>
        </w:rPr>
        <w:t>6</w:t>
      </w:r>
      <w:r>
        <w:rPr>
          <w:snapToGrid w:val="0"/>
        </w:rPr>
        <w:t>.</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$482; and</w:t>
      </w:r>
    </w:p>
    <w:p>
      <w:pPr>
        <w:pStyle w:val="Indenta"/>
        <w:rPr>
          <w:snapToGrid w:val="0"/>
        </w:rPr>
      </w:pPr>
      <w:r>
        <w:rPr>
          <w:snapToGrid w:val="0"/>
        </w:rPr>
        <w:lastRenderedPageBreak/>
        <w:tab/>
        <w:t>(b)</w:t>
      </w:r>
      <w:r>
        <w:rPr>
          <w:snapToGrid w:val="0"/>
        </w:rPr>
        <w:tab/>
        <w:t xml:space="preserve">for a casino employee licence, is </w:t>
      </w:r>
      <w:r>
        <w:t>$315.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$138.50; and</w:t>
      </w:r>
    </w:p>
    <w:p>
      <w:pPr>
        <w:pStyle w:val="Indenta"/>
        <w:rPr>
          <w:snapToGrid w:val="0"/>
        </w:rPr>
      </w:pPr>
      <w:r>
        <w:rPr>
          <w:snapToGrid w:val="0"/>
        </w:rPr>
        <w:tab/>
        <w:t>(b)</w:t>
      </w:r>
      <w:r>
        <w:rPr>
          <w:snapToGrid w:val="0"/>
        </w:rPr>
        <w:tab/>
        <w:t xml:space="preserve">for the renewal of a casino employee licence, is </w:t>
      </w:r>
      <w:r>
        <w:t>$138.50.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$55.</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SL 2022/144 r. 6.] </w:t>
      </w:r>
    </w:p>
    <w:p>
      <w:pPr>
        <w:pStyle w:val="Heading5"/>
        <w:rPr>
          <w:snapToGrid w:val="0"/>
        </w:rPr>
      </w:pPr>
      <w:bookmarkStart w:id="9" w:name="_Toc122683618"/>
      <w:r>
        <w:rPr>
          <w:rStyle w:val="CharSectno"/>
        </w:rPr>
        <w:lastRenderedPageBreak/>
        <w:t>7</w:t>
      </w:r>
      <w:r>
        <w:rPr>
          <w:snapToGrid w:val="0"/>
        </w:rPr>
        <w:t xml:space="preserve">. </w:t>
      </w:r>
      <w:r>
        <w:rPr>
          <w:snapToGrid w:val="0"/>
        </w:rPr>
        <w:tab/>
        <w:t>Consideration of application</w:t>
      </w:r>
      <w:bookmarkEnd w:id="9"/>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lastRenderedPageBreak/>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0" w:name="_Toc122683619"/>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1" w:name="_Toc122683620"/>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lastRenderedPageBreak/>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12" w:name="_Toc122683621"/>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13" w:name="_Toc122683622"/>
      <w:r>
        <w:rPr>
          <w:rStyle w:val="CharSectno"/>
        </w:rPr>
        <w:lastRenderedPageBreak/>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14" w:name="_Toc122683623"/>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122683624"/>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 xml:space="preserve">The Operator shall submit to the Chief Casino Officer, on demand being made in writing by the Chief Casino Officer, </w:t>
      </w:r>
      <w:r>
        <w:lastRenderedPageBreak/>
        <w:t>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122683625"/>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lastRenderedPageBreak/>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17" w:name="_Toc122683626"/>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lastRenderedPageBreak/>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18" w:name="_Toc122683627"/>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 xml:space="preserve">It is a condition of every licence issued under these regulations that the Chief Casino Officer or the Commission may require </w:t>
      </w:r>
      <w:r>
        <w:lastRenderedPageBreak/>
        <w:t>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lastRenderedPageBreak/>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19" w:name="_Toc122683628"/>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20" w:name="_Toc122683629"/>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21" w:name="_Toc122683630"/>
      <w:r>
        <w:rPr>
          <w:rStyle w:val="CharSectno"/>
        </w:rPr>
        <w:t>16B</w:t>
      </w:r>
      <w:r>
        <w:t>.</w:t>
      </w:r>
      <w:r>
        <w:tab/>
        <w:t>Combination of punitive measures</w:t>
      </w:r>
      <w:bookmarkEnd w:id="21"/>
    </w:p>
    <w:p>
      <w:pPr>
        <w:pStyle w:val="Subsection"/>
      </w:pPr>
      <w:r>
        <w:tab/>
      </w:r>
      <w:r>
        <w:tab/>
        <w:t xml:space="preserve">Where the Commission considers it appropriate, and in response to a matter described in regulation 15(1), the Commission may combine 2 or all of the punitive measures set out in regulations 15, 16 and 16A, and impose that combination of </w:t>
      </w:r>
      <w:r>
        <w:lastRenderedPageBreak/>
        <w:t>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22" w:name="_Toc122683631"/>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23" w:name="_Toc122683632"/>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122683633"/>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w:t>
      </w:r>
      <w:r>
        <w:lastRenderedPageBreak/>
        <w:t xml:space="preserve">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lastRenderedPageBreak/>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5" w:name="_Toc122079482"/>
      <w:bookmarkStart w:id="26" w:name="_Toc122079715"/>
      <w:bookmarkStart w:id="27" w:name="_Toc122683634"/>
      <w:r>
        <w:rPr>
          <w:rStyle w:val="CharSchNo"/>
        </w:rPr>
        <w:lastRenderedPageBreak/>
        <w:t>Schedule</w:t>
      </w:r>
      <w:bookmarkEnd w:id="25"/>
      <w:bookmarkEnd w:id="26"/>
      <w:bookmarkEnd w:id="27"/>
    </w:p>
    <w:p>
      <w:pPr>
        <w:pStyle w:val="yEdnotedivision"/>
      </w:pPr>
      <w:r>
        <w:t>[Form 1 deleted: Gazette 14 Oct 2005 p. 4558.]</w:t>
      </w:r>
    </w:p>
    <w:p>
      <w:pPr>
        <w:pStyle w:val="yHeading3"/>
      </w:pPr>
      <w:bookmarkStart w:id="28" w:name="_Toc122079483"/>
      <w:bookmarkStart w:id="29" w:name="_Toc122079716"/>
      <w:bookmarkStart w:id="30" w:name="_Toc122683635"/>
      <w:r>
        <w:rPr>
          <w:rStyle w:val="CharSClsNo"/>
        </w:rPr>
        <w:t>Form 2</w:t>
      </w:r>
      <w:bookmarkEnd w:id="28"/>
      <w:bookmarkEnd w:id="29"/>
      <w:bookmarkEnd w:id="30"/>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31" w:name="_Toc122079484"/>
      <w:bookmarkStart w:id="32" w:name="_Toc122079717"/>
      <w:bookmarkStart w:id="33" w:name="_Toc122683636"/>
      <w:r>
        <w:rPr>
          <w:rStyle w:val="CharSClsNo"/>
        </w:rPr>
        <w:lastRenderedPageBreak/>
        <w:t>Form 3</w:t>
      </w:r>
      <w:bookmarkEnd w:id="31"/>
      <w:bookmarkEnd w:id="32"/>
      <w:bookmarkEnd w:id="33"/>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lastRenderedPageBreak/>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lastRenderedPageBreak/>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lastRenderedPageBreak/>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5" w:name="_Toc122079485"/>
      <w:bookmarkStart w:id="36" w:name="_Toc122079718"/>
      <w:bookmarkStart w:id="37" w:name="_Toc122683637"/>
      <w:r>
        <w:lastRenderedPageBreak/>
        <w:t>Notes</w:t>
      </w:r>
      <w:bookmarkEnd w:id="35"/>
      <w:bookmarkEnd w:id="36"/>
      <w:bookmarkEnd w:id="37"/>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w:t>
      </w:r>
    </w:p>
    <w:p>
      <w:pPr>
        <w:pStyle w:val="nHeading3"/>
      </w:pPr>
      <w:bookmarkStart w:id="38" w:name="_Toc122683638"/>
      <w:r>
        <w:t>Compilation table</w:t>
      </w:r>
      <w:bookmarkEnd w:id="38"/>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lastRenderedPageBreak/>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lastRenderedPageBreak/>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top w:val="nil"/>
              <w:bottom w:val="nil"/>
            </w:tcBorders>
          </w:tcPr>
          <w:p>
            <w:pPr>
              <w:pStyle w:val="nTable"/>
              <w:spacing w:after="40"/>
            </w:pPr>
            <w:r>
              <w:t>22 Oct 2019 p. 3720</w:t>
            </w:r>
            <w:r>
              <w:noBreakHyphen/>
              <w:t>9</w:t>
            </w:r>
          </w:p>
        </w:tc>
        <w:tc>
          <w:tcPr>
            <w:tcW w:w="2694" w:type="dxa"/>
            <w:gridSpan w:val="2"/>
            <w:tcBorders>
              <w:top w:val="nil"/>
              <w:bottom w:val="nil"/>
            </w:tcBorders>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3</w:t>
            </w:r>
          </w:p>
        </w:tc>
        <w:tc>
          <w:tcPr>
            <w:tcW w:w="1276" w:type="dxa"/>
            <w:gridSpan w:val="2"/>
            <w:tcBorders>
              <w:bottom w:val="single" w:sz="4" w:space="0" w:color="auto"/>
            </w:tcBorders>
          </w:tcPr>
          <w:p>
            <w:pPr>
              <w:pStyle w:val="nTable"/>
              <w:spacing w:after="40"/>
            </w:pPr>
            <w:r>
              <w:t>SL 2022/144 12 Aug 2022</w:t>
            </w:r>
          </w:p>
        </w:tc>
        <w:tc>
          <w:tcPr>
            <w:tcW w:w="2694" w:type="dxa"/>
            <w:gridSpan w:val="2"/>
            <w:tcBorders>
              <w:bottom w:val="single" w:sz="4" w:space="0" w:color="auto"/>
            </w:tcBorders>
          </w:tcPr>
          <w:p>
            <w:pPr>
              <w:pStyle w:val="nTable"/>
              <w:spacing w:after="40"/>
            </w:pPr>
            <w:r>
              <w:t>1 Jan 2023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0" w:name="_Toc122079488"/>
      <w:bookmarkStart w:id="41" w:name="_Toc122079720"/>
      <w:bookmarkStart w:id="42" w:name="_Toc122683639"/>
      <w:r>
        <w:rPr>
          <w:sz w:val="28"/>
        </w:rPr>
        <w:lastRenderedPageBreak/>
        <w:t>Defined terms</w:t>
      </w:r>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49" w:type="dxa"/>
      <w:jc w:val="center"/>
      <w:tblLayout w:type="fixed"/>
      <w:tblCellMar>
        <w:left w:w="72" w:type="dxa"/>
        <w:right w:w="72" w:type="dxa"/>
      </w:tblCellMar>
      <w:tblLook w:val="0000" w:firstRow="0" w:lastRow="0" w:firstColumn="0" w:lastColumn="0" w:noHBand="0" w:noVBand="0"/>
    </w:tblPr>
    <w:tblGrid>
      <w:gridCol w:w="5670"/>
      <w:gridCol w:w="1379"/>
    </w:tblGrid>
    <w:tr>
      <w:trPr>
        <w:cantSplit/>
        <w:jc w:val="center"/>
      </w:trPr>
      <w:tc>
        <w:tcPr>
          <w:tcW w:w="704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jc w:val="center"/>
      </w:trPr>
      <w:tc>
        <w:tcPr>
          <w:tcW w:w="5670" w:type="dxa"/>
        </w:tcPr>
        <w:p>
          <w:pPr>
            <w:pStyle w:val="Header"/>
            <w:spacing w:before="40"/>
            <w:jc w:val="right"/>
          </w:pPr>
        </w:p>
      </w:tc>
      <w:tc>
        <w:tcPr>
          <w:tcW w:w="1379" w:type="dxa"/>
        </w:tcPr>
        <w:p>
          <w:pPr>
            <w:pStyle w:val="Header"/>
            <w:spacing w:before="40"/>
            <w:ind w:right="17"/>
            <w:jc w:val="right"/>
          </w:pPr>
        </w:p>
      </w:tc>
    </w:tr>
    <w:tr>
      <w:trPr>
        <w:cantSplit/>
        <w:jc w:val="center"/>
      </w:trPr>
      <w:tc>
        <w:tcPr>
          <w:tcW w:w="7049"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03615"/>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 w:name="WAFER_202212161036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3615_GUID" w:val="76d6843e-978f-4e30-a16a-93ddb04cf4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7298</Words>
  <Characters>38830</Characters>
  <Application>Microsoft Office Word</Application>
  <DocSecurity>0</DocSecurity>
  <Lines>1109</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1985 - 04-p0-00</dc:title>
  <dc:subject/>
  <dc:creator/>
  <cp:keywords/>
  <dc:description/>
  <cp:lastModifiedBy>Master Repository Process</cp:lastModifiedBy>
  <cp:revision>4</cp:revision>
  <cp:lastPrinted>2014-06-09T07:53:00Z</cp:lastPrinted>
  <dcterms:created xsi:type="dcterms:W3CDTF">2022-12-30T00:48:00Z</dcterms:created>
  <dcterms:modified xsi:type="dcterms:W3CDTF">2022-12-30T00:48:00Z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01 Jan 2023</vt:lpwstr>
  </property>
  <property fmtid="{D5CDD505-2E9C-101B-9397-08002B2CF9AE}" pid="8" name="Suffix">
    <vt:lpwstr>04-p0-00</vt:lpwstr>
  </property>
  <property fmtid="{D5CDD505-2E9C-101B-9397-08002B2CF9AE}" pid="9" name="CommencementDate">
    <vt:lpwstr>20230101</vt:lpwstr>
  </property>
</Properties>
</file>