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(Customer Contracts)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_Toc123208678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_Toc123208679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_Toc123208680 \h </w:instrText>
      </w:r>
      <w:r>
        <w:fldChar w:fldCharType="separate"/>
      </w:r>
      <w:r>
        <w:t>1</w:t>
      </w:r>
      <w:r>
        <w:fldChar w:fldCharType="end"/>
      </w:r>
    </w:p>
    <w:p>
      <w:pPr>
        <w:pStyle w:val="TOC8"/>
        <w:rPr>
          <w:rFonts w:asciiTheme="minorHAnsi" w:eastAsiaTheme="minorEastAsia" w:hAnsiTheme="minorHAnsi" w:cstheme="minorBidi"/>
          <w:szCs w:val="22"/>
        </w:rPr>
      </w:pPr>
      <w:r>
        <w:t>4.</w:t>
      </w:r>
      <w:r>
        <w:tab/>
        <w:t>Status of notes</w:t>
      </w:r>
      <w:r>
        <w:tab/>
      </w:r>
      <w:r>
        <w:fldChar w:fldCharType="begin"/>
      </w:r>
      <w:r>
        <w:instrText xml:space="preserve"> PAGEREF _Toc123208681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all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_Toc123208683 \h </w:instrText>
      </w:r>
      <w:r>
        <w:fldChar w:fldCharType="separate"/>
      </w:r>
      <w:r>
        <w:t>4</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_Toc123208684 \h </w:instrText>
      </w:r>
      <w:r>
        <w:fldChar w:fldCharType="separate"/>
      </w:r>
      <w:r>
        <w:t>4</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_Toc123208685 \h </w:instrText>
      </w:r>
      <w:r>
        <w:fldChar w:fldCharType="separate"/>
      </w:r>
      <w:r>
        <w:t>4</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_Toc123208686 \h </w:instrText>
      </w:r>
      <w:r>
        <w:fldChar w:fldCharType="separate"/>
      </w:r>
      <w:r>
        <w:t>4</w:t>
      </w:r>
      <w:r>
        <w:fldChar w:fldCharType="end"/>
      </w:r>
    </w:p>
    <w:p>
      <w:pPr>
        <w:pStyle w:val="TOC8"/>
        <w:rPr>
          <w:rFonts w:asciiTheme="minorHAnsi" w:eastAsiaTheme="minorEastAsia" w:hAnsiTheme="minorHAnsi" w:cstheme="minorBidi"/>
          <w:szCs w:val="22"/>
        </w:rPr>
      </w:pPr>
      <w:r>
        <w:t>9.</w:t>
      </w:r>
      <w:r>
        <w:tab/>
        <w:t>Roles of retailer and gas distribution operator</w:t>
      </w:r>
      <w:r>
        <w:tab/>
      </w:r>
      <w:r>
        <w:fldChar w:fldCharType="begin"/>
      </w:r>
      <w:r>
        <w:instrText xml:space="preserve"> PAGEREF _Toc123208687 \h </w:instrText>
      </w:r>
      <w:r>
        <w:fldChar w:fldCharType="separate"/>
      </w:r>
      <w:r>
        <w:t>5</w:t>
      </w:r>
      <w:r>
        <w:fldChar w:fldCharType="end"/>
      </w:r>
    </w:p>
    <w:p>
      <w:pPr>
        <w:pStyle w:val="TOC8"/>
        <w:rPr>
          <w:rFonts w:asciiTheme="minorHAnsi" w:eastAsiaTheme="minorEastAsia" w:hAnsiTheme="minorHAnsi" w:cstheme="minorBidi"/>
          <w:szCs w:val="22"/>
        </w:rPr>
      </w:pPr>
      <w:r>
        <w:t>10.</w:t>
      </w:r>
      <w:r>
        <w:tab/>
        <w:t>Relevant codes</w:t>
      </w:r>
      <w:r>
        <w:tab/>
      </w:r>
      <w:r>
        <w:fldChar w:fldCharType="begin"/>
      </w:r>
      <w:r>
        <w:instrText xml:space="preserve"> PAGEREF _Toc123208688 \h </w:instrText>
      </w:r>
      <w:r>
        <w:fldChar w:fldCharType="separate"/>
      </w:r>
      <w:r>
        <w:t>5</w:t>
      </w:r>
      <w:r>
        <w:fldChar w:fldCharType="end"/>
      </w:r>
    </w:p>
    <w:p>
      <w:pPr>
        <w:pStyle w:val="TOC8"/>
        <w:rPr>
          <w:rFonts w:asciiTheme="minorHAnsi" w:eastAsiaTheme="minorEastAsia" w:hAnsiTheme="minorHAnsi" w:cstheme="minorBidi"/>
          <w:szCs w:val="22"/>
        </w:rPr>
      </w:pPr>
      <w:r>
        <w:t>11.</w:t>
      </w:r>
      <w:r>
        <w:tab/>
        <w:t>Certain obligations of customer in relation to supply</w:t>
      </w:r>
      <w:r>
        <w:tab/>
      </w:r>
      <w:r>
        <w:fldChar w:fldCharType="begin"/>
      </w:r>
      <w:r>
        <w:instrText xml:space="preserve"> PAGEREF _Toc123208689 \h </w:instrText>
      </w:r>
      <w:r>
        <w:fldChar w:fldCharType="separate"/>
      </w:r>
      <w:r>
        <w:t>5</w:t>
      </w:r>
      <w:r>
        <w:fldChar w:fldCharType="end"/>
      </w:r>
    </w:p>
    <w:p>
      <w:pPr>
        <w:pStyle w:val="TOC8"/>
        <w:rPr>
          <w:rFonts w:asciiTheme="minorHAnsi" w:eastAsiaTheme="minorEastAsia" w:hAnsiTheme="minorHAnsi" w:cstheme="minorBidi"/>
          <w:szCs w:val="22"/>
        </w:rPr>
      </w:pPr>
      <w:r>
        <w:t>12.</w:t>
      </w:r>
      <w:r>
        <w:tab/>
        <w:t>Disconnection and reconnection</w:t>
      </w:r>
      <w:r>
        <w:tab/>
      </w:r>
      <w:r>
        <w:fldChar w:fldCharType="begin"/>
      </w:r>
      <w:r>
        <w:instrText xml:space="preserve"> PAGEREF _Toc123208690 \h </w:instrText>
      </w:r>
      <w:r>
        <w:fldChar w:fldCharType="separate"/>
      </w:r>
      <w:r>
        <w:t>5</w:t>
      </w:r>
      <w:r>
        <w:fldChar w:fldCharType="end"/>
      </w:r>
    </w:p>
    <w:p>
      <w:pPr>
        <w:pStyle w:val="TOC8"/>
        <w:rPr>
          <w:rFonts w:asciiTheme="minorHAnsi" w:eastAsiaTheme="minorEastAsia" w:hAnsiTheme="minorHAnsi" w:cstheme="minorBidi"/>
          <w:szCs w:val="22"/>
        </w:rPr>
      </w:pPr>
      <w:r>
        <w:t>13.</w:t>
      </w:r>
      <w:r>
        <w:tab/>
        <w:t>Benefit changes</w:t>
      </w:r>
      <w:r>
        <w:tab/>
      </w:r>
      <w:r>
        <w:fldChar w:fldCharType="begin"/>
      </w:r>
      <w:r>
        <w:instrText xml:space="preserve"> PAGEREF _Toc123208691 \h </w:instrText>
      </w:r>
      <w:r>
        <w:fldChar w:fldCharType="separate"/>
      </w:r>
      <w:r>
        <w:t>7</w:t>
      </w:r>
      <w:r>
        <w:fldChar w:fldCharType="end"/>
      </w:r>
    </w:p>
    <w:p>
      <w:pPr>
        <w:pStyle w:val="TOC8"/>
        <w:rPr>
          <w:rFonts w:asciiTheme="minorHAnsi" w:eastAsiaTheme="minorEastAsia" w:hAnsiTheme="minorHAnsi" w:cstheme="minorBidi"/>
          <w:szCs w:val="22"/>
        </w:rPr>
      </w:pPr>
      <w:r>
        <w:t>14.</w:t>
      </w:r>
      <w:r>
        <w:tab/>
        <w:t>Fees and charges</w:t>
      </w:r>
      <w:r>
        <w:tab/>
      </w:r>
      <w:r>
        <w:fldChar w:fldCharType="begin"/>
      </w:r>
      <w:r>
        <w:instrText xml:space="preserve"> PAGEREF _Toc123208692 \h </w:instrText>
      </w:r>
      <w:r>
        <w:fldChar w:fldCharType="separate"/>
      </w:r>
      <w:r>
        <w:t>8</w:t>
      </w:r>
      <w:r>
        <w:fldChar w:fldCharType="end"/>
      </w:r>
    </w:p>
    <w:p>
      <w:pPr>
        <w:pStyle w:val="TOC8"/>
        <w:rPr>
          <w:rFonts w:asciiTheme="minorHAnsi" w:eastAsiaTheme="minorEastAsia" w:hAnsiTheme="minorHAnsi" w:cstheme="minorBidi"/>
          <w:szCs w:val="22"/>
        </w:rPr>
      </w:pPr>
      <w:r>
        <w:t>15.</w:t>
      </w:r>
      <w:r>
        <w:tab/>
        <w:t>Billing</w:t>
      </w:r>
      <w:r>
        <w:tab/>
      </w:r>
      <w:r>
        <w:fldChar w:fldCharType="begin"/>
      </w:r>
      <w:r>
        <w:instrText xml:space="preserve"> PAGEREF _Toc123208693 \h </w:instrText>
      </w:r>
      <w:r>
        <w:fldChar w:fldCharType="separate"/>
      </w:r>
      <w:r>
        <w:t>9</w:t>
      </w:r>
      <w:r>
        <w:fldChar w:fldCharType="end"/>
      </w:r>
    </w:p>
    <w:p>
      <w:pPr>
        <w:pStyle w:val="TOC8"/>
        <w:rPr>
          <w:rFonts w:asciiTheme="minorHAnsi" w:eastAsiaTheme="minorEastAsia" w:hAnsiTheme="minorHAnsi" w:cstheme="minorBidi"/>
          <w:szCs w:val="22"/>
        </w:rPr>
      </w:pPr>
      <w:r>
        <w:t>16.</w:t>
      </w:r>
      <w:r>
        <w:tab/>
        <w:t>Termination</w:t>
      </w:r>
      <w:r>
        <w:tab/>
      </w:r>
      <w:r>
        <w:fldChar w:fldCharType="begin"/>
      </w:r>
      <w:r>
        <w:instrText xml:space="preserve"> PAGEREF _Toc123208694 \h </w:instrText>
      </w:r>
      <w:r>
        <w:fldChar w:fldCharType="separate"/>
      </w:r>
      <w:r>
        <w:t>9</w:t>
      </w:r>
      <w:r>
        <w:fldChar w:fldCharType="end"/>
      </w:r>
    </w:p>
    <w:p>
      <w:pPr>
        <w:pStyle w:val="TOC8"/>
        <w:rPr>
          <w:rFonts w:asciiTheme="minorHAnsi" w:eastAsiaTheme="minorEastAsia" w:hAnsiTheme="minorHAnsi" w:cstheme="minorBidi"/>
          <w:szCs w:val="22"/>
        </w:rPr>
      </w:pPr>
      <w:r>
        <w:t>17.</w:t>
      </w:r>
      <w:r>
        <w:tab/>
        <w:t>Amendment of contract</w:t>
      </w:r>
      <w:r>
        <w:tab/>
      </w:r>
      <w:r>
        <w:fldChar w:fldCharType="begin"/>
      </w:r>
      <w:r>
        <w:instrText xml:space="preserve"> PAGEREF _Toc123208695 \h </w:instrText>
      </w:r>
      <w:r>
        <w:fldChar w:fldCharType="separate"/>
      </w:r>
      <w:r>
        <w:t>11</w:t>
      </w:r>
      <w:r>
        <w:fldChar w:fldCharType="end"/>
      </w:r>
    </w:p>
    <w:p>
      <w:pPr>
        <w:pStyle w:val="TOC8"/>
        <w:rPr>
          <w:rFonts w:asciiTheme="minorHAnsi" w:eastAsiaTheme="minorEastAsia" w:hAnsiTheme="minorHAnsi" w:cstheme="minorBidi"/>
          <w:szCs w:val="22"/>
        </w:rPr>
      </w:pPr>
      <w:r>
        <w:t>18.</w:t>
      </w:r>
      <w:r>
        <w:tab/>
        <w:t>Assignment</w:t>
      </w:r>
      <w:r>
        <w:tab/>
      </w:r>
      <w:r>
        <w:fldChar w:fldCharType="begin"/>
      </w:r>
      <w:r>
        <w:instrText xml:space="preserve"> PAGEREF _Toc123208696 \h </w:instrText>
      </w:r>
      <w:r>
        <w:fldChar w:fldCharType="separate"/>
      </w:r>
      <w:r>
        <w:t>12</w:t>
      </w:r>
      <w:r>
        <w:fldChar w:fldCharType="end"/>
      </w:r>
    </w:p>
    <w:p>
      <w:pPr>
        <w:pStyle w:val="TOC8"/>
        <w:rPr>
          <w:rFonts w:asciiTheme="minorHAnsi" w:eastAsiaTheme="minorEastAsia" w:hAnsiTheme="minorHAnsi" w:cstheme="minorBidi"/>
          <w:szCs w:val="22"/>
        </w:rPr>
      </w:pPr>
      <w:r>
        <w:t>19.</w:t>
      </w:r>
      <w:r>
        <w:tab/>
        <w:t>Information</w:t>
      </w:r>
      <w:r>
        <w:tab/>
      </w:r>
      <w:r>
        <w:fldChar w:fldCharType="begin"/>
      </w:r>
      <w:r>
        <w:instrText xml:space="preserve"> PAGEREF _Toc123208697 \h </w:instrText>
      </w:r>
      <w:r>
        <w:fldChar w:fldCharType="separate"/>
      </w:r>
      <w:r>
        <w:t>12</w:t>
      </w:r>
      <w:r>
        <w:fldChar w:fldCharType="end"/>
      </w:r>
    </w:p>
    <w:p>
      <w:pPr>
        <w:pStyle w:val="TOC8"/>
        <w:rPr>
          <w:rFonts w:asciiTheme="minorHAnsi" w:eastAsiaTheme="minorEastAsia" w:hAnsiTheme="minorHAnsi" w:cstheme="minorBidi"/>
          <w:szCs w:val="22"/>
        </w:rPr>
      </w:pPr>
      <w:r>
        <w:t>20.</w:t>
      </w:r>
      <w:r>
        <w:tab/>
        <w:t>Payment difficulties and debt recovery</w:t>
      </w:r>
      <w:r>
        <w:tab/>
      </w:r>
      <w:r>
        <w:fldChar w:fldCharType="begin"/>
      </w:r>
      <w:r>
        <w:instrText xml:space="preserve"> PAGEREF _Toc123208698 \h </w:instrText>
      </w:r>
      <w:r>
        <w:fldChar w:fldCharType="separate"/>
      </w:r>
      <w:r>
        <w:t>13</w:t>
      </w:r>
      <w:r>
        <w:fldChar w:fldCharType="end"/>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_Toc123208699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22.</w:t>
      </w:r>
      <w:r>
        <w:tab/>
        <w:t>Confidentiality</w:t>
      </w:r>
      <w:r>
        <w:tab/>
      </w:r>
      <w:r>
        <w:fldChar w:fldCharType="begin"/>
      </w:r>
      <w:r>
        <w:instrText xml:space="preserve"> PAGEREF _Toc123208700 \h </w:instrText>
      </w:r>
      <w:r>
        <w:fldChar w:fldCharType="separate"/>
      </w:r>
      <w:r>
        <w:t>13</w:t>
      </w:r>
      <w:r>
        <w:fldChar w:fldCharType="end"/>
      </w:r>
    </w:p>
    <w:p>
      <w:pPr>
        <w:pStyle w:val="TOC8"/>
        <w:rPr>
          <w:rFonts w:asciiTheme="minorHAnsi" w:eastAsiaTheme="minorEastAsia" w:hAnsiTheme="minorHAnsi" w:cstheme="minorBidi"/>
          <w:szCs w:val="22"/>
        </w:rPr>
      </w:pPr>
      <w:r>
        <w:t>23.</w:t>
      </w:r>
      <w:r>
        <w:tab/>
        <w:t>Miscellaneous provisions</w:t>
      </w:r>
      <w:r>
        <w:tab/>
      </w:r>
      <w:r>
        <w:fldChar w:fldCharType="begin"/>
      </w:r>
      <w:r>
        <w:instrText xml:space="preserve"> PAGEREF _Toc123208701 \h </w:instrText>
      </w:r>
      <w:r>
        <w:fldChar w:fldCharType="separate"/>
      </w:r>
      <w:r>
        <w:t>14</w:t>
      </w:r>
      <w:r>
        <w:fldChar w:fldCharType="end"/>
      </w:r>
    </w:p>
    <w:p>
      <w:pPr>
        <w:pStyle w:val="TOC8"/>
        <w:rPr>
          <w:rFonts w:asciiTheme="minorHAnsi" w:eastAsiaTheme="minorEastAsia" w:hAnsiTheme="minorHAnsi" w:cstheme="minorBidi"/>
          <w:szCs w:val="22"/>
        </w:rPr>
      </w:pPr>
      <w:r>
        <w:t>24.</w:t>
      </w:r>
      <w:r>
        <w:tab/>
        <w:t>Compliance with standards of service</w:t>
      </w:r>
      <w:r>
        <w:tab/>
      </w:r>
      <w:r>
        <w:fldChar w:fldCharType="begin"/>
      </w:r>
      <w:r>
        <w:instrText xml:space="preserve"> PAGEREF _Toc123208702 \h </w:instrText>
      </w:r>
      <w:r>
        <w:fldChar w:fldCharType="separate"/>
      </w:r>
      <w:r>
        <w:t>14</w:t>
      </w:r>
      <w:r>
        <w:fldChar w:fldCharType="end"/>
      </w:r>
    </w:p>
    <w:p>
      <w:pPr>
        <w:pStyle w:val="TOC8"/>
        <w:rPr>
          <w:rFonts w:asciiTheme="minorHAnsi" w:eastAsiaTheme="minorEastAsia" w:hAnsiTheme="minorHAnsi" w:cstheme="minorBidi"/>
          <w:szCs w:val="22"/>
        </w:rPr>
      </w:pPr>
      <w:r>
        <w:t>25.</w:t>
      </w:r>
      <w:r>
        <w:tab/>
        <w:t>No contracting out of Code of Conduct</w:t>
      </w:r>
      <w:r>
        <w:tab/>
      </w:r>
      <w:r>
        <w:fldChar w:fldCharType="begin"/>
      </w:r>
      <w:r>
        <w:instrText xml:space="preserve"> PAGEREF _Toc123208703 \h </w:instrText>
      </w:r>
      <w:r>
        <w:fldChar w:fldCharType="separate"/>
      </w:r>
      <w:r>
        <w:t>14</w:t>
      </w:r>
      <w:r>
        <w:fldChar w:fldCharType="end"/>
      </w:r>
    </w:p>
    <w:p>
      <w:pPr>
        <w:pStyle w:val="TOC8"/>
        <w:rPr>
          <w:rFonts w:asciiTheme="minorHAnsi" w:eastAsiaTheme="minorEastAsia" w:hAnsiTheme="minorHAnsi" w:cstheme="minorBidi"/>
          <w:szCs w:val="22"/>
        </w:rPr>
      </w:pPr>
      <w:r>
        <w:t>25A.</w:t>
      </w:r>
      <w:r>
        <w:tab/>
        <w:t>Effect of last resort supply arrangements</w:t>
      </w:r>
      <w:r>
        <w:tab/>
      </w:r>
      <w:r>
        <w:fldChar w:fldCharType="begin"/>
      </w:r>
      <w:r>
        <w:instrText xml:space="preserve"> PAGEREF _Toc123208704 \h </w:instrText>
      </w:r>
      <w:r>
        <w:fldChar w:fldCharType="separate"/>
      </w:r>
      <w:r>
        <w:t>15</w:t>
      </w:r>
      <w:r>
        <w:fldChar w:fldCharType="end"/>
      </w:r>
    </w:p>
    <w:p>
      <w:pPr>
        <w:pStyle w:val="TOC8"/>
        <w:rPr>
          <w:rFonts w:asciiTheme="minorHAnsi" w:eastAsiaTheme="minorEastAsia" w:hAnsiTheme="minorHAnsi" w:cstheme="minorBidi"/>
          <w:szCs w:val="22"/>
        </w:rPr>
      </w:pPr>
      <w:r>
        <w:t>25B.</w:t>
      </w:r>
      <w:r>
        <w:tab/>
        <w:t>Heating value for determining charges for supply of gas</w:t>
      </w:r>
      <w:r>
        <w:tab/>
      </w:r>
      <w:r>
        <w:fldChar w:fldCharType="begin"/>
      </w:r>
      <w:r>
        <w:instrText xml:space="preserve"> PAGEREF _Toc123208705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Specific requirements for standard form contracts</w:t>
      </w:r>
    </w:p>
    <w:p>
      <w:pPr>
        <w:pStyle w:val="TOC4"/>
        <w:tabs>
          <w:tab w:val="right" w:leader="dot" w:pos="7077"/>
        </w:tabs>
        <w:rPr>
          <w:rFonts w:asciiTheme="minorHAnsi" w:eastAsiaTheme="minorEastAsia" w:hAnsiTheme="minorHAnsi" w:cstheme="minorBidi"/>
          <w:b w:val="0"/>
          <w:szCs w:val="22"/>
        </w:rPr>
      </w:pPr>
      <w:r>
        <w:t>Division 1 — Requirements for all standard form contracts</w:t>
      </w:r>
    </w:p>
    <w:p>
      <w:pPr>
        <w:pStyle w:val="TOC8"/>
        <w:rPr>
          <w:rFonts w:asciiTheme="minorHAnsi" w:eastAsiaTheme="minorEastAsia" w:hAnsiTheme="minorHAnsi" w:cstheme="minorBidi"/>
          <w:szCs w:val="22"/>
        </w:rPr>
      </w:pPr>
      <w:r>
        <w:t>26.</w:t>
      </w:r>
      <w:r>
        <w:tab/>
        <w:t>Period for which contract has effect</w:t>
      </w:r>
      <w:r>
        <w:tab/>
      </w:r>
      <w:r>
        <w:fldChar w:fldCharType="begin"/>
      </w:r>
      <w:r>
        <w:instrText xml:space="preserve"> PAGEREF _Toc123208708 \h </w:instrText>
      </w:r>
      <w:r>
        <w:fldChar w:fldCharType="separate"/>
      </w:r>
      <w:r>
        <w:t>17</w:t>
      </w:r>
      <w:r>
        <w:fldChar w:fldCharType="end"/>
      </w:r>
    </w:p>
    <w:p>
      <w:pPr>
        <w:pStyle w:val="TOC8"/>
        <w:rPr>
          <w:rFonts w:asciiTheme="minorHAnsi" w:eastAsiaTheme="minorEastAsia" w:hAnsiTheme="minorHAnsi" w:cstheme="minorBidi"/>
          <w:szCs w:val="22"/>
        </w:rPr>
      </w:pPr>
      <w:r>
        <w:t>27.</w:t>
      </w:r>
      <w:r>
        <w:tab/>
        <w:t>Acceptable identification</w:t>
      </w:r>
      <w:r>
        <w:tab/>
      </w:r>
      <w:r>
        <w:fldChar w:fldCharType="begin"/>
      </w:r>
      <w:r>
        <w:instrText xml:space="preserve"> PAGEREF _Toc123208709 \h </w:instrText>
      </w:r>
      <w:r>
        <w:fldChar w:fldCharType="separate"/>
      </w:r>
      <w:r>
        <w:t>17</w:t>
      </w:r>
      <w:r>
        <w:fldChar w:fldCharType="end"/>
      </w:r>
    </w:p>
    <w:p>
      <w:pPr>
        <w:pStyle w:val="TOC8"/>
        <w:rPr>
          <w:rFonts w:asciiTheme="minorHAnsi" w:eastAsiaTheme="minorEastAsia" w:hAnsiTheme="minorHAnsi" w:cstheme="minorBidi"/>
          <w:szCs w:val="22"/>
        </w:rPr>
      </w:pPr>
      <w:r>
        <w:t>28.</w:t>
      </w:r>
      <w:r>
        <w:tab/>
        <w:t>Retailer’s obligations in relation to supply</w:t>
      </w:r>
      <w:r>
        <w:tab/>
      </w:r>
      <w:r>
        <w:fldChar w:fldCharType="begin"/>
      </w:r>
      <w:r>
        <w:instrText xml:space="preserve"> PAGEREF _Toc123208710 \h </w:instrText>
      </w:r>
      <w:r>
        <w:fldChar w:fldCharType="separate"/>
      </w:r>
      <w:r>
        <w:t>18</w:t>
      </w:r>
      <w:r>
        <w:fldChar w:fldCharType="end"/>
      </w:r>
    </w:p>
    <w:p>
      <w:pPr>
        <w:pStyle w:val="TOC8"/>
        <w:rPr>
          <w:rFonts w:asciiTheme="minorHAnsi" w:eastAsiaTheme="minorEastAsia" w:hAnsiTheme="minorHAnsi" w:cstheme="minorBidi"/>
          <w:szCs w:val="22"/>
        </w:rPr>
      </w:pPr>
      <w:r>
        <w:t>29.</w:t>
      </w:r>
      <w:r>
        <w:tab/>
        <w:t>Customer’s obligation to pay for gas</w:t>
      </w:r>
      <w:r>
        <w:tab/>
      </w:r>
      <w:r>
        <w:fldChar w:fldCharType="begin"/>
      </w:r>
      <w:r>
        <w:instrText xml:space="preserve"> PAGEREF _Toc123208711 \h </w:instrText>
      </w:r>
      <w:r>
        <w:fldChar w:fldCharType="separate"/>
      </w:r>
      <w:r>
        <w:t>18</w:t>
      </w:r>
      <w:r>
        <w:fldChar w:fldCharType="end"/>
      </w:r>
    </w:p>
    <w:p>
      <w:pPr>
        <w:pStyle w:val="TOC8"/>
        <w:rPr>
          <w:rFonts w:asciiTheme="minorHAnsi" w:eastAsiaTheme="minorEastAsia" w:hAnsiTheme="minorHAnsi" w:cstheme="minorBidi"/>
          <w:szCs w:val="22"/>
        </w:rPr>
      </w:pPr>
      <w:r>
        <w:t>30.</w:t>
      </w:r>
      <w:r>
        <w:tab/>
        <w:t>Termination of contract by customer</w:t>
      </w:r>
      <w:r>
        <w:tab/>
      </w:r>
      <w:r>
        <w:fldChar w:fldCharType="begin"/>
      </w:r>
      <w:r>
        <w:instrText xml:space="preserve"> PAGEREF _Toc123208712 \h </w:instrText>
      </w:r>
      <w:r>
        <w:fldChar w:fldCharType="separate"/>
      </w:r>
      <w:r>
        <w:t>18</w:t>
      </w:r>
      <w:r>
        <w:fldChar w:fldCharType="end"/>
      </w:r>
    </w:p>
    <w:p>
      <w:pPr>
        <w:pStyle w:val="TOC8"/>
        <w:rPr>
          <w:rFonts w:asciiTheme="minorHAnsi" w:eastAsiaTheme="minorEastAsia" w:hAnsiTheme="minorHAnsi" w:cstheme="minorBidi"/>
          <w:szCs w:val="22"/>
        </w:rPr>
      </w:pPr>
      <w:r>
        <w:t>31.</w:t>
      </w:r>
      <w:r>
        <w:tab/>
        <w:t>Equipment ownership and responsibility</w:t>
      </w:r>
      <w:r>
        <w:tab/>
      </w:r>
      <w:r>
        <w:fldChar w:fldCharType="begin"/>
      </w:r>
      <w:r>
        <w:instrText xml:space="preserve"> PAGEREF _Toc123208713 \h </w:instrText>
      </w:r>
      <w:r>
        <w:fldChar w:fldCharType="separate"/>
      </w:r>
      <w:r>
        <w:t>18</w:t>
      </w:r>
      <w:r>
        <w:fldChar w:fldCharType="end"/>
      </w:r>
    </w:p>
    <w:p>
      <w:pPr>
        <w:pStyle w:val="TOC8"/>
        <w:rPr>
          <w:rFonts w:asciiTheme="minorHAnsi" w:eastAsiaTheme="minorEastAsia" w:hAnsiTheme="minorHAnsi" w:cstheme="minorBidi"/>
          <w:szCs w:val="22"/>
        </w:rPr>
      </w:pPr>
      <w:r>
        <w:t>32.</w:t>
      </w:r>
      <w:r>
        <w:tab/>
        <w:t>Meter testing</w:t>
      </w:r>
      <w:r>
        <w:tab/>
      </w:r>
      <w:r>
        <w:fldChar w:fldCharType="begin"/>
      </w:r>
      <w:r>
        <w:instrText xml:space="preserve"> PAGEREF _Toc123208714 \h </w:instrText>
      </w:r>
      <w:r>
        <w:fldChar w:fldCharType="separate"/>
      </w:r>
      <w:r>
        <w:t>19</w:t>
      </w:r>
      <w:r>
        <w:fldChar w:fldCharType="end"/>
      </w:r>
    </w:p>
    <w:p>
      <w:pPr>
        <w:pStyle w:val="TOC8"/>
        <w:rPr>
          <w:rFonts w:asciiTheme="minorHAnsi" w:eastAsiaTheme="minorEastAsia" w:hAnsiTheme="minorHAnsi" w:cstheme="minorBidi"/>
          <w:szCs w:val="22"/>
        </w:rPr>
      </w:pPr>
      <w:r>
        <w:t>33.</w:t>
      </w:r>
      <w:r>
        <w:tab/>
        <w:t>Access to supply address</w:t>
      </w:r>
      <w:r>
        <w:tab/>
      </w:r>
      <w:r>
        <w:fldChar w:fldCharType="begin"/>
      </w:r>
      <w:r>
        <w:instrText xml:space="preserve"> PAGEREF _Toc123208715 \h </w:instrText>
      </w:r>
      <w:r>
        <w:fldChar w:fldCharType="separate"/>
      </w:r>
      <w:r>
        <w:t>19</w:t>
      </w:r>
      <w:r>
        <w:fldChar w:fldCharType="end"/>
      </w:r>
    </w:p>
    <w:p>
      <w:pPr>
        <w:pStyle w:val="TOC8"/>
        <w:rPr>
          <w:rFonts w:asciiTheme="minorHAnsi" w:eastAsiaTheme="minorEastAsia" w:hAnsiTheme="minorHAnsi" w:cstheme="minorBidi"/>
          <w:szCs w:val="22"/>
        </w:rPr>
      </w:pPr>
      <w:r>
        <w:t>34.</w:t>
      </w:r>
      <w:r>
        <w:tab/>
        <w:t>Customer entering supply address</w:t>
      </w:r>
      <w:r>
        <w:tab/>
      </w:r>
      <w:r>
        <w:fldChar w:fldCharType="begin"/>
      </w:r>
      <w:r>
        <w:instrText xml:space="preserve"> PAGEREF _Toc123208716 \h </w:instrText>
      </w:r>
      <w:r>
        <w:fldChar w:fldCharType="separate"/>
      </w:r>
      <w:r>
        <w:t>19</w:t>
      </w:r>
      <w:r>
        <w:fldChar w:fldCharType="end"/>
      </w:r>
    </w:p>
    <w:p>
      <w:pPr>
        <w:pStyle w:val="TOC8"/>
        <w:rPr>
          <w:rFonts w:asciiTheme="minorHAnsi" w:eastAsiaTheme="minorEastAsia" w:hAnsiTheme="minorHAnsi" w:cstheme="minorBidi"/>
          <w:szCs w:val="22"/>
        </w:rPr>
      </w:pPr>
      <w:r>
        <w:t>35.</w:t>
      </w:r>
      <w:r>
        <w:tab/>
        <w:t>Customer leaving supply address</w:t>
      </w:r>
      <w:r>
        <w:tab/>
      </w:r>
      <w:r>
        <w:fldChar w:fldCharType="begin"/>
      </w:r>
      <w:r>
        <w:instrText xml:space="preserve"> PAGEREF _Toc123208717 \h </w:instrText>
      </w:r>
      <w:r>
        <w:fldChar w:fldCharType="separate"/>
      </w:r>
      <w:r>
        <w:t>20</w:t>
      </w:r>
      <w:r>
        <w:fldChar w:fldCharType="end"/>
      </w:r>
    </w:p>
    <w:p>
      <w:pPr>
        <w:pStyle w:val="TOC8"/>
        <w:rPr>
          <w:rFonts w:asciiTheme="minorHAnsi" w:eastAsiaTheme="minorEastAsia" w:hAnsiTheme="minorHAnsi" w:cstheme="minorBidi"/>
          <w:szCs w:val="22"/>
        </w:rPr>
      </w:pPr>
      <w:r>
        <w:t>36.</w:t>
      </w:r>
      <w:r>
        <w:tab/>
        <w:t>Matters beyond control of customer or retailer</w:t>
      </w:r>
      <w:r>
        <w:tab/>
      </w:r>
      <w:r>
        <w:fldChar w:fldCharType="begin"/>
      </w:r>
      <w:r>
        <w:instrText xml:space="preserve"> PAGEREF _Toc123208718 \h </w:instrText>
      </w:r>
      <w:r>
        <w:fldChar w:fldCharType="separate"/>
      </w:r>
      <w:r>
        <w:t>20</w:t>
      </w:r>
      <w:r>
        <w:fldChar w:fldCharType="end"/>
      </w:r>
    </w:p>
    <w:p>
      <w:pPr>
        <w:pStyle w:val="TOC8"/>
        <w:rPr>
          <w:rFonts w:asciiTheme="minorHAnsi" w:eastAsiaTheme="minorEastAsia" w:hAnsiTheme="minorHAnsi" w:cstheme="minorBidi"/>
          <w:szCs w:val="22"/>
        </w:rPr>
      </w:pPr>
      <w:r>
        <w:t>38.</w:t>
      </w:r>
      <w:r>
        <w:tab/>
        <w:t>Supply charges</w:t>
      </w:r>
      <w:r>
        <w:tab/>
      </w:r>
      <w:r>
        <w:fldChar w:fldCharType="begin"/>
      </w:r>
      <w:r>
        <w:instrText xml:space="preserve"> PAGEREF _Toc123208719 \h </w:instrText>
      </w:r>
      <w:r>
        <w:fldChar w:fldCharType="separate"/>
      </w:r>
      <w:r>
        <w:t>21</w:t>
      </w:r>
      <w:r>
        <w:fldChar w:fldCharType="end"/>
      </w:r>
    </w:p>
    <w:p>
      <w:pPr>
        <w:pStyle w:val="TOC8"/>
        <w:rPr>
          <w:rFonts w:asciiTheme="minorHAnsi" w:eastAsiaTheme="minorEastAsia" w:hAnsiTheme="minorHAnsi" w:cstheme="minorBidi"/>
          <w:szCs w:val="22"/>
        </w:rPr>
      </w:pPr>
      <w:r>
        <w:t>38A.</w:t>
      </w:r>
      <w:r>
        <w:tab/>
        <w:t>Provisions relating to last resort supply</w:t>
      </w:r>
      <w:r>
        <w:tab/>
      </w:r>
      <w:r>
        <w:fldChar w:fldCharType="begin"/>
      </w:r>
      <w:r>
        <w:instrText xml:space="preserve"> PAGEREF _Toc123208720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Security deposit requirements for certain standard form contracts</w:t>
      </w:r>
    </w:p>
    <w:p>
      <w:pPr>
        <w:pStyle w:val="TOC8"/>
        <w:rPr>
          <w:rFonts w:asciiTheme="minorHAnsi" w:eastAsiaTheme="minorEastAsia" w:hAnsiTheme="minorHAnsi" w:cstheme="minorBidi"/>
          <w:szCs w:val="22"/>
        </w:rPr>
      </w:pPr>
      <w:r>
        <w:t>38B.</w:t>
      </w:r>
      <w:r>
        <w:tab/>
        <w:t>Term used: customer</w:t>
      </w:r>
      <w:r>
        <w:tab/>
      </w:r>
      <w:r>
        <w:fldChar w:fldCharType="begin"/>
      </w:r>
      <w:r>
        <w:instrText xml:space="preserve"> PAGEREF _Toc123208722 \h </w:instrText>
      </w:r>
      <w:r>
        <w:fldChar w:fldCharType="separate"/>
      </w:r>
      <w:r>
        <w:t>22</w:t>
      </w:r>
      <w:r>
        <w:fldChar w:fldCharType="end"/>
      </w:r>
    </w:p>
    <w:p>
      <w:pPr>
        <w:pStyle w:val="TOC8"/>
        <w:rPr>
          <w:rFonts w:asciiTheme="minorHAnsi" w:eastAsiaTheme="minorEastAsia" w:hAnsiTheme="minorHAnsi" w:cstheme="minorBidi"/>
          <w:szCs w:val="22"/>
        </w:rPr>
      </w:pPr>
      <w:r>
        <w:t>38C.</w:t>
      </w:r>
      <w:r>
        <w:tab/>
        <w:t>Security deposits not payable by residential customers</w:t>
      </w:r>
      <w:r>
        <w:tab/>
      </w:r>
      <w:r>
        <w:fldChar w:fldCharType="begin"/>
      </w:r>
      <w:r>
        <w:instrText xml:space="preserve"> PAGEREF _Toc123208723 \h </w:instrText>
      </w:r>
      <w:r>
        <w:fldChar w:fldCharType="separate"/>
      </w:r>
      <w:r>
        <w:t>22</w:t>
      </w:r>
      <w:r>
        <w:fldChar w:fldCharType="end"/>
      </w:r>
    </w:p>
    <w:p>
      <w:pPr>
        <w:pStyle w:val="TOC8"/>
        <w:rPr>
          <w:rFonts w:asciiTheme="minorHAnsi" w:eastAsiaTheme="minorEastAsia" w:hAnsiTheme="minorHAnsi" w:cstheme="minorBidi"/>
          <w:szCs w:val="22"/>
        </w:rPr>
      </w:pPr>
      <w:r>
        <w:t>38D.</w:t>
      </w:r>
      <w:r>
        <w:tab/>
        <w:t>Security deposits may be required from certain customers</w:t>
      </w:r>
      <w:r>
        <w:tab/>
      </w:r>
      <w:r>
        <w:fldChar w:fldCharType="begin"/>
      </w:r>
      <w:r>
        <w:instrText xml:space="preserve"> PAGEREF _Toc123208724 \h </w:instrText>
      </w:r>
      <w:r>
        <w:fldChar w:fldCharType="separate"/>
      </w:r>
      <w:r>
        <w:t>22</w:t>
      </w:r>
      <w:r>
        <w:fldChar w:fldCharType="end"/>
      </w:r>
    </w:p>
    <w:p>
      <w:pPr>
        <w:pStyle w:val="TOC8"/>
        <w:rPr>
          <w:rFonts w:asciiTheme="minorHAnsi" w:eastAsiaTheme="minorEastAsia" w:hAnsiTheme="minorHAnsi" w:cstheme="minorBidi"/>
          <w:szCs w:val="22"/>
        </w:rPr>
      </w:pPr>
      <w:r>
        <w:t>38E.</w:t>
      </w:r>
      <w:r>
        <w:tab/>
        <w:t>Amount of security deposit</w:t>
      </w:r>
      <w:r>
        <w:tab/>
      </w:r>
      <w:r>
        <w:fldChar w:fldCharType="begin"/>
      </w:r>
      <w:r>
        <w:instrText xml:space="preserve"> PAGEREF _Toc123208725 \h </w:instrText>
      </w:r>
      <w:r>
        <w:fldChar w:fldCharType="separate"/>
      </w:r>
      <w:r>
        <w:t>24</w:t>
      </w:r>
      <w:r>
        <w:fldChar w:fldCharType="end"/>
      </w:r>
    </w:p>
    <w:p>
      <w:pPr>
        <w:pStyle w:val="TOC8"/>
        <w:rPr>
          <w:rFonts w:asciiTheme="minorHAnsi" w:eastAsiaTheme="minorEastAsia" w:hAnsiTheme="minorHAnsi" w:cstheme="minorBidi"/>
          <w:szCs w:val="22"/>
        </w:rPr>
      </w:pPr>
      <w:r>
        <w:t>38F.</w:t>
      </w:r>
      <w:r>
        <w:tab/>
        <w:t>Treatment of security deposit</w:t>
      </w:r>
      <w:r>
        <w:tab/>
      </w:r>
      <w:r>
        <w:fldChar w:fldCharType="begin"/>
      </w:r>
      <w:r>
        <w:instrText xml:space="preserve"> PAGEREF _Toc123208726 \h </w:instrText>
      </w:r>
      <w:r>
        <w:fldChar w:fldCharType="separate"/>
      </w:r>
      <w:r>
        <w:t>24</w:t>
      </w:r>
      <w:r>
        <w:fldChar w:fldCharType="end"/>
      </w:r>
    </w:p>
    <w:p>
      <w:pPr>
        <w:pStyle w:val="TOC8"/>
        <w:rPr>
          <w:rFonts w:asciiTheme="minorHAnsi" w:eastAsiaTheme="minorEastAsia" w:hAnsiTheme="minorHAnsi" w:cstheme="minorBidi"/>
          <w:szCs w:val="22"/>
        </w:rPr>
      </w:pPr>
      <w:r>
        <w:t>38G.</w:t>
      </w:r>
      <w:r>
        <w:tab/>
        <w:t>Use of security deposit</w:t>
      </w:r>
      <w:r>
        <w:tab/>
      </w:r>
      <w:r>
        <w:fldChar w:fldCharType="begin"/>
      </w:r>
      <w:r>
        <w:instrText xml:space="preserve"> PAGEREF _Toc123208727 \h </w:instrText>
      </w:r>
      <w:r>
        <w:fldChar w:fldCharType="separate"/>
      </w:r>
      <w:r>
        <w:t>25</w:t>
      </w:r>
      <w:r>
        <w:fldChar w:fldCharType="end"/>
      </w:r>
    </w:p>
    <w:p>
      <w:pPr>
        <w:pStyle w:val="TOC8"/>
        <w:rPr>
          <w:rFonts w:asciiTheme="minorHAnsi" w:eastAsiaTheme="minorEastAsia" w:hAnsiTheme="minorHAnsi" w:cstheme="minorBidi"/>
          <w:szCs w:val="22"/>
        </w:rPr>
      </w:pPr>
      <w:r>
        <w:t>38H.</w:t>
      </w:r>
      <w:r>
        <w:tab/>
        <w:t>Obligation to repay security deposit</w:t>
      </w:r>
      <w:r>
        <w:tab/>
      </w:r>
      <w:r>
        <w:fldChar w:fldCharType="begin"/>
      </w:r>
      <w:r>
        <w:instrText xml:space="preserve"> PAGEREF _Toc123208728 \h </w:instrText>
      </w:r>
      <w:r>
        <w:fldChar w:fldCharType="separate"/>
      </w:r>
      <w:r>
        <w:t>25</w:t>
      </w:r>
      <w:r>
        <w:fldChar w:fldCharType="end"/>
      </w:r>
    </w:p>
    <w:p>
      <w:pPr>
        <w:pStyle w:val="TOC8"/>
        <w:rPr>
          <w:rFonts w:asciiTheme="minorHAnsi" w:eastAsiaTheme="minorEastAsia" w:hAnsiTheme="minorHAnsi" w:cstheme="minorBidi"/>
          <w:szCs w:val="22"/>
        </w:rPr>
      </w:pPr>
      <w:r>
        <w:t>38I.</w:t>
      </w:r>
      <w:r>
        <w:tab/>
        <w:t>Failure to pay security deposit</w:t>
      </w:r>
      <w:r>
        <w:tab/>
      </w:r>
      <w:r>
        <w:fldChar w:fldCharType="begin"/>
      </w:r>
      <w:r>
        <w:instrText xml:space="preserve"> PAGEREF _Toc123208729 \h </w:instrText>
      </w:r>
      <w:r>
        <w:fldChar w:fldCharType="separate"/>
      </w:r>
      <w:r>
        <w:t>26</w:t>
      </w:r>
      <w:r>
        <w:fldChar w:fldCharType="end"/>
      </w:r>
    </w:p>
    <w:p>
      <w:pPr>
        <w:pStyle w:val="TOC8"/>
        <w:rPr>
          <w:rFonts w:asciiTheme="minorHAnsi" w:eastAsiaTheme="minorEastAsia" w:hAnsiTheme="minorHAnsi" w:cstheme="minorBidi"/>
          <w:szCs w:val="22"/>
        </w:rPr>
      </w:pPr>
      <w:r>
        <w:t>38J.</w:t>
      </w:r>
      <w:r>
        <w:tab/>
        <w:t>Permission for retailer to carry out credit checks</w:t>
      </w:r>
      <w:r>
        <w:tab/>
      </w:r>
      <w:r>
        <w:fldChar w:fldCharType="begin"/>
      </w:r>
      <w:r>
        <w:instrText xml:space="preserve"> PAGEREF _Toc123208730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Specific requirements for non</w:t>
      </w:r>
      <w:r>
        <w:noBreakHyphen/>
        <w:t>standard contracts</w:t>
      </w:r>
    </w:p>
    <w:p>
      <w:pPr>
        <w:pStyle w:val="TOC4"/>
        <w:tabs>
          <w:tab w:val="right" w:leader="dot" w:pos="7077"/>
        </w:tabs>
        <w:rPr>
          <w:rFonts w:asciiTheme="minorHAnsi" w:eastAsiaTheme="minorEastAsia" w:hAnsiTheme="minorHAnsi" w:cstheme="minorBidi"/>
          <w:b w:val="0"/>
          <w:szCs w:val="22"/>
        </w:rPr>
      </w:pPr>
      <w:r>
        <w:t>Division 1 — Requirements for all non</w:t>
      </w:r>
      <w:r>
        <w:noBreakHyphen/>
        <w:t>standard contracts</w:t>
      </w:r>
    </w:p>
    <w:p>
      <w:pPr>
        <w:pStyle w:val="TOC8"/>
        <w:rPr>
          <w:rFonts w:asciiTheme="minorHAnsi" w:eastAsiaTheme="minorEastAsia" w:hAnsiTheme="minorHAnsi" w:cstheme="minorBidi"/>
          <w:szCs w:val="22"/>
        </w:rPr>
      </w:pPr>
      <w:r>
        <w:t>38K.</w:t>
      </w:r>
      <w:r>
        <w:tab/>
        <w:t>Term used: fixed term contract</w:t>
      </w:r>
      <w:r>
        <w:tab/>
      </w:r>
      <w:r>
        <w:fldChar w:fldCharType="begin"/>
      </w:r>
      <w:r>
        <w:instrText xml:space="preserve"> PAGEREF _Toc123208733 \h </w:instrText>
      </w:r>
      <w:r>
        <w:fldChar w:fldCharType="separate"/>
      </w:r>
      <w:r>
        <w:t>28</w:t>
      </w:r>
      <w:r>
        <w:fldChar w:fldCharType="end"/>
      </w:r>
    </w:p>
    <w:p>
      <w:pPr>
        <w:pStyle w:val="TOC8"/>
        <w:rPr>
          <w:rFonts w:asciiTheme="minorHAnsi" w:eastAsiaTheme="minorEastAsia" w:hAnsiTheme="minorHAnsi" w:cstheme="minorBidi"/>
          <w:szCs w:val="22"/>
        </w:rPr>
      </w:pPr>
      <w:r>
        <w:t>39.</w:t>
      </w:r>
      <w:r>
        <w:tab/>
        <w:t>Period for which contract has effect</w:t>
      </w:r>
      <w:r>
        <w:tab/>
      </w:r>
      <w:r>
        <w:fldChar w:fldCharType="begin"/>
      </w:r>
      <w:r>
        <w:instrText xml:space="preserve"> PAGEREF _Toc123208734 \h </w:instrText>
      </w:r>
      <w:r>
        <w:fldChar w:fldCharType="separate"/>
      </w:r>
      <w:r>
        <w:t>28</w:t>
      </w:r>
      <w:r>
        <w:fldChar w:fldCharType="end"/>
      </w:r>
    </w:p>
    <w:p>
      <w:pPr>
        <w:pStyle w:val="TOC8"/>
        <w:rPr>
          <w:rFonts w:asciiTheme="minorHAnsi" w:eastAsiaTheme="minorEastAsia" w:hAnsiTheme="minorHAnsi" w:cstheme="minorBidi"/>
          <w:szCs w:val="22"/>
        </w:rPr>
      </w:pPr>
      <w:r>
        <w:t>40.</w:t>
      </w:r>
      <w:r>
        <w:tab/>
        <w:t>Cooling</w:t>
      </w:r>
      <w:r>
        <w:noBreakHyphen/>
        <w:t>off period for non</w:t>
      </w:r>
      <w:r>
        <w:noBreakHyphen/>
        <w:t>standard contracts</w:t>
      </w:r>
      <w:r>
        <w:tab/>
      </w:r>
      <w:r>
        <w:fldChar w:fldCharType="begin"/>
      </w:r>
      <w:r>
        <w:instrText xml:space="preserve"> PAGEREF _Toc123208735 \h </w:instrText>
      </w:r>
      <w:r>
        <w:fldChar w:fldCharType="separate"/>
      </w:r>
      <w:r>
        <w:t>28</w:t>
      </w:r>
      <w:r>
        <w:fldChar w:fldCharType="end"/>
      </w:r>
    </w:p>
    <w:p>
      <w:pPr>
        <w:pStyle w:val="TOC8"/>
        <w:rPr>
          <w:rFonts w:asciiTheme="minorHAnsi" w:eastAsiaTheme="minorEastAsia" w:hAnsiTheme="minorHAnsi" w:cstheme="minorBidi"/>
          <w:szCs w:val="22"/>
        </w:rPr>
      </w:pPr>
      <w:r>
        <w:t>41.</w:t>
      </w:r>
      <w:r>
        <w:tab/>
        <w:t>Termination of contract by customer</w:t>
      </w:r>
      <w:r>
        <w:tab/>
      </w:r>
      <w:r>
        <w:fldChar w:fldCharType="begin"/>
      </w:r>
      <w:r>
        <w:instrText xml:space="preserve"> PAGEREF _Toc123208736 \h </w:instrText>
      </w:r>
      <w:r>
        <w:fldChar w:fldCharType="separate"/>
      </w:r>
      <w:r>
        <w:t>29</w:t>
      </w:r>
      <w:r>
        <w:fldChar w:fldCharType="end"/>
      </w:r>
    </w:p>
    <w:p>
      <w:pPr>
        <w:pStyle w:val="TOC8"/>
        <w:rPr>
          <w:rFonts w:asciiTheme="minorHAnsi" w:eastAsiaTheme="minorEastAsia" w:hAnsiTheme="minorHAnsi" w:cstheme="minorBidi"/>
          <w:szCs w:val="22"/>
        </w:rPr>
      </w:pPr>
      <w:r>
        <w:t>42.</w:t>
      </w:r>
      <w:r>
        <w:tab/>
        <w:t>Amendment of contract</w:t>
      </w:r>
      <w:r>
        <w:tab/>
      </w:r>
      <w:r>
        <w:fldChar w:fldCharType="begin"/>
      </w:r>
      <w:r>
        <w:instrText xml:space="preserve"> PAGEREF _Toc123208737 \h </w:instrText>
      </w:r>
      <w:r>
        <w:fldChar w:fldCharType="separate"/>
      </w:r>
      <w:r>
        <w:t>29</w:t>
      </w:r>
      <w:r>
        <w:fldChar w:fldCharType="end"/>
      </w:r>
    </w:p>
    <w:p>
      <w:pPr>
        <w:pStyle w:val="TOC8"/>
        <w:rPr>
          <w:rFonts w:asciiTheme="minorHAnsi" w:eastAsiaTheme="minorEastAsia" w:hAnsiTheme="minorHAnsi" w:cstheme="minorBidi"/>
          <w:szCs w:val="22"/>
        </w:rPr>
      </w:pPr>
      <w:r>
        <w:t>43.</w:t>
      </w:r>
      <w:r>
        <w:tab/>
        <w:t>Continuation of contract after expiry</w:t>
      </w:r>
      <w:r>
        <w:tab/>
      </w:r>
      <w:r>
        <w:fldChar w:fldCharType="begin"/>
      </w:r>
      <w:r>
        <w:instrText xml:space="preserve"> PAGEREF _Toc123208738 \h </w:instrText>
      </w:r>
      <w:r>
        <w:fldChar w:fldCharType="separate"/>
      </w:r>
      <w:r>
        <w:t>29</w:t>
      </w:r>
      <w:r>
        <w:fldChar w:fldCharType="end"/>
      </w:r>
    </w:p>
    <w:p>
      <w:pPr>
        <w:pStyle w:val="TOC8"/>
        <w:rPr>
          <w:rFonts w:asciiTheme="minorHAnsi" w:eastAsiaTheme="minorEastAsia" w:hAnsiTheme="minorHAnsi" w:cstheme="minorBidi"/>
          <w:szCs w:val="22"/>
        </w:rPr>
      </w:pPr>
      <w:r>
        <w:t>44.</w:t>
      </w:r>
      <w:r>
        <w:tab/>
        <w:t>Information relating to expiry of fixed term contract</w:t>
      </w:r>
      <w:r>
        <w:tab/>
      </w:r>
      <w:r>
        <w:fldChar w:fldCharType="begin"/>
      </w:r>
      <w:r>
        <w:instrText xml:space="preserve"> PAGEREF _Toc123208739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Security deposit requirements for certain non</w:t>
      </w:r>
      <w:r>
        <w:noBreakHyphen/>
        <w:t>standard contracts</w:t>
      </w:r>
    </w:p>
    <w:p>
      <w:pPr>
        <w:pStyle w:val="TOC8"/>
        <w:rPr>
          <w:rFonts w:asciiTheme="minorHAnsi" w:eastAsiaTheme="minorEastAsia" w:hAnsiTheme="minorHAnsi" w:cstheme="minorBidi"/>
          <w:szCs w:val="22"/>
        </w:rPr>
      </w:pPr>
      <w:r>
        <w:t>44A.</w:t>
      </w:r>
      <w:r>
        <w:tab/>
        <w:t>Security deposits not payable by residential customers</w:t>
      </w:r>
      <w:r>
        <w:tab/>
      </w:r>
      <w:r>
        <w:fldChar w:fldCharType="begin"/>
      </w:r>
      <w:r>
        <w:instrText xml:space="preserve"> PAGEREF _Toc123208741 \h </w:instrText>
      </w:r>
      <w:r>
        <w:fldChar w:fldCharType="separate"/>
      </w:r>
      <w:r>
        <w:t>31</w:t>
      </w:r>
      <w:r>
        <w:fldChar w:fldCharType="end"/>
      </w:r>
    </w:p>
    <w:p>
      <w:pPr>
        <w:pStyle w:val="TOC8"/>
        <w:rPr>
          <w:rFonts w:asciiTheme="minorHAnsi" w:eastAsiaTheme="minorEastAsia" w:hAnsiTheme="minorHAnsi" w:cstheme="minorBidi"/>
          <w:szCs w:val="22"/>
        </w:rPr>
      </w:pPr>
      <w:r>
        <w:t>44B.</w:t>
      </w:r>
      <w:r>
        <w:tab/>
        <w:t>Security deposits may be required from certain customers</w:t>
      </w:r>
      <w:r>
        <w:tab/>
      </w:r>
      <w:r>
        <w:fldChar w:fldCharType="begin"/>
      </w:r>
      <w:r>
        <w:instrText xml:space="preserve"> PAGEREF _Toc123208742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of service</w:t>
      </w:r>
    </w:p>
    <w:p>
      <w:pPr>
        <w:pStyle w:val="TOC8"/>
        <w:rPr>
          <w:rFonts w:asciiTheme="minorHAnsi" w:eastAsiaTheme="minorEastAsia" w:hAnsiTheme="minorHAnsi" w:cstheme="minorBidi"/>
          <w:szCs w:val="22"/>
        </w:rPr>
      </w:pPr>
      <w:r>
        <w:t>46.</w:t>
      </w:r>
      <w:r>
        <w:tab/>
        <w:t>Customer to be provided with copy of regulations or relevant code</w:t>
      </w:r>
      <w:r>
        <w:tab/>
      </w:r>
      <w:r>
        <w:fldChar w:fldCharType="begin"/>
      </w:r>
      <w:r>
        <w:instrText xml:space="preserve"> PAGEREF _Toc123208744 \h </w:instrText>
      </w:r>
      <w:r>
        <w:fldChar w:fldCharType="separate"/>
      </w:r>
      <w:r>
        <w:t>33</w:t>
      </w:r>
      <w:r>
        <w:fldChar w:fldCharType="end"/>
      </w:r>
    </w:p>
    <w:p>
      <w:pPr>
        <w:pStyle w:val="TOC8"/>
        <w:rPr>
          <w:rFonts w:asciiTheme="minorHAnsi" w:eastAsiaTheme="minorEastAsia" w:hAnsiTheme="minorHAnsi" w:cstheme="minorBidi"/>
          <w:szCs w:val="22"/>
        </w:rPr>
      </w:pPr>
      <w:r>
        <w:t>47.</w:t>
      </w:r>
      <w:r>
        <w:tab/>
        <w:t>Billing data</w:t>
      </w:r>
      <w:r>
        <w:tab/>
      </w:r>
      <w:r>
        <w:fldChar w:fldCharType="begin"/>
      </w:r>
      <w:r>
        <w:instrText xml:space="preserve"> PAGEREF _Toc123208745 \h </w:instrText>
      </w:r>
      <w:r>
        <w:fldChar w:fldCharType="separate"/>
      </w:r>
      <w:r>
        <w:t>33</w:t>
      </w:r>
      <w:r>
        <w:fldChar w:fldCharType="end"/>
      </w:r>
    </w:p>
    <w:p>
      <w:pPr>
        <w:pStyle w:val="TOC8"/>
        <w:rPr>
          <w:rFonts w:asciiTheme="minorHAnsi" w:eastAsiaTheme="minorEastAsia" w:hAnsiTheme="minorHAnsi" w:cstheme="minorBidi"/>
          <w:szCs w:val="22"/>
        </w:rPr>
      </w:pPr>
      <w:r>
        <w:t>48.</w:t>
      </w:r>
      <w:r>
        <w:tab/>
        <w:t>Debt collection</w:t>
      </w:r>
      <w:r>
        <w:tab/>
      </w:r>
      <w:r>
        <w:fldChar w:fldCharType="begin"/>
      </w:r>
      <w:r>
        <w:instrText xml:space="preserve"> PAGEREF _Toc123208746 \h </w:instrText>
      </w:r>
      <w:r>
        <w:fldChar w:fldCharType="separate"/>
      </w:r>
      <w:r>
        <w:t>34</w:t>
      </w:r>
      <w:r>
        <w:fldChar w:fldCharType="end"/>
      </w:r>
    </w:p>
    <w:p>
      <w:pPr>
        <w:pStyle w:val="TOC8"/>
        <w:rPr>
          <w:rFonts w:asciiTheme="minorHAnsi" w:eastAsiaTheme="minorEastAsia" w:hAnsiTheme="minorHAnsi" w:cstheme="minorBidi"/>
          <w:szCs w:val="22"/>
        </w:rPr>
      </w:pPr>
      <w:r>
        <w:t>49.</w:t>
      </w:r>
      <w:r>
        <w:tab/>
        <w:t>Default listing</w:t>
      </w:r>
      <w:r>
        <w:tab/>
      </w:r>
      <w:r>
        <w:fldChar w:fldCharType="begin"/>
      </w:r>
      <w:r>
        <w:instrText xml:space="preserve"> PAGEREF _Toc123208747 \h </w:instrText>
      </w:r>
      <w:r>
        <w:fldChar w:fldCharType="separate"/>
      </w:r>
      <w:r>
        <w:t>35</w:t>
      </w:r>
      <w:r>
        <w:fldChar w:fldCharType="end"/>
      </w:r>
    </w:p>
    <w:p>
      <w:pPr>
        <w:pStyle w:val="TOC8"/>
        <w:rPr>
          <w:rFonts w:asciiTheme="minorHAnsi" w:eastAsiaTheme="minorEastAsia" w:hAnsiTheme="minorHAnsi" w:cstheme="minorBidi"/>
          <w:szCs w:val="22"/>
        </w:rPr>
      </w:pPr>
      <w:r>
        <w:t>50.</w:t>
      </w:r>
      <w:r>
        <w:tab/>
        <w:t>Disconnection warning to include information on dispute resolution</w:t>
      </w:r>
      <w:r>
        <w:tab/>
      </w:r>
      <w:r>
        <w:fldChar w:fldCharType="begin"/>
      </w:r>
      <w:r>
        <w:instrText xml:space="preserve"> PAGEREF _Toc123208748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_Toc123208750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3" w:name="_Toc122683857"/>
      <w:bookmarkStart w:id="4" w:name="_Toc122690149"/>
      <w:bookmarkStart w:id="5" w:name="_Toc12320867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3208678"/>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7" w:name="_Toc123208679"/>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8" w:name="_Toc123208680"/>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billing data</w:t>
      </w:r>
      <w:r>
        <w:t xml:space="preserve"> means information contained in or relating to bills that have been issued by a </w:t>
      </w:r>
      <w:bookmarkStart w:id="9" w:name="_Hlk122688680"/>
      <w:r>
        <w:t>retailer</w:t>
      </w:r>
      <w:bookmarkEnd w:id="9"/>
      <w:r>
        <w:t xml:space="preserve">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tab/>
      </w:r>
      <w:r>
        <w:rPr>
          <w:rStyle w:val="CharDefText"/>
        </w:rPr>
        <w:t>Code of Conduct</w:t>
      </w:r>
      <w:r>
        <w:t xml:space="preserve"> means the code of conduct approved under section 11ZPM of the Act;</w:t>
      </w:r>
    </w:p>
    <w:p>
      <w:pPr>
        <w:pStyle w:val="Defstart"/>
      </w:pPr>
      <w:r>
        <w:tab/>
      </w:r>
      <w:r>
        <w:rPr>
          <w:rStyle w:val="CharDefText"/>
        </w:rPr>
        <w:t>customer</w:t>
      </w:r>
      <w:r>
        <w:t xml:space="preserve"> has the meaning given in section 11WB of the Act;</w:t>
      </w:r>
    </w:p>
    <w:p>
      <w:pPr>
        <w:pStyle w:val="Defstart"/>
        <w:keepNext/>
      </w:pPr>
      <w:r>
        <w:rPr>
          <w:b/>
        </w:rPr>
        <w:lastRenderedPageBreak/>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pPr>
      <w:r>
        <w:rPr>
          <w:b/>
        </w:rPr>
        <w:tab/>
      </w:r>
      <w:r>
        <w:rPr>
          <w:rStyle w:val="CharDefText"/>
        </w:rPr>
        <w:t>relevant code</w:t>
      </w:r>
      <w:r>
        <w:t xml:space="preserve"> means a code, standard or other document referred to in regulation 10;</w:t>
      </w:r>
    </w:p>
    <w:p>
      <w:pPr>
        <w:pStyle w:val="Defstart"/>
      </w:pPr>
      <w:r>
        <w:tab/>
      </w:r>
      <w:r>
        <w:rPr>
          <w:rStyle w:val="CharDefText"/>
        </w:rPr>
        <w:t>residential customer</w:t>
      </w:r>
      <w:r>
        <w:t xml:space="preserve"> means a customer who is required to pay a residential charge;</w:t>
      </w:r>
    </w:p>
    <w:p>
      <w:pPr>
        <w:pStyle w:val="Defstart"/>
      </w:pPr>
      <w:r>
        <w:tab/>
      </w:r>
      <w:r>
        <w:rPr>
          <w:rStyle w:val="CharDefText"/>
        </w:rPr>
        <w:t>retailer</w:t>
      </w:r>
      <w:r>
        <w:t xml:space="preserve"> means the holder of a trading licence;</w:t>
      </w:r>
    </w:p>
    <w:p>
      <w:pPr>
        <w:pStyle w:val="Defstart"/>
      </w:pPr>
      <w:r>
        <w:tab/>
      </w:r>
      <w:r>
        <w:rPr>
          <w:rStyle w:val="CharDefText"/>
        </w:rPr>
        <w:t>security deposit</w:t>
      </w:r>
      <w:r>
        <w:t xml:space="preserve"> means an amount of money provided as security against a customer defaulting on a payment due to a retailer under a customer contract;</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keepNext/>
      </w:pPr>
      <w:r>
        <w:rPr>
          <w:b/>
        </w:rPr>
        <w:lastRenderedPageBreak/>
        <w:tab/>
      </w:r>
      <w:r>
        <w:rPr>
          <w:rStyle w:val="CharDefText"/>
        </w:rPr>
        <w:t>supply address</w:t>
      </w:r>
      <w:r>
        <w:t xml:space="preserve"> means the address of the place to which gas is, or will be, supplied under a customer contract.</w:t>
      </w:r>
    </w:p>
    <w:p>
      <w:pPr>
        <w:pStyle w:val="Footnotesection"/>
      </w:pPr>
      <w:r>
        <w:tab/>
        <w:t>[Regulation 3 amended: SL 2022/104 r. 4 and 28.]</w:t>
      </w:r>
    </w:p>
    <w:p>
      <w:pPr>
        <w:pStyle w:val="Heading5"/>
      </w:pPr>
      <w:bookmarkStart w:id="10" w:name="_Toc123208681"/>
      <w:r>
        <w:rPr>
          <w:rStyle w:val="CharSectno"/>
        </w:rPr>
        <w:t>4</w:t>
      </w:r>
      <w:r>
        <w:t>.</w:t>
      </w:r>
      <w:r>
        <w:tab/>
        <w:t>Status of notes</w:t>
      </w:r>
      <w:bookmarkEnd w:id="10"/>
    </w:p>
    <w:p>
      <w:pPr>
        <w:pStyle w:val="Subsection"/>
      </w:pPr>
      <w:r>
        <w:tab/>
      </w:r>
      <w:r>
        <w:tab/>
        <w:t>Notes in these regulations are provided to assist understanding and do not form part of the regulations.</w:t>
      </w:r>
    </w:p>
    <w:p>
      <w:pPr>
        <w:pStyle w:val="Heading2"/>
      </w:pPr>
      <w:bookmarkStart w:id="11" w:name="_Toc122683862"/>
      <w:bookmarkStart w:id="12" w:name="_Toc122690154"/>
      <w:bookmarkStart w:id="13" w:name="_Toc123208682"/>
      <w:r>
        <w:rPr>
          <w:rStyle w:val="CharPartNo"/>
        </w:rPr>
        <w:lastRenderedPageBreak/>
        <w:t>Part 2</w:t>
      </w:r>
      <w:r>
        <w:t> — </w:t>
      </w:r>
      <w:r>
        <w:rPr>
          <w:rStyle w:val="CharPartText"/>
        </w:rPr>
        <w:t>Requirements for all customer contracts</w:t>
      </w:r>
      <w:bookmarkEnd w:id="11"/>
      <w:bookmarkEnd w:id="12"/>
      <w:bookmarkEnd w:id="13"/>
    </w:p>
    <w:p>
      <w:pPr>
        <w:pStyle w:val="Heading5"/>
        <w:spacing w:before="180"/>
      </w:pPr>
      <w:bookmarkStart w:id="14" w:name="_Toc123208683"/>
      <w:r>
        <w:rPr>
          <w:rStyle w:val="CharSectno"/>
        </w:rPr>
        <w:t>5</w:t>
      </w:r>
      <w:r>
        <w:t>.</w:t>
      </w:r>
      <w:r>
        <w:tab/>
        <w:t>Format and expression</w:t>
      </w:r>
      <w:bookmarkEnd w:id="14"/>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15" w:name="_Toc123208684"/>
      <w:r>
        <w:rPr>
          <w:rStyle w:val="CharSectno"/>
        </w:rPr>
        <w:t>6</w:t>
      </w:r>
      <w:r>
        <w:t>.</w:t>
      </w:r>
      <w:r>
        <w:tab/>
        <w:t>Duration of contract</w:t>
      </w:r>
      <w:bookmarkEnd w:id="15"/>
    </w:p>
    <w:p>
      <w:pPr>
        <w:pStyle w:val="Subsection"/>
      </w:pPr>
      <w:r>
        <w:tab/>
      </w:r>
      <w:r>
        <w:tab/>
        <w:t>A customer contract must specify the day on which the contract comes into effect and the period for which it has effect.</w:t>
      </w:r>
    </w:p>
    <w:p>
      <w:pPr>
        <w:pStyle w:val="Heading5"/>
        <w:spacing w:before="180"/>
      </w:pPr>
      <w:bookmarkStart w:id="16" w:name="_Toc123208685"/>
      <w:r>
        <w:rPr>
          <w:rStyle w:val="CharSectno"/>
        </w:rPr>
        <w:t>7</w:t>
      </w:r>
      <w:r>
        <w:t>.</w:t>
      </w:r>
      <w:r>
        <w:tab/>
        <w:t>Details of retailer</w:t>
      </w:r>
      <w:bookmarkEnd w:id="16"/>
    </w:p>
    <w:p>
      <w:pPr>
        <w:pStyle w:val="Subsection"/>
      </w:pPr>
      <w:r>
        <w:tab/>
      </w:r>
      <w:r>
        <w:tab/>
        <w:t>A customer contract must specify the retailer’s —</w:t>
      </w:r>
    </w:p>
    <w:p>
      <w:pPr>
        <w:pStyle w:val="Indenta"/>
      </w:pPr>
      <w:r>
        <w:tab/>
        <w:t>(a)</w:t>
      </w:r>
      <w:r>
        <w:tab/>
        <w:t>company name and business name (if different from its company name); and</w:t>
      </w:r>
    </w:p>
    <w:p>
      <w:pPr>
        <w:pStyle w:val="Indenta"/>
      </w:pPr>
      <w:r>
        <w:tab/>
        <w:t>(b)</w:t>
      </w:r>
      <w:r>
        <w:tab/>
        <w:t>Australian Business Number or Australian Company Number; and</w:t>
      </w:r>
    </w:p>
    <w:p>
      <w:pPr>
        <w:pStyle w:val="Indenta"/>
      </w:pPr>
      <w:r>
        <w:tab/>
        <w:t>(c)</w:t>
      </w:r>
      <w:r>
        <w:tab/>
        <w:t>registered office address and business address (if different from its registered office address); and</w:t>
      </w:r>
    </w:p>
    <w:p>
      <w:pPr>
        <w:pStyle w:val="Indenta"/>
      </w:pPr>
      <w:r>
        <w:tab/>
        <w:t>(d)</w:t>
      </w:r>
      <w:r>
        <w:tab/>
        <w:t>postal address; and</w:t>
      </w:r>
    </w:p>
    <w:p>
      <w:pPr>
        <w:pStyle w:val="Indenta"/>
      </w:pPr>
      <w:r>
        <w:tab/>
        <w:t>(e)</w:t>
      </w:r>
      <w:r>
        <w:tab/>
        <w:t>telephone number; and</w:t>
      </w:r>
    </w:p>
    <w:p>
      <w:pPr>
        <w:pStyle w:val="Indenta"/>
      </w:pPr>
      <w:r>
        <w:tab/>
        <w:t>(f)</w:t>
      </w:r>
      <w:r>
        <w:tab/>
        <w:t>email address; and</w:t>
      </w:r>
    </w:p>
    <w:p>
      <w:pPr>
        <w:pStyle w:val="Indenta"/>
      </w:pPr>
      <w:r>
        <w:tab/>
        <w:t>(g)</w:t>
      </w:r>
      <w:r>
        <w:tab/>
        <w:t>internet website address.</w:t>
      </w:r>
    </w:p>
    <w:p>
      <w:pPr>
        <w:pStyle w:val="Footnotesection"/>
      </w:pPr>
      <w:r>
        <w:tab/>
        <w:t>[Regulation 7 amended: SL 2022/104 r. 5.]</w:t>
      </w:r>
    </w:p>
    <w:p>
      <w:pPr>
        <w:pStyle w:val="Heading5"/>
        <w:spacing w:before="180"/>
      </w:pPr>
      <w:bookmarkStart w:id="17" w:name="_Toc123208686"/>
      <w:r>
        <w:rPr>
          <w:rStyle w:val="CharSectno"/>
        </w:rPr>
        <w:t>8</w:t>
      </w:r>
      <w:r>
        <w:t>.</w:t>
      </w:r>
      <w:r>
        <w:tab/>
        <w:t>Description of goods and services</w:t>
      </w:r>
      <w:bookmarkEnd w:id="17"/>
    </w:p>
    <w:p>
      <w:pPr>
        <w:pStyle w:val="Subsection"/>
        <w:spacing w:before="120"/>
      </w:pPr>
      <w:r>
        <w:tab/>
      </w:r>
      <w:r>
        <w:tab/>
        <w:t>A customer contract must give an exact description of the goods and services that the retailer will provide under the contract.</w:t>
      </w:r>
    </w:p>
    <w:p>
      <w:pPr>
        <w:pStyle w:val="Footnotesection"/>
      </w:pPr>
      <w:r>
        <w:tab/>
        <w:t>[Regulation 8 amended: SL 2022/104 r. 28.]</w:t>
      </w:r>
    </w:p>
    <w:p>
      <w:pPr>
        <w:pStyle w:val="Heading5"/>
        <w:spacing w:before="180"/>
      </w:pPr>
      <w:bookmarkStart w:id="18" w:name="_Toc123208687"/>
      <w:r>
        <w:rPr>
          <w:rStyle w:val="CharSectno"/>
        </w:rPr>
        <w:lastRenderedPageBreak/>
        <w:t>9</w:t>
      </w:r>
      <w:r>
        <w:t>.</w:t>
      </w:r>
      <w:r>
        <w:tab/>
        <w:t>Roles of retailer and gas distribution operator</w:t>
      </w:r>
      <w:bookmarkEnd w:id="18"/>
    </w:p>
    <w:p>
      <w:pPr>
        <w:pStyle w:val="Subsection"/>
        <w:spacing w:before="120"/>
      </w:pPr>
      <w:r>
        <w:tab/>
      </w:r>
      <w:r>
        <w:tab/>
        <w:t>A customer contract must explain the respective functions of the retailer and the gas distribution operator in relation to supply.</w:t>
      </w:r>
    </w:p>
    <w:p>
      <w:pPr>
        <w:pStyle w:val="Footnotesection"/>
      </w:pPr>
      <w:r>
        <w:tab/>
        <w:t>[Regulation 9 amended: SL 2022/104 r. 28.]</w:t>
      </w:r>
    </w:p>
    <w:p>
      <w:pPr>
        <w:pStyle w:val="Heading5"/>
      </w:pPr>
      <w:bookmarkStart w:id="19" w:name="_Toc123208688"/>
      <w:r>
        <w:rPr>
          <w:rStyle w:val="CharSectno"/>
        </w:rPr>
        <w:t>10</w:t>
      </w:r>
      <w:r>
        <w:t>.</w:t>
      </w:r>
      <w:r>
        <w:tab/>
        <w:t>Relevant codes</w:t>
      </w:r>
      <w:bookmarkEnd w:id="19"/>
    </w:p>
    <w:p>
      <w:pPr>
        <w:pStyle w:val="Subsection"/>
      </w:pPr>
      <w:r>
        <w:tab/>
      </w:r>
      <w:r>
        <w:tab/>
        <w:t xml:space="preserve">A customer contract must specify any code, standard or similar document that — </w:t>
      </w:r>
    </w:p>
    <w:p>
      <w:pPr>
        <w:pStyle w:val="Indenta"/>
      </w:pPr>
      <w:r>
        <w:tab/>
        <w:t>(a)</w:t>
      </w:r>
      <w:r>
        <w:tab/>
        <w:t>the retailer has agreed to comply with; and</w:t>
      </w:r>
    </w:p>
    <w:p>
      <w:pPr>
        <w:pStyle w:val="Indenta"/>
      </w:pPr>
      <w:r>
        <w:tab/>
        <w:t>(b)</w:t>
      </w:r>
      <w:r>
        <w:tab/>
        <w:t>is relevant to matters dealt with in the contract.</w:t>
      </w:r>
    </w:p>
    <w:p>
      <w:pPr>
        <w:pStyle w:val="Footnotesection"/>
      </w:pPr>
      <w:r>
        <w:tab/>
        <w:t>[Regulation 10 amended: SL 2022/104 r. 28.]</w:t>
      </w:r>
    </w:p>
    <w:p>
      <w:pPr>
        <w:pStyle w:val="Heading5"/>
      </w:pPr>
      <w:bookmarkStart w:id="20" w:name="_Toc123208689"/>
      <w:r>
        <w:rPr>
          <w:rStyle w:val="CharSectno"/>
        </w:rPr>
        <w:t>11</w:t>
      </w:r>
      <w:r>
        <w:t>.</w:t>
      </w:r>
      <w:r>
        <w:tab/>
        <w:t>Certain obligations of customer in relation to supply</w:t>
      </w:r>
      <w:bookmarkEnd w:id="20"/>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retailer’s permission, if the gas has been turned off by the retailer or the gas distribution operator.</w:t>
      </w:r>
    </w:p>
    <w:p>
      <w:pPr>
        <w:pStyle w:val="Footnotesection"/>
      </w:pPr>
      <w:r>
        <w:tab/>
        <w:t>[Regulation 11 amended: SL 2022/104 r. 6.]</w:t>
      </w:r>
    </w:p>
    <w:p>
      <w:pPr>
        <w:pStyle w:val="Heading5"/>
      </w:pPr>
      <w:bookmarkStart w:id="21" w:name="_Toc123208690"/>
      <w:r>
        <w:rPr>
          <w:rStyle w:val="CharSectno"/>
        </w:rPr>
        <w:t>12</w:t>
      </w:r>
      <w:r>
        <w:t>.</w:t>
      </w:r>
      <w:r>
        <w:tab/>
        <w:t>Disconnection and reconnection</w:t>
      </w:r>
      <w:bookmarkEnd w:id="21"/>
    </w:p>
    <w:p>
      <w:pPr>
        <w:pStyle w:val="Subsection"/>
      </w:pPr>
      <w:r>
        <w:tab/>
        <w:t>(1)</w:t>
      </w:r>
      <w:r>
        <w:tab/>
        <w:t xml:space="preserve">A customer contract must deal with the following matters — </w:t>
      </w:r>
    </w:p>
    <w:p>
      <w:pPr>
        <w:pStyle w:val="Indenta"/>
      </w:pPr>
      <w:r>
        <w:tab/>
        <w:t>(a)</w:t>
      </w:r>
      <w:r>
        <w:tab/>
        <w:t>the obligations of the retailer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lastRenderedPageBreak/>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retailer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(4)</w:t>
      </w:r>
      <w:r>
        <w:tab/>
        <w:t>Without limiting subregulation (1), a customer contract must require the retailer,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xml:space="preserve">) to the customer not less than 22 business days after the billing day advising the </w:t>
      </w:r>
      <w:r>
        <w:lastRenderedPageBreak/>
        <w:t>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 or</w:t>
      </w:r>
    </w:p>
    <w:p>
      <w:pPr>
        <w:pStyle w:val="Indenta"/>
      </w:pPr>
      <w:r>
        <w:tab/>
        <w:t>(b)</w:t>
      </w:r>
      <w:r>
        <w:tab/>
        <w:t>within 10 business days after disconnection for denial of access to a meter, the customer provides access to the meter; or</w:t>
      </w:r>
    </w:p>
    <w:p>
      <w:pPr>
        <w:pStyle w:val="Indenta"/>
      </w:pPr>
      <w:r>
        <w:tab/>
        <w:t>(c)</w:t>
      </w:r>
      <w:r>
        <w:tab/>
        <w:t>within 10 business days after disconnection for unlawful consumption of gas, the customer pays for the gas consumed; or</w:t>
      </w:r>
    </w:p>
    <w:p>
      <w:pPr>
        <w:pStyle w:val="Indenta"/>
      </w:pPr>
      <w:r>
        <w:tab/>
        <w:t>(d)</w:t>
      </w:r>
      <w:r>
        <w:tab/>
        <w:t>within 10 business days after disconnection for refusal to pay a security deposit, the customer pays the security deposit;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Ednotesubsection"/>
      </w:pPr>
      <w:r>
        <w:tab/>
        <w:t>[(6), (7)</w:t>
      </w:r>
      <w:r>
        <w:tab/>
        <w:t>deleted]</w:t>
      </w:r>
    </w:p>
    <w:p>
      <w:pPr>
        <w:pStyle w:val="Footnotesection"/>
      </w:pPr>
      <w:r>
        <w:tab/>
        <w:t>[Regulation 12 amended: Gazette 14 Jun 2011 p. 2132; SL 2022/104 r. 7 and 28.]</w:t>
      </w:r>
    </w:p>
    <w:p>
      <w:pPr>
        <w:pStyle w:val="Heading5"/>
      </w:pPr>
      <w:bookmarkStart w:id="22" w:name="_Toc99548013"/>
      <w:bookmarkStart w:id="23" w:name="_Toc106109517"/>
      <w:bookmarkStart w:id="24" w:name="_Toc123208691"/>
      <w:r>
        <w:rPr>
          <w:rStyle w:val="CharSectno"/>
        </w:rPr>
        <w:t>13</w:t>
      </w:r>
      <w:r>
        <w:t>.</w:t>
      </w:r>
      <w:r>
        <w:tab/>
        <w:t>Benefit changes</w:t>
      </w:r>
      <w:bookmarkEnd w:id="22"/>
      <w:bookmarkEnd w:id="23"/>
      <w:bookmarkEnd w:id="24"/>
    </w:p>
    <w:p>
      <w:pPr>
        <w:pStyle w:val="Subsection"/>
      </w:pPr>
      <w:r>
        <w:tab/>
        <w:t>(1)</w:t>
      </w:r>
      <w:r>
        <w:tab/>
        <w:t xml:space="preserve">In this regulation — </w:t>
      </w:r>
    </w:p>
    <w:p>
      <w:pPr>
        <w:pStyle w:val="Defstart"/>
      </w:pPr>
      <w:r>
        <w:tab/>
      </w:r>
      <w:r>
        <w:rPr>
          <w:rStyle w:val="CharDefText"/>
        </w:rPr>
        <w:t>benefit change</w:t>
      </w:r>
      <w:r>
        <w:t xml:space="preserve"> means a change to, or the expiry of, a benefit (such as a price discount) provided under a customer contract to </w:t>
      </w:r>
      <w:r>
        <w:lastRenderedPageBreak/>
        <w:t>the customer during a period that ends earlier than the date on which the contract will end.</w:t>
      </w:r>
    </w:p>
    <w:p>
      <w:pPr>
        <w:pStyle w:val="Subsection"/>
      </w:pPr>
      <w:r>
        <w:tab/>
        <w:t>(2)</w:t>
      </w:r>
      <w:r>
        <w:tab/>
        <w:t xml:space="preserve">If a customer contract provides for a benefit change, the contract must — </w:t>
      </w:r>
    </w:p>
    <w:p>
      <w:pPr>
        <w:pStyle w:val="Indenta"/>
      </w:pPr>
      <w:r>
        <w:tab/>
        <w:t>(a)</w:t>
      </w:r>
      <w:r>
        <w:tab/>
        <w:t xml:space="preserve">state that the retailer is required to inform the customer, not more than 40 business days and not less than 20 business days before the date of the benefit change, of — </w:t>
      </w:r>
    </w:p>
    <w:p>
      <w:pPr>
        <w:pStyle w:val="Indenti"/>
      </w:pPr>
      <w:r>
        <w:tab/>
        <w:t>(i)</w:t>
      </w:r>
      <w:r>
        <w:tab/>
        <w:t>the benefit change; and</w:t>
      </w:r>
    </w:p>
    <w:p>
      <w:pPr>
        <w:pStyle w:val="Indenti"/>
      </w:pPr>
      <w:r>
        <w:tab/>
        <w:t>(ii)</w:t>
      </w:r>
      <w:r>
        <w:tab/>
        <w:t>the options for supply available to the customer after the date of the benefit change;</w:t>
      </w:r>
    </w:p>
    <w:p>
      <w:pPr>
        <w:pStyle w:val="Indenta"/>
      </w:pPr>
      <w:r>
        <w:tab/>
      </w:r>
      <w:r>
        <w:tab/>
        <w:t>and</w:t>
      </w:r>
    </w:p>
    <w:p>
      <w:pPr>
        <w:pStyle w:val="Indenta"/>
      </w:pPr>
      <w:r>
        <w:tab/>
        <w:t>(b)</w:t>
      </w:r>
      <w:r>
        <w:tab/>
        <w:t>describe the way in which the retailer must give that information to the customer.</w:t>
      </w:r>
    </w:p>
    <w:p>
      <w:pPr>
        <w:pStyle w:val="Footnotesection"/>
      </w:pPr>
      <w:r>
        <w:tab/>
        <w:t>[Regulation 13 inserted: SL 2022/104 r. 8.]</w:t>
      </w:r>
    </w:p>
    <w:p>
      <w:pPr>
        <w:pStyle w:val="Heading5"/>
      </w:pPr>
      <w:bookmarkStart w:id="25" w:name="_Toc123208692"/>
      <w:r>
        <w:rPr>
          <w:rStyle w:val="CharSectno"/>
        </w:rPr>
        <w:t>14</w:t>
      </w:r>
      <w:r>
        <w:t>.</w:t>
      </w:r>
      <w:r>
        <w:tab/>
        <w:t>Fees and charges</w:t>
      </w:r>
      <w:bookmarkEnd w:id="25"/>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retailer;</w:t>
      </w:r>
    </w:p>
    <w:p>
      <w:pPr>
        <w:pStyle w:val="Indenta"/>
      </w:pPr>
      <w:r>
        <w:lastRenderedPageBreak/>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 xml:space="preserve">Subregulation (2)(c) does not apply to a customer contract if — </w:t>
      </w:r>
    </w:p>
    <w:p>
      <w:pPr>
        <w:pStyle w:val="Indenta"/>
      </w:pPr>
      <w:r>
        <w:tab/>
        <w:t>(a)</w:t>
      </w:r>
      <w:r>
        <w:tab/>
        <w:t>the customer and the retailer agree that the supply charge is to be determined by a method that does not comply with that paragraph; and</w:t>
      </w:r>
    </w:p>
    <w:p>
      <w:pPr>
        <w:pStyle w:val="Indenta"/>
      </w:pPr>
      <w:r>
        <w:tab/>
        <w:t>(b)</w:t>
      </w:r>
      <w:r>
        <w:tab/>
        <w:t>the method to be used for determining the supply charge is described in the customer contract.</w:t>
      </w:r>
    </w:p>
    <w:p>
      <w:pPr>
        <w:pStyle w:val="Subsection"/>
      </w:pPr>
      <w:r>
        <w:tab/>
        <w:t>(4)</w:t>
      </w:r>
      <w:r>
        <w:tab/>
        <w:t xml:space="preserve">A customer contract must describe the way in which the retailer — </w:t>
      </w:r>
    </w:p>
    <w:p>
      <w:pPr>
        <w:pStyle w:val="Indenta"/>
      </w:pPr>
      <w:r>
        <w:tab/>
        <w:t>(a)</w:t>
      </w:r>
      <w:r>
        <w:tab/>
        <w:t>publishes its supply charges; and</w:t>
      </w:r>
    </w:p>
    <w:p>
      <w:pPr>
        <w:pStyle w:val="Indenta"/>
      </w:pPr>
      <w:r>
        <w:tab/>
        <w:t>(b)</w:t>
      </w:r>
      <w:r>
        <w:tab/>
        <w:t>gives notice of variations to its supply charges.</w:t>
      </w:r>
    </w:p>
    <w:p>
      <w:pPr>
        <w:pStyle w:val="Footnotesection"/>
      </w:pPr>
      <w:r>
        <w:tab/>
        <w:t>[Regulation 14 amended: SL 2022/104 r. 9 and 28.]</w:t>
      </w:r>
    </w:p>
    <w:p>
      <w:pPr>
        <w:pStyle w:val="Heading5"/>
      </w:pPr>
      <w:bookmarkStart w:id="26" w:name="_Toc99548016"/>
      <w:bookmarkStart w:id="27" w:name="_Toc106109520"/>
      <w:bookmarkStart w:id="28" w:name="_Toc123208693"/>
      <w:r>
        <w:rPr>
          <w:rStyle w:val="CharSectno"/>
        </w:rPr>
        <w:t>15</w:t>
      </w:r>
      <w:r>
        <w:t>.</w:t>
      </w:r>
      <w:r>
        <w:tab/>
        <w:t>Billing</w:t>
      </w:r>
      <w:bookmarkEnd w:id="26"/>
      <w:bookmarkEnd w:id="27"/>
      <w:bookmarkEnd w:id="28"/>
    </w:p>
    <w:p>
      <w:pPr>
        <w:pStyle w:val="Subsection"/>
      </w:pPr>
      <w:r>
        <w:tab/>
      </w:r>
      <w:r>
        <w:tab/>
        <w:t>A customer contract must describe the procedures to be followed by the retailer in relation to the preparation, issue and review of the customer’s bills.</w:t>
      </w:r>
    </w:p>
    <w:p>
      <w:pPr>
        <w:pStyle w:val="Footnotesection"/>
      </w:pPr>
      <w:r>
        <w:tab/>
        <w:t>[Regulation 15 inserted: SL 2022/104 r. 10.]</w:t>
      </w:r>
    </w:p>
    <w:p>
      <w:pPr>
        <w:pStyle w:val="Heading5"/>
      </w:pPr>
      <w:bookmarkStart w:id="29" w:name="_Toc123208694"/>
      <w:r>
        <w:rPr>
          <w:rStyle w:val="CharSectno"/>
        </w:rPr>
        <w:t>16</w:t>
      </w:r>
      <w:r>
        <w:t>.</w:t>
      </w:r>
      <w:r>
        <w:tab/>
        <w:t>Termination</w:t>
      </w:r>
      <w:bookmarkEnd w:id="29"/>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keepNext/>
      </w:pPr>
      <w:r>
        <w:lastRenderedPageBreak/>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retailer to terminate the contract if the customer commits a breach of the contract (other than a substantial breach referred to in subregulation (2)(d)) unless — </w:t>
      </w:r>
    </w:p>
    <w:p>
      <w:pPr>
        <w:pStyle w:val="Indenta"/>
      </w:pPr>
      <w:r>
        <w:tab/>
        <w:t>(a)</w:t>
      </w:r>
      <w:r>
        <w:tab/>
        <w:t>the retailer has a right to disconnect supply under the contract, a written law or a relevant code; and</w:t>
      </w:r>
    </w:p>
    <w:p>
      <w:pPr>
        <w:pStyle w:val="Indenta"/>
      </w:pPr>
      <w:r>
        <w:tab/>
        <w:t>(b)</w:t>
      </w:r>
      <w:r>
        <w:tab/>
        <w:t>the retailer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retailer or the customer does not have effect until — </w:t>
      </w:r>
    </w:p>
    <w:p>
      <w:pPr>
        <w:pStyle w:val="Indenta"/>
      </w:pPr>
      <w:r>
        <w:tab/>
        <w:t>(a)</w:t>
      </w:r>
      <w:r>
        <w:tab/>
        <w:t>in the case of termination because the customer has entered into another customer contract with the retailer, the cooling</w:t>
      </w:r>
      <w:r>
        <w:noBreakHyphen/>
        <w:t>off period (if any) for that other contract expires;</w:t>
      </w:r>
    </w:p>
    <w:p>
      <w:pPr>
        <w:pStyle w:val="Indenta"/>
      </w:pPr>
      <w:r>
        <w:tab/>
        <w:t>(b)</w:t>
      </w:r>
      <w:r>
        <w:tab/>
        <w:t>in the case of termination because the customer has entered into a customer contract with another retailer, the customer is transferred to the other retailer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lastRenderedPageBreak/>
        <w:tab/>
        <w:t>(5)</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 on the day on which the contract ends;</w:t>
      </w:r>
    </w:p>
    <w:p>
      <w:pPr>
        <w:pStyle w:val="Indenta"/>
      </w:pPr>
      <w:r>
        <w:tab/>
        <w:t>(b)</w:t>
      </w:r>
      <w:r>
        <w:tab/>
        <w:t>the retailer may issue a final bill to the customer;</w:t>
      </w:r>
    </w:p>
    <w:p>
      <w:pPr>
        <w:pStyle w:val="Indenta"/>
      </w:pPr>
      <w:r>
        <w:tab/>
        <w:t>(c)</w:t>
      </w:r>
      <w:r>
        <w:tab/>
        <w:t>the retailer may, subject to the provisions of any written law or relevant code, charge the customer a fee for the final meter reading, disconnection and final bill;</w:t>
      </w:r>
    </w:p>
    <w:p>
      <w:pPr>
        <w:pStyle w:val="Indenta"/>
      </w:pPr>
      <w:r>
        <w:tab/>
        <w:t>(d)</w:t>
      </w:r>
      <w:r>
        <w:tab/>
        <w:t>the retailer or gas distribution operator may remove any network equipment at any time after the day on which the contract ends;</w:t>
      </w:r>
    </w:p>
    <w:p>
      <w:pPr>
        <w:pStyle w:val="Indenta"/>
      </w:pPr>
      <w:r>
        <w:tab/>
        <w:t>(e)</w:t>
      </w:r>
      <w:r>
        <w:tab/>
        <w:t>the customer must allow the retailer or gas distribution operator safe and unrestricted access to the supply address for the purpose of removing network equipment; and</w:t>
      </w:r>
    </w:p>
    <w:p>
      <w:pPr>
        <w:pStyle w:val="Indenta"/>
      </w:pPr>
      <w:r>
        <w:tab/>
        <w:t>(f)</w:t>
      </w:r>
      <w:r>
        <w:tab/>
        <w:t>if the customer wants the retailer to again supply gas to the customer, the customer must enter into a new customer contract with the retailer.</w:t>
      </w:r>
    </w:p>
    <w:p>
      <w:pPr>
        <w:pStyle w:val="Footnotesection"/>
      </w:pPr>
      <w:r>
        <w:tab/>
        <w:t>[Regulation 16 amended: Gazette 13 May 2005 p. 2074; SL 2022/104 r. 28.]</w:t>
      </w:r>
    </w:p>
    <w:p>
      <w:pPr>
        <w:pStyle w:val="Heading5"/>
      </w:pPr>
      <w:bookmarkStart w:id="30" w:name="_Toc123208695"/>
      <w:r>
        <w:rPr>
          <w:rStyle w:val="CharSectno"/>
        </w:rPr>
        <w:t>17</w:t>
      </w:r>
      <w:r>
        <w:t>.</w:t>
      </w:r>
      <w:r>
        <w:tab/>
        <w:t>Amendment of contract</w:t>
      </w:r>
      <w:bookmarkEnd w:id="30"/>
    </w:p>
    <w:p>
      <w:pPr>
        <w:pStyle w:val="Subsection"/>
      </w:pPr>
      <w:r>
        <w:tab/>
        <w:t>(1)</w:t>
      </w:r>
      <w:r>
        <w:tab/>
        <w:t>A standard form contract must inform the customer that the provisions of the contract may be amended without the customer’s consent.</w:t>
      </w:r>
    </w:p>
    <w:p>
      <w:pPr>
        <w:pStyle w:val="Subsection"/>
      </w:pPr>
      <w:r>
        <w:tab/>
        <w:t>(1A)</w:t>
      </w:r>
      <w:r>
        <w:tab/>
        <w:t>A non</w:t>
      </w:r>
      <w:r>
        <w:noBreakHyphen/>
        <w:t>standard contract must inform the customer that the provisions of the contract may be amended without the customer’s consent to the extent that the amendment is required for the contract to remain consistent with a written law or a relevant code.</w:t>
      </w:r>
    </w:p>
    <w:p>
      <w:pPr>
        <w:pStyle w:val="Subsection"/>
        <w:keepNext/>
      </w:pPr>
      <w:r>
        <w:lastRenderedPageBreak/>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Footnotesection"/>
      </w:pPr>
      <w:r>
        <w:tab/>
        <w:t>[Regulation 17 amended: SL 2022/104 r. 11.]</w:t>
      </w:r>
    </w:p>
    <w:p>
      <w:pPr>
        <w:pStyle w:val="Heading5"/>
      </w:pPr>
      <w:bookmarkStart w:id="31" w:name="_Toc123208696"/>
      <w:r>
        <w:rPr>
          <w:rStyle w:val="CharSectno"/>
        </w:rPr>
        <w:t>18</w:t>
      </w:r>
      <w:r>
        <w:t>.</w:t>
      </w:r>
      <w:r>
        <w:tab/>
        <w:t>Assignment</w:t>
      </w:r>
      <w:bookmarkEnd w:id="31"/>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Footnotesection"/>
      </w:pPr>
      <w:r>
        <w:tab/>
        <w:t>[Regulation 18 amended: SL 2022/104 r. 28.]</w:t>
      </w:r>
    </w:p>
    <w:p>
      <w:pPr>
        <w:pStyle w:val="Heading5"/>
      </w:pPr>
      <w:bookmarkStart w:id="32" w:name="_Toc123208697"/>
      <w:r>
        <w:rPr>
          <w:rStyle w:val="CharSectno"/>
        </w:rPr>
        <w:t>19</w:t>
      </w:r>
      <w:r>
        <w:t>.</w:t>
      </w:r>
      <w:r>
        <w:tab/>
        <w:t>Information</w:t>
      </w:r>
      <w:bookmarkEnd w:id="32"/>
    </w:p>
    <w:p>
      <w:pPr>
        <w:pStyle w:val="Subsection"/>
      </w:pPr>
      <w:r>
        <w:tab/>
      </w:r>
      <w:r>
        <w:tab/>
        <w:t xml:space="preserve">A customer contract must require the retailer to make the following information available to the customer if the customer requests it — </w:t>
      </w:r>
    </w:p>
    <w:p>
      <w:pPr>
        <w:pStyle w:val="Ednotepara"/>
        <w:spacing w:before="60"/>
        <w:ind w:left="1610" w:hanging="1610"/>
      </w:pPr>
      <w:r>
        <w:tab/>
        <w:t>[(a)</w:t>
      </w:r>
      <w:r>
        <w:tab/>
        <w:t>deleted]</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pPr>
      <w:r>
        <w:lastRenderedPageBreak/>
        <w:tab/>
        <w:t>Notes for this regulation:</w:t>
      </w:r>
    </w:p>
    <w:p>
      <w:pPr>
        <w:pStyle w:val="PermNoteText"/>
      </w:pPr>
      <w:r>
        <w:tab/>
        <w:t>1.</w:t>
      </w:r>
      <w:r>
        <w:tab/>
        <w:t>Regulation 46 sets out standards of service to be met by a retailer in relation to providing copies of these regulations or a relevant code.</w:t>
      </w:r>
    </w:p>
    <w:p>
      <w:pPr>
        <w:pStyle w:val="PermNoteText"/>
      </w:pPr>
      <w:r>
        <w:tab/>
        <w:t>2.</w:t>
      </w:r>
      <w:r>
        <w:tab/>
        <w:t>Regulation 47 sets out standards of service to be met by a retailer in relation to the provision of billing data.</w:t>
      </w:r>
    </w:p>
    <w:p>
      <w:pPr>
        <w:pStyle w:val="Footnotesection"/>
      </w:pPr>
      <w:r>
        <w:tab/>
        <w:t>[Regulation 19 amended: SL 2022/104 r. 12 and 28.]</w:t>
      </w:r>
    </w:p>
    <w:p>
      <w:pPr>
        <w:pStyle w:val="Heading5"/>
      </w:pPr>
      <w:bookmarkStart w:id="33" w:name="_Toc123208698"/>
      <w:r>
        <w:rPr>
          <w:rStyle w:val="CharSectno"/>
        </w:rPr>
        <w:t>20</w:t>
      </w:r>
      <w:r>
        <w:t>.</w:t>
      </w:r>
      <w:r>
        <w:tab/>
        <w:t>Payment difficulties and debt recovery</w:t>
      </w:r>
      <w:bookmarkEnd w:id="33"/>
    </w:p>
    <w:p>
      <w:pPr>
        <w:pStyle w:val="Subsection"/>
      </w:pPr>
      <w:r>
        <w:tab/>
        <w:t>(1)</w:t>
      </w:r>
      <w:r>
        <w:tab/>
        <w:t>A customer contract must set out the procedures to be followed by the retailer and the customer if the customer has difficulty paying a bill.</w:t>
      </w:r>
    </w:p>
    <w:p>
      <w:pPr>
        <w:pStyle w:val="Ednotesubsection"/>
      </w:pPr>
      <w:r>
        <w:tab/>
        <w:t>[(2)</w:t>
      </w:r>
      <w:r>
        <w:tab/>
        <w:t>deleted]</w:t>
      </w:r>
    </w:p>
    <w:p>
      <w:pPr>
        <w:pStyle w:val="Subsection"/>
      </w:pPr>
      <w:r>
        <w:tab/>
        <w:t>(3)</w:t>
      </w:r>
      <w:r>
        <w:tab/>
        <w:t>A customer contract must set out the procedures to be followed by the retailer in relation to debt collection.</w:t>
      </w:r>
    </w:p>
    <w:p>
      <w:pPr>
        <w:pStyle w:val="PermNoteHeading"/>
      </w:pPr>
      <w:r>
        <w:tab/>
        <w:t>Note for this regulation:</w:t>
      </w:r>
    </w:p>
    <w:p>
      <w:pPr>
        <w:pStyle w:val="PermNoteText"/>
      </w:pPr>
      <w:r>
        <w:tab/>
      </w:r>
      <w:r>
        <w:tab/>
        <w:t>Regulation 48 sets out standards of service to be met by a retailer in relation to debt collection.</w:t>
      </w:r>
    </w:p>
    <w:p>
      <w:pPr>
        <w:pStyle w:val="Footnotesection"/>
      </w:pPr>
      <w:r>
        <w:tab/>
        <w:t>[Regulation 20 amended: SL 2022/104 r. 13 and 28.]</w:t>
      </w:r>
    </w:p>
    <w:p>
      <w:pPr>
        <w:pStyle w:val="Heading5"/>
      </w:pPr>
      <w:bookmarkStart w:id="34" w:name="_Toc99548021"/>
      <w:bookmarkStart w:id="35" w:name="_Toc106109525"/>
      <w:bookmarkStart w:id="36" w:name="_Toc123208699"/>
      <w:r>
        <w:rPr>
          <w:rStyle w:val="CharSectno"/>
        </w:rPr>
        <w:t>21</w:t>
      </w:r>
      <w:r>
        <w:t>.</w:t>
      </w:r>
      <w:r>
        <w:tab/>
        <w:t>Complaints</w:t>
      </w:r>
      <w:bookmarkEnd w:id="34"/>
      <w:bookmarkEnd w:id="35"/>
      <w:bookmarkEnd w:id="36"/>
    </w:p>
    <w:p>
      <w:pPr>
        <w:pStyle w:val="Subsection"/>
      </w:pPr>
      <w:r>
        <w:tab/>
      </w:r>
      <w:r>
        <w:tab/>
        <w:t>A customer contract must describe the procedures to be followed by the retailer in responding to a complaint made by the customer.</w:t>
      </w:r>
    </w:p>
    <w:p>
      <w:pPr>
        <w:pStyle w:val="Footnotesection"/>
      </w:pPr>
      <w:bookmarkStart w:id="37" w:name="_Toc99548022"/>
      <w:bookmarkStart w:id="38" w:name="_Toc106109526"/>
      <w:r>
        <w:tab/>
        <w:t>[Regulation 21 inserted: SL 2022/104 r. 14.]</w:t>
      </w:r>
    </w:p>
    <w:p>
      <w:pPr>
        <w:pStyle w:val="Heading5"/>
      </w:pPr>
      <w:bookmarkStart w:id="39" w:name="_Toc123208700"/>
      <w:r>
        <w:rPr>
          <w:rStyle w:val="CharSectno"/>
        </w:rPr>
        <w:t>22</w:t>
      </w:r>
      <w:r>
        <w:t>.</w:t>
      </w:r>
      <w:r>
        <w:tab/>
        <w:t>Confidentiality</w:t>
      </w:r>
      <w:bookmarkEnd w:id="37"/>
      <w:bookmarkEnd w:id="38"/>
      <w:bookmarkEnd w:id="39"/>
    </w:p>
    <w:p>
      <w:pPr>
        <w:pStyle w:val="Subsection"/>
      </w:pPr>
      <w:r>
        <w:tab/>
        <w:t>(1)</w:t>
      </w:r>
      <w:r>
        <w:tab/>
        <w:t>A customer contract must specify the steps that are to be taken by the retailer to ensure that information held by the retailer about the customer is dealt with in a confidential manner.</w:t>
      </w:r>
    </w:p>
    <w:p>
      <w:pPr>
        <w:pStyle w:val="Subsection"/>
      </w:pPr>
      <w:r>
        <w:tab/>
        <w:t>(2)</w:t>
      </w:r>
      <w:r>
        <w:tab/>
        <w:t xml:space="preserve">A customer contract complies with subregulation (1) if the contract specifies — </w:t>
      </w:r>
    </w:p>
    <w:p>
      <w:pPr>
        <w:pStyle w:val="Indenta"/>
      </w:pPr>
      <w:r>
        <w:tab/>
        <w:t>(a)</w:t>
      </w:r>
      <w:r>
        <w:tab/>
        <w:t xml:space="preserve">that the retailer has a privacy policy that sets out the steps that are to be taken by the retailer to ensure that </w:t>
      </w:r>
      <w:r>
        <w:lastRenderedPageBreak/>
        <w:t>information held by the retailer about the customer is dealt with in a confidential manner; and</w:t>
      </w:r>
    </w:p>
    <w:p>
      <w:pPr>
        <w:pStyle w:val="Indenta"/>
      </w:pPr>
      <w:r>
        <w:tab/>
        <w:t>(b)</w:t>
      </w:r>
      <w:r>
        <w:tab/>
        <w:t>the way in which the customer may obtain a copy of the retailer’s privacy policy without charge.</w:t>
      </w:r>
    </w:p>
    <w:p>
      <w:pPr>
        <w:pStyle w:val="PermNoteHeading"/>
      </w:pPr>
      <w:r>
        <w:tab/>
        <w:t>Note for this regulation:</w:t>
      </w:r>
    </w:p>
    <w:p>
      <w:pPr>
        <w:pStyle w:val="PermNoteText"/>
      </w:pPr>
      <w:r>
        <w:tab/>
      </w:r>
      <w:r>
        <w:tab/>
        <w:t>Regulation 49 sets out standards of service to be met by a retailer in relation to dealing with information about a customer’s failure to pay a bill.</w:t>
      </w:r>
    </w:p>
    <w:p>
      <w:pPr>
        <w:pStyle w:val="Footnotesection"/>
      </w:pPr>
      <w:r>
        <w:tab/>
        <w:t>[Regulation 22 inserted: SL 2022/104 r. 14.]</w:t>
      </w:r>
    </w:p>
    <w:p>
      <w:pPr>
        <w:pStyle w:val="Heading5"/>
      </w:pPr>
      <w:bookmarkStart w:id="40" w:name="_Toc123208701"/>
      <w:r>
        <w:rPr>
          <w:rStyle w:val="CharSectno"/>
        </w:rPr>
        <w:t>23</w:t>
      </w:r>
      <w:r>
        <w:t>.</w:t>
      </w:r>
      <w:r>
        <w:tab/>
        <w:t>Miscellaneous provisions</w:t>
      </w:r>
      <w:bookmarkEnd w:id="40"/>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Footnotesection"/>
      </w:pPr>
      <w:r>
        <w:tab/>
        <w:t>[Regulation 23 amended: SL 2022/104 r. 28.]</w:t>
      </w:r>
    </w:p>
    <w:p>
      <w:pPr>
        <w:pStyle w:val="Heading5"/>
      </w:pPr>
      <w:bookmarkStart w:id="41" w:name="_Toc123208702"/>
      <w:r>
        <w:rPr>
          <w:rStyle w:val="CharSectno"/>
        </w:rPr>
        <w:t>24</w:t>
      </w:r>
      <w:r>
        <w:t>.</w:t>
      </w:r>
      <w:r>
        <w:tab/>
        <w:t>Compliance with standards of service</w:t>
      </w:r>
      <w:bookmarkEnd w:id="41"/>
    </w:p>
    <w:p>
      <w:pPr>
        <w:pStyle w:val="Subsection"/>
        <w:spacing w:before="120"/>
      </w:pPr>
      <w:r>
        <w:tab/>
      </w:r>
      <w:r>
        <w:tab/>
        <w:t>A customer contract must require the retailer to comply with the standards of service set out in Part 5.</w:t>
      </w:r>
    </w:p>
    <w:p>
      <w:pPr>
        <w:pStyle w:val="Footnotesection"/>
      </w:pPr>
      <w:r>
        <w:tab/>
        <w:t>[Regulation 24 amended: SL 2022/104 r. 28.]</w:t>
      </w:r>
    </w:p>
    <w:p>
      <w:pPr>
        <w:pStyle w:val="Heading5"/>
        <w:keepNext w:val="0"/>
      </w:pPr>
      <w:bookmarkStart w:id="42" w:name="_Toc123208703"/>
      <w:r>
        <w:rPr>
          <w:rStyle w:val="CharSectno"/>
        </w:rPr>
        <w:t>25</w:t>
      </w:r>
      <w:r>
        <w:t>.</w:t>
      </w:r>
      <w:r>
        <w:tab/>
        <w:t>No contracting out of Code of Conduct</w:t>
      </w:r>
      <w:bookmarkEnd w:id="42"/>
    </w:p>
    <w:p>
      <w:pPr>
        <w:pStyle w:val="Subsection"/>
      </w:pPr>
      <w:r>
        <w:tab/>
        <w:t>(1)</w:t>
      </w:r>
      <w:r>
        <w:tab/>
        <w:t>A customer contract must not include a provision that purports to exclude, restrict or modify the effect of the Code of Conduct.</w:t>
      </w:r>
    </w:p>
    <w:p>
      <w:pPr>
        <w:pStyle w:val="Subsection"/>
        <w:keepLines/>
      </w:pPr>
      <w:r>
        <w:tab/>
        <w:t>(2)</w:t>
      </w:r>
      <w:r>
        <w:tab/>
        <w:t>A provision of the kind described in subregulation (1) is of no effect.</w:t>
      </w:r>
    </w:p>
    <w:p>
      <w:pPr>
        <w:pStyle w:val="Heading5"/>
        <w:spacing w:before="180"/>
      </w:pPr>
      <w:bookmarkStart w:id="43" w:name="_Toc123208704"/>
      <w:r>
        <w:rPr>
          <w:rStyle w:val="CharSectno"/>
        </w:rPr>
        <w:lastRenderedPageBreak/>
        <w:t>25A</w:t>
      </w:r>
      <w:r>
        <w:t>.</w:t>
      </w:r>
      <w:r>
        <w:tab/>
        <w:t>Effect of last resort supply arrangements</w:t>
      </w:r>
      <w:bookmarkEnd w:id="43"/>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 Gazette 13 May 2005 p. 2074</w:t>
      </w:r>
      <w:r>
        <w:noBreakHyphen/>
        <w:t>5; amended: SL 2022/104 r. 28.]</w:t>
      </w:r>
    </w:p>
    <w:p>
      <w:pPr>
        <w:pStyle w:val="Heading5"/>
      </w:pPr>
      <w:bookmarkStart w:id="44" w:name="_Toc123208705"/>
      <w:r>
        <w:rPr>
          <w:rStyle w:val="CharSectno"/>
        </w:rPr>
        <w:lastRenderedPageBreak/>
        <w:t>25B</w:t>
      </w:r>
      <w:r>
        <w:t>.</w:t>
      </w:r>
      <w:r>
        <w:tab/>
        <w:t>Heating value for determining charges for supply of gas</w:t>
      </w:r>
      <w:bookmarkEnd w:id="44"/>
    </w:p>
    <w:p>
      <w:pPr>
        <w:pStyle w:val="Subsection"/>
        <w:keepNext/>
      </w:pPr>
      <w:r>
        <w:tab/>
        <w:t>(1)</w:t>
      </w:r>
      <w:r>
        <w:tab/>
        <w:t xml:space="preserve">In subregulation (2) — </w:t>
      </w:r>
    </w:p>
    <w:p>
      <w:pPr>
        <w:pStyle w:val="Defstart"/>
      </w:pPr>
      <w:r>
        <w:tab/>
      </w:r>
      <w:r>
        <w:rPr>
          <w:rStyle w:val="CharDefText"/>
        </w:rPr>
        <w:t xml:space="preserve">determined heating value </w:t>
      </w:r>
      <w:r>
        <w:t xml:space="preserve">and </w:t>
      </w:r>
      <w:r>
        <w:rPr>
          <w:rStyle w:val="CharDefText"/>
        </w:rPr>
        <w:t>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Gazette 27 Jan 2009 p. 178</w:t>
      </w:r>
      <w:r>
        <w:noBreakHyphen/>
        <w:t>9.]</w:t>
      </w:r>
    </w:p>
    <w:p>
      <w:pPr>
        <w:pStyle w:val="Heading2"/>
      </w:pPr>
      <w:bookmarkStart w:id="45" w:name="_Toc122683886"/>
      <w:bookmarkStart w:id="46" w:name="_Toc122690178"/>
      <w:bookmarkStart w:id="47" w:name="_Toc123208706"/>
      <w:r>
        <w:rPr>
          <w:rStyle w:val="CharPartNo"/>
        </w:rPr>
        <w:lastRenderedPageBreak/>
        <w:t>Part 3</w:t>
      </w:r>
      <w:r>
        <w:t> — </w:t>
      </w:r>
      <w:r>
        <w:rPr>
          <w:rStyle w:val="CharPartText"/>
        </w:rPr>
        <w:t>Specific requirements for standard form contracts</w:t>
      </w:r>
      <w:bookmarkEnd w:id="45"/>
      <w:bookmarkEnd w:id="46"/>
      <w:bookmarkEnd w:id="47"/>
    </w:p>
    <w:p>
      <w:pPr>
        <w:pStyle w:val="Heading3"/>
      </w:pPr>
      <w:bookmarkStart w:id="48" w:name="_Toc99116211"/>
      <w:bookmarkStart w:id="49" w:name="_Toc99117293"/>
      <w:bookmarkStart w:id="50" w:name="_Toc99349269"/>
      <w:bookmarkStart w:id="51" w:name="_Toc99544561"/>
      <w:bookmarkStart w:id="52" w:name="_Toc99548024"/>
      <w:bookmarkStart w:id="53" w:name="_Toc106109528"/>
      <w:bookmarkStart w:id="54" w:name="_Toc122690179"/>
      <w:bookmarkStart w:id="55" w:name="_Toc123208707"/>
      <w:r>
        <w:rPr>
          <w:rStyle w:val="CharDivNo"/>
        </w:rPr>
        <w:t>Division 1</w:t>
      </w:r>
      <w:r>
        <w:t> — </w:t>
      </w:r>
      <w:r>
        <w:rPr>
          <w:rStyle w:val="CharDivText"/>
        </w:rPr>
        <w:t>Requirements for all standard form contracts</w:t>
      </w:r>
      <w:bookmarkEnd w:id="48"/>
      <w:bookmarkEnd w:id="49"/>
      <w:bookmarkEnd w:id="50"/>
      <w:bookmarkEnd w:id="51"/>
      <w:bookmarkEnd w:id="52"/>
      <w:bookmarkEnd w:id="53"/>
      <w:bookmarkEnd w:id="54"/>
      <w:bookmarkEnd w:id="55"/>
    </w:p>
    <w:p>
      <w:pPr>
        <w:pStyle w:val="Footnoteheading"/>
        <w:spacing w:before="100"/>
      </w:pPr>
      <w:r>
        <w:tab/>
        <w:t>[Heading inserted: SL 2022/104 r. 15.]</w:t>
      </w:r>
    </w:p>
    <w:p>
      <w:pPr>
        <w:pStyle w:val="Heading5"/>
      </w:pPr>
      <w:bookmarkStart w:id="56" w:name="_Toc123208708"/>
      <w:r>
        <w:rPr>
          <w:rStyle w:val="CharSectno"/>
        </w:rPr>
        <w:t>26</w:t>
      </w:r>
      <w:r>
        <w:t>.</w:t>
      </w:r>
      <w:r>
        <w:tab/>
        <w:t>Period for which contract has effect</w:t>
      </w:r>
      <w:bookmarkEnd w:id="56"/>
    </w:p>
    <w:p>
      <w:pPr>
        <w:pStyle w:val="Subsection"/>
      </w:pPr>
      <w:r>
        <w:tab/>
      </w:r>
      <w:r>
        <w:tab/>
        <w:t>A standard form contract must be expressed to have effect for a definite period.</w:t>
      </w:r>
    </w:p>
    <w:p>
      <w:pPr>
        <w:pStyle w:val="Heading5"/>
      </w:pPr>
      <w:bookmarkStart w:id="57" w:name="_Toc99548026"/>
      <w:bookmarkStart w:id="58" w:name="_Toc106109530"/>
      <w:bookmarkStart w:id="59" w:name="_Toc123208709"/>
      <w:r>
        <w:rPr>
          <w:rStyle w:val="CharSectno"/>
        </w:rPr>
        <w:t>27</w:t>
      </w:r>
      <w:r>
        <w:t>.</w:t>
      </w:r>
      <w:r>
        <w:tab/>
        <w:t>Acceptable identification</w:t>
      </w:r>
      <w:bookmarkEnd w:id="57"/>
      <w:bookmarkEnd w:id="58"/>
      <w:bookmarkEnd w:id="59"/>
    </w:p>
    <w:p>
      <w:pPr>
        <w:pStyle w:val="Subsection"/>
      </w:pPr>
      <w:r>
        <w:tab/>
        <w:t>(1)</w:t>
      </w:r>
      <w:r>
        <w:tab/>
        <w:t xml:space="preserve">In this regulation — </w:t>
      </w:r>
    </w:p>
    <w:p>
      <w:pPr>
        <w:pStyle w:val="Defstart"/>
      </w:pPr>
      <w:r>
        <w:tab/>
      </w:r>
      <w:r>
        <w:rPr>
          <w:rStyle w:val="CharDefText"/>
        </w:rPr>
        <w:t>acceptable identification</w:t>
      </w:r>
      <w:r>
        <w:t xml:space="preserve">, in relation to — </w:t>
      </w:r>
    </w:p>
    <w:p>
      <w:pPr>
        <w:pStyle w:val="Defpara"/>
      </w:pPr>
      <w:r>
        <w:tab/>
        <w:t>(a)</w:t>
      </w:r>
      <w:r>
        <w:tab/>
        <w:t xml:space="preserve">a customer who is an individual — means any of the following — </w:t>
      </w:r>
    </w:p>
    <w:p>
      <w:pPr>
        <w:pStyle w:val="Defsubpara"/>
      </w:pPr>
      <w:r>
        <w:tab/>
        <w:t>(i)</w:t>
      </w:r>
      <w:r>
        <w:tab/>
        <w:t>a driver’s licence, a current passport or another form of photographic evidence;</w:t>
      </w:r>
    </w:p>
    <w:p>
      <w:pPr>
        <w:pStyle w:val="Defsubpara"/>
      </w:pPr>
      <w:r>
        <w:tab/>
        <w:t>(ii)</w:t>
      </w:r>
      <w:r>
        <w:tab/>
        <w:t>a pensioner concession card or other entitlement card issued by or on behalf of the Commonwealth or a State or Territory;</w:t>
      </w:r>
    </w:p>
    <w:p>
      <w:pPr>
        <w:pStyle w:val="Defsubpara"/>
      </w:pPr>
      <w:r>
        <w:tab/>
        <w:t>(iii)</w:t>
      </w:r>
      <w:r>
        <w:tab/>
        <w:t>a birth certificate;</w:t>
      </w:r>
    </w:p>
    <w:p>
      <w:pPr>
        <w:pStyle w:val="Defpara"/>
      </w:pPr>
      <w:r>
        <w:tab/>
      </w:r>
      <w:r>
        <w:tab/>
        <w:t>or</w:t>
      </w:r>
    </w:p>
    <w:p>
      <w:pPr>
        <w:pStyle w:val="Defpara"/>
      </w:pPr>
      <w:r>
        <w:tab/>
        <w:t>(b)</w:t>
      </w:r>
      <w:r>
        <w:tab/>
        <w:t>a customer that is a sole trader or a partnership comprising individuals — means any of the forms of identification in paragraph (a) for at least 1 of the individuals who conduct the business or enterprise concerned; or</w:t>
      </w:r>
    </w:p>
    <w:p>
      <w:pPr>
        <w:pStyle w:val="Defpara"/>
      </w:pPr>
      <w:r>
        <w:tab/>
        <w:t>(c)</w:t>
      </w:r>
      <w:r>
        <w:tab/>
        <w:t>a customer that is a body corporate or a partnership comprising bodies corporate — means the Australian Company Number or Australian Business Number of each body corporate that conducts the business or enterprise concerned; or</w:t>
      </w:r>
    </w:p>
    <w:p>
      <w:pPr>
        <w:pStyle w:val="Defpara"/>
      </w:pPr>
      <w:r>
        <w:lastRenderedPageBreak/>
        <w:tab/>
        <w:t>(d)</w:t>
      </w:r>
      <w:r>
        <w:tab/>
        <w:t xml:space="preserve">a customer that is a partnership comprising 1 or more individuals and 1 or more bodies corporate means — </w:t>
      </w:r>
    </w:p>
    <w:p>
      <w:pPr>
        <w:pStyle w:val="Defsubpara"/>
      </w:pPr>
      <w:r>
        <w:tab/>
        <w:t>(i)</w:t>
      </w:r>
      <w:r>
        <w:tab/>
        <w:t>any of the forms of identification in paragraph (a) for at least 1 of the individuals who conduct the business or enterprise concerned; and</w:t>
      </w:r>
    </w:p>
    <w:p>
      <w:pPr>
        <w:pStyle w:val="Defsubpara"/>
      </w:pPr>
      <w:r>
        <w:tab/>
        <w:t>(ii)</w:t>
      </w:r>
      <w:r>
        <w:tab/>
        <w:t>the Australian Company Number or Australian Business Number of each body corporate that conducts the business or enterprise concerned.</w:t>
      </w:r>
    </w:p>
    <w:p>
      <w:pPr>
        <w:pStyle w:val="Subsection"/>
      </w:pPr>
      <w:r>
        <w:tab/>
        <w:t>(2)</w:t>
      </w:r>
      <w:r>
        <w:tab/>
        <w:t>A retailer may require the customer to provide acceptable identification as a precondition to entering into a standard form contract with the customer.</w:t>
      </w:r>
    </w:p>
    <w:p>
      <w:pPr>
        <w:pStyle w:val="Footnotesection"/>
      </w:pPr>
      <w:bookmarkStart w:id="60" w:name="_Toc99548027"/>
      <w:bookmarkStart w:id="61" w:name="_Toc106109531"/>
      <w:r>
        <w:tab/>
        <w:t>[Regulation 27 inserted: SL 2022/104 r. 16.]</w:t>
      </w:r>
    </w:p>
    <w:p>
      <w:pPr>
        <w:pStyle w:val="Heading5"/>
      </w:pPr>
      <w:bookmarkStart w:id="62" w:name="_Toc123208710"/>
      <w:r>
        <w:rPr>
          <w:rStyle w:val="CharSectno"/>
        </w:rPr>
        <w:t>28</w:t>
      </w:r>
      <w:r>
        <w:t>.</w:t>
      </w:r>
      <w:r>
        <w:tab/>
        <w:t>Retailer’s obligations in relation to supply</w:t>
      </w:r>
      <w:bookmarkEnd w:id="60"/>
      <w:bookmarkEnd w:id="61"/>
      <w:bookmarkEnd w:id="62"/>
    </w:p>
    <w:p>
      <w:pPr>
        <w:pStyle w:val="Subsection"/>
      </w:pPr>
      <w:r>
        <w:tab/>
      </w:r>
      <w:r>
        <w:tab/>
        <w:t>A standard form contract must specify the obligations of the retailer with respect to the supply of gas.</w:t>
      </w:r>
    </w:p>
    <w:p>
      <w:pPr>
        <w:pStyle w:val="Footnotesection"/>
      </w:pPr>
      <w:r>
        <w:tab/>
        <w:t>[Regulation 28 inserted: SL 2022/104 r. 16.]</w:t>
      </w:r>
    </w:p>
    <w:p>
      <w:pPr>
        <w:pStyle w:val="Heading5"/>
      </w:pPr>
      <w:bookmarkStart w:id="63" w:name="_Toc123208711"/>
      <w:r>
        <w:rPr>
          <w:rStyle w:val="CharSectno"/>
        </w:rPr>
        <w:t>29</w:t>
      </w:r>
      <w:r>
        <w:t>.</w:t>
      </w:r>
      <w:r>
        <w:tab/>
        <w:t>Customer’s obligation to pay for gas</w:t>
      </w:r>
      <w:bookmarkEnd w:id="63"/>
    </w:p>
    <w:p>
      <w:pPr>
        <w:pStyle w:val="Subsection"/>
      </w:pPr>
      <w:r>
        <w:tab/>
      </w:r>
      <w:r>
        <w:tab/>
        <w:t>A standard form contract must require the customer to pay for gas supplied under the contract.</w:t>
      </w:r>
    </w:p>
    <w:p>
      <w:pPr>
        <w:pStyle w:val="Heading5"/>
      </w:pPr>
      <w:bookmarkStart w:id="64" w:name="_Toc123208712"/>
      <w:r>
        <w:rPr>
          <w:rStyle w:val="CharSectno"/>
        </w:rPr>
        <w:t>30</w:t>
      </w:r>
      <w:r>
        <w:t>.</w:t>
      </w:r>
      <w:r>
        <w:tab/>
        <w:t>Termination of contract by customer</w:t>
      </w:r>
      <w:bookmarkEnd w:id="64"/>
    </w:p>
    <w:p>
      <w:pPr>
        <w:pStyle w:val="Subsection"/>
      </w:pPr>
      <w:r>
        <w:tab/>
      </w:r>
      <w:r>
        <w:tab/>
        <w:t>Without limiting regulation 16(1), a standard form contract must authorise the customer to terminate the contract at any time by giving notice to the retailer not less than 3 business days before the day on which the customer wants the contract to end.</w:t>
      </w:r>
    </w:p>
    <w:p>
      <w:pPr>
        <w:pStyle w:val="Footnotesection"/>
      </w:pPr>
      <w:r>
        <w:tab/>
        <w:t>[Regulation 30 amended: SL 2022/104 r. 28.]</w:t>
      </w:r>
    </w:p>
    <w:p>
      <w:pPr>
        <w:pStyle w:val="Heading5"/>
      </w:pPr>
      <w:bookmarkStart w:id="65" w:name="_Toc123208713"/>
      <w:r>
        <w:rPr>
          <w:rStyle w:val="CharSectno"/>
        </w:rPr>
        <w:t>31</w:t>
      </w:r>
      <w:r>
        <w:t>.</w:t>
      </w:r>
      <w:r>
        <w:tab/>
        <w:t>Equipment ownership and responsibility</w:t>
      </w:r>
      <w:bookmarkEnd w:id="65"/>
    </w:p>
    <w:p>
      <w:pPr>
        <w:pStyle w:val="Subsection"/>
      </w:pPr>
      <w:r>
        <w:tab/>
      </w:r>
      <w:r>
        <w:tab/>
        <w:t xml:space="preserve">A standard form contract must deal with ownership of, responsibility for, and rights and obligations in relation to, </w:t>
      </w:r>
      <w:r>
        <w:lastRenderedPageBreak/>
        <w:t>equipment used for or in connection with supply under the contract.</w:t>
      </w:r>
    </w:p>
    <w:p>
      <w:pPr>
        <w:pStyle w:val="Heading5"/>
      </w:pPr>
      <w:bookmarkStart w:id="66" w:name="_Toc123208714"/>
      <w:r>
        <w:rPr>
          <w:rStyle w:val="CharSectno"/>
        </w:rPr>
        <w:t>32</w:t>
      </w:r>
      <w:r>
        <w:t>.</w:t>
      </w:r>
      <w:r>
        <w:tab/>
        <w:t>Meter testing</w:t>
      </w:r>
      <w:bookmarkEnd w:id="66"/>
    </w:p>
    <w:p>
      <w:pPr>
        <w:pStyle w:val="Subsection"/>
      </w:pPr>
      <w:r>
        <w:tab/>
      </w:r>
      <w:r>
        <w:tab/>
        <w:t xml:space="preserve">A standard form contract must inform the customer — </w:t>
      </w:r>
    </w:p>
    <w:p>
      <w:pPr>
        <w:pStyle w:val="Indenta"/>
      </w:pPr>
      <w:r>
        <w:tab/>
        <w:t>(a)</w:t>
      </w:r>
      <w:r>
        <w:tab/>
        <w:t>that the customer can ask the retailer to test the meter; and</w:t>
      </w:r>
    </w:p>
    <w:p>
      <w:pPr>
        <w:pStyle w:val="Indenta"/>
      </w:pPr>
      <w:r>
        <w:tab/>
        <w:t>(b)</w:t>
      </w:r>
      <w:r>
        <w:tab/>
        <w:t>of the circumstances in which the customer is required to pay a fee for the test.</w:t>
      </w:r>
    </w:p>
    <w:p>
      <w:pPr>
        <w:pStyle w:val="Footnotesection"/>
      </w:pPr>
      <w:r>
        <w:tab/>
        <w:t>[Regulation 32 amended: SL 2022/104 r. 28.]</w:t>
      </w:r>
    </w:p>
    <w:p>
      <w:pPr>
        <w:pStyle w:val="Heading5"/>
      </w:pPr>
      <w:bookmarkStart w:id="67" w:name="_Toc123208715"/>
      <w:r>
        <w:rPr>
          <w:rStyle w:val="CharSectno"/>
        </w:rPr>
        <w:t>33</w:t>
      </w:r>
      <w:r>
        <w:t>.</w:t>
      </w:r>
      <w:r>
        <w:tab/>
        <w:t>Access to supply address</w:t>
      </w:r>
      <w:bookmarkEnd w:id="67"/>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Ednotesubsection"/>
      </w:pPr>
      <w:r>
        <w:tab/>
        <w:t>[(3)</w:t>
      </w:r>
      <w:r>
        <w:tab/>
        <w:t>deleted]</w:t>
      </w:r>
    </w:p>
    <w:p>
      <w:pPr>
        <w:pStyle w:val="Footnotesection"/>
      </w:pPr>
      <w:r>
        <w:tab/>
        <w:t>[Regulation 33 amended: SL 2022/104 r. 17.]</w:t>
      </w:r>
    </w:p>
    <w:p>
      <w:pPr>
        <w:pStyle w:val="Heading5"/>
      </w:pPr>
      <w:bookmarkStart w:id="68" w:name="_Toc123208716"/>
      <w:r>
        <w:rPr>
          <w:rStyle w:val="CharSectno"/>
        </w:rPr>
        <w:t>34</w:t>
      </w:r>
      <w:r>
        <w:t>.</w:t>
      </w:r>
      <w:r>
        <w:tab/>
        <w:t>Customer entering supply address</w:t>
      </w:r>
      <w:bookmarkEnd w:id="68"/>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69" w:name="_Toc123208717"/>
      <w:r>
        <w:rPr>
          <w:rStyle w:val="CharSectno"/>
        </w:rPr>
        <w:lastRenderedPageBreak/>
        <w:t>35</w:t>
      </w:r>
      <w:r>
        <w:t>.</w:t>
      </w:r>
      <w:r>
        <w:tab/>
        <w:t>Customer leaving supply address</w:t>
      </w:r>
      <w:bookmarkEnd w:id="69"/>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Ednotesubsection"/>
      </w:pPr>
      <w:r>
        <w:tab/>
        <w:t>[(2)</w:t>
      </w:r>
      <w:r>
        <w:tab/>
        <w:t>deleted]</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retailer for that supply address, the old customer is not required to pay for any gas supplied at that supply address after the time when the new customer’s obligation to pay for gas supplied under the new contract takes effect.</w:t>
      </w:r>
    </w:p>
    <w:p>
      <w:pPr>
        <w:pStyle w:val="Footnotesection"/>
      </w:pPr>
      <w:r>
        <w:tab/>
        <w:t>[Regulation 35 amended: SL 2022/104 r. 18 and 28.]</w:t>
      </w:r>
    </w:p>
    <w:p>
      <w:pPr>
        <w:pStyle w:val="Heading5"/>
      </w:pPr>
      <w:bookmarkStart w:id="70" w:name="_Toc123208718"/>
      <w:r>
        <w:rPr>
          <w:rStyle w:val="CharSectno"/>
        </w:rPr>
        <w:t>36</w:t>
      </w:r>
      <w:r>
        <w:t>.</w:t>
      </w:r>
      <w:r>
        <w:tab/>
        <w:t>Matters beyond control of customer or retailer</w:t>
      </w:r>
      <w:bookmarkEnd w:id="70"/>
    </w:p>
    <w:p>
      <w:pPr>
        <w:pStyle w:val="Subsection"/>
      </w:pPr>
      <w:r>
        <w:tab/>
      </w:r>
      <w:r>
        <w:tab/>
        <w:t>A standard form contract must deal with the respective rights and obligations of the customer and the retailer if something happens that is beyond the control of the customer or the retailer.</w:t>
      </w:r>
    </w:p>
    <w:p>
      <w:pPr>
        <w:pStyle w:val="Footnotesection"/>
      </w:pPr>
      <w:r>
        <w:tab/>
        <w:t>[Regulation 36 amended: SL 2022/104 r. 28.]</w:t>
      </w:r>
    </w:p>
    <w:p>
      <w:pPr>
        <w:pStyle w:val="Ednotesection"/>
      </w:pPr>
      <w:r>
        <w:t>[</w:t>
      </w:r>
      <w:r>
        <w:rPr>
          <w:b/>
        </w:rPr>
        <w:t>37.</w:t>
      </w:r>
      <w:r>
        <w:tab/>
        <w:t>Deleted: SL 2022/104 r. 19.]</w:t>
      </w:r>
    </w:p>
    <w:p>
      <w:pPr>
        <w:pStyle w:val="Heading5"/>
      </w:pPr>
      <w:bookmarkStart w:id="71" w:name="_Toc123208719"/>
      <w:r>
        <w:rPr>
          <w:rStyle w:val="CharSectno"/>
        </w:rPr>
        <w:lastRenderedPageBreak/>
        <w:t>38</w:t>
      </w:r>
      <w:r>
        <w:t>.</w:t>
      </w:r>
      <w:r>
        <w:tab/>
        <w:t>Supply charges</w:t>
      </w:r>
      <w:bookmarkEnd w:id="71"/>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72" w:name="_Toc123208720"/>
      <w:r>
        <w:rPr>
          <w:rStyle w:val="CharSectno"/>
        </w:rPr>
        <w:t>38A</w:t>
      </w:r>
      <w:r>
        <w:t>.</w:t>
      </w:r>
      <w:r>
        <w:tab/>
        <w:t>Provisions relating to last resort supply</w:t>
      </w:r>
      <w:bookmarkEnd w:id="72"/>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retailer as the supplier of last resort under a last resort supply plan.</w:t>
      </w:r>
    </w:p>
    <w:p>
      <w:pPr>
        <w:pStyle w:val="Subsection"/>
      </w:pPr>
      <w:r>
        <w:tab/>
        <w:t>(2)</w:t>
      </w:r>
      <w:r>
        <w:tab/>
        <w:t>This regulation applies to the standard form contract of a retailer if the retailer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retailer must — </w:t>
      </w:r>
    </w:p>
    <w:p>
      <w:pPr>
        <w:pStyle w:val="Indenta"/>
      </w:pPr>
      <w:r>
        <w:tab/>
        <w:t>(a)</w:t>
      </w:r>
      <w:r>
        <w:tab/>
        <w:t>require a transferred customer to pay the last resort supply fee to the retailer;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retailer must require the retailer to supply gas to a transferred customer for a period of not less than 3 months after the day on which the transfer occurs unless the transferred customer terminates the contract.</w:t>
      </w:r>
    </w:p>
    <w:p>
      <w:pPr>
        <w:pStyle w:val="Subsection"/>
      </w:pPr>
      <w:r>
        <w:lastRenderedPageBreak/>
        <w:tab/>
        <w:t>(5)</w:t>
      </w:r>
      <w:r>
        <w:tab/>
        <w:t>The standard form contract of the retailer must not authorise the retailer to terminate the contract because of anything done or omitted to be done by a transferred customer before transfer to the retailer.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Gazette 13 May 2005 p. 2075</w:t>
      </w:r>
      <w:r>
        <w:noBreakHyphen/>
        <w:t>6; amended: SL 2022/104 r. 28.]</w:t>
      </w:r>
    </w:p>
    <w:p>
      <w:pPr>
        <w:pStyle w:val="Heading3"/>
      </w:pPr>
      <w:bookmarkStart w:id="73" w:name="_Toc99116219"/>
      <w:bookmarkStart w:id="74" w:name="_Toc99117301"/>
      <w:bookmarkStart w:id="75" w:name="_Toc99349277"/>
      <w:bookmarkStart w:id="76" w:name="_Toc99544569"/>
      <w:bookmarkStart w:id="77" w:name="_Toc99548032"/>
      <w:bookmarkStart w:id="78" w:name="_Toc106109536"/>
      <w:bookmarkStart w:id="79" w:name="_Toc122690193"/>
      <w:bookmarkStart w:id="80" w:name="_Toc123208721"/>
      <w:bookmarkStart w:id="81" w:name="_Toc122683901"/>
      <w:r>
        <w:rPr>
          <w:rStyle w:val="CharDivNo"/>
        </w:rPr>
        <w:t>Division 2</w:t>
      </w:r>
      <w:r>
        <w:t> — </w:t>
      </w:r>
      <w:r>
        <w:rPr>
          <w:rStyle w:val="CharDivText"/>
        </w:rPr>
        <w:t>Security deposit requirements for certain standard form contracts</w:t>
      </w:r>
      <w:bookmarkEnd w:id="73"/>
      <w:bookmarkEnd w:id="74"/>
      <w:bookmarkEnd w:id="75"/>
      <w:bookmarkEnd w:id="76"/>
      <w:bookmarkEnd w:id="77"/>
      <w:bookmarkEnd w:id="78"/>
      <w:bookmarkEnd w:id="79"/>
      <w:bookmarkEnd w:id="80"/>
    </w:p>
    <w:p>
      <w:pPr>
        <w:pStyle w:val="Footnoteheading"/>
        <w:spacing w:before="100"/>
      </w:pPr>
      <w:bookmarkStart w:id="82" w:name="_Toc99548033"/>
      <w:bookmarkStart w:id="83" w:name="_Toc106109537"/>
      <w:r>
        <w:tab/>
        <w:t>[Heading inserted: SL 2022/104 r. 20.]</w:t>
      </w:r>
    </w:p>
    <w:p>
      <w:pPr>
        <w:pStyle w:val="Heading5"/>
      </w:pPr>
      <w:bookmarkStart w:id="84" w:name="_Toc123208722"/>
      <w:r>
        <w:rPr>
          <w:rStyle w:val="CharSectno"/>
        </w:rPr>
        <w:t>38B</w:t>
      </w:r>
      <w:r>
        <w:t>.</w:t>
      </w:r>
      <w:r>
        <w:tab/>
        <w:t>Term used: customer</w:t>
      </w:r>
      <w:bookmarkEnd w:id="82"/>
      <w:bookmarkEnd w:id="83"/>
      <w:bookmarkEnd w:id="84"/>
    </w:p>
    <w:p>
      <w:pPr>
        <w:pStyle w:val="Subsection"/>
      </w:pPr>
      <w:r>
        <w:tab/>
      </w:r>
      <w:r>
        <w:tab/>
        <w:t xml:space="preserve">In this Division — </w:t>
      </w:r>
    </w:p>
    <w:p>
      <w:pPr>
        <w:pStyle w:val="Defstart"/>
      </w:pPr>
      <w:r>
        <w:tab/>
      </w:r>
      <w:r>
        <w:rPr>
          <w:rStyle w:val="CharDefText"/>
        </w:rPr>
        <w:t>customer</w:t>
      </w:r>
      <w:r>
        <w:t xml:space="preserve"> does not include a residential customer.</w:t>
      </w:r>
    </w:p>
    <w:p>
      <w:pPr>
        <w:pStyle w:val="Footnotesection"/>
      </w:pPr>
      <w:bookmarkStart w:id="85" w:name="_Toc99548034"/>
      <w:bookmarkStart w:id="86" w:name="_Toc106109538"/>
      <w:r>
        <w:tab/>
        <w:t>[Regulation 38B inserted: SL 2022/104 r. 20.]</w:t>
      </w:r>
    </w:p>
    <w:p>
      <w:pPr>
        <w:pStyle w:val="Heading5"/>
      </w:pPr>
      <w:bookmarkStart w:id="87" w:name="_Toc123208723"/>
      <w:r>
        <w:rPr>
          <w:rStyle w:val="CharSectno"/>
        </w:rPr>
        <w:t>38C</w:t>
      </w:r>
      <w:r>
        <w:t>.</w:t>
      </w:r>
      <w:r>
        <w:tab/>
        <w:t>Security deposits not payable by residential customers</w:t>
      </w:r>
      <w:bookmarkEnd w:id="85"/>
      <w:bookmarkEnd w:id="86"/>
      <w:bookmarkEnd w:id="87"/>
    </w:p>
    <w:p>
      <w:pPr>
        <w:pStyle w:val="Subsection"/>
      </w:pPr>
      <w:r>
        <w:tab/>
      </w:r>
      <w:r>
        <w:tab/>
        <w:t>A standard form contract entered into by a residential customer must not state that the residential customer is required to pay a security deposit to the retailer.</w:t>
      </w:r>
    </w:p>
    <w:p>
      <w:pPr>
        <w:pStyle w:val="Footnotesection"/>
      </w:pPr>
      <w:bookmarkStart w:id="88" w:name="_Toc99548035"/>
      <w:bookmarkStart w:id="89" w:name="_Toc106109539"/>
      <w:r>
        <w:tab/>
        <w:t>[Regulation 38C inserted: SL 2022/104 r. 20.]</w:t>
      </w:r>
    </w:p>
    <w:p>
      <w:pPr>
        <w:pStyle w:val="Heading5"/>
      </w:pPr>
      <w:bookmarkStart w:id="90" w:name="_Toc123208724"/>
      <w:r>
        <w:rPr>
          <w:rStyle w:val="CharSectno"/>
        </w:rPr>
        <w:t>38D</w:t>
      </w:r>
      <w:r>
        <w:t>.</w:t>
      </w:r>
      <w:r>
        <w:tab/>
        <w:t>Security deposits may be required from certain customers</w:t>
      </w:r>
      <w:bookmarkEnd w:id="88"/>
      <w:bookmarkEnd w:id="89"/>
      <w:bookmarkEnd w:id="90"/>
    </w:p>
    <w:p>
      <w:pPr>
        <w:pStyle w:val="Subsection"/>
      </w:pPr>
      <w:r>
        <w:tab/>
        <w:t>(1)</w:t>
      </w:r>
      <w:r>
        <w:tab/>
        <w:t>A standard form contract must state whether or not the customer is required to pay a security deposit to the retailer.</w:t>
      </w:r>
    </w:p>
    <w:p>
      <w:pPr>
        <w:pStyle w:val="Subsection"/>
      </w:pPr>
      <w:r>
        <w:tab/>
        <w:t>(2)</w:t>
      </w:r>
      <w:r>
        <w:tab/>
        <w:t xml:space="preserve">Subject to subregulations (3) and (5), a standard form contract may state that a customer is required to pay a security deposit to the retailer — </w:t>
      </w:r>
    </w:p>
    <w:p>
      <w:pPr>
        <w:pStyle w:val="Indenta"/>
      </w:pPr>
      <w:r>
        <w:tab/>
        <w:t>(a)</w:t>
      </w:r>
      <w:r>
        <w:tab/>
        <w:t>at the time the customer asks the retailer to supply gas to the customer under a standard form contract; and</w:t>
      </w:r>
    </w:p>
    <w:p>
      <w:pPr>
        <w:pStyle w:val="Indenta"/>
      </w:pPr>
      <w:r>
        <w:lastRenderedPageBreak/>
        <w:tab/>
        <w:t>(b)</w:t>
      </w:r>
      <w:r>
        <w:tab/>
        <w:t>at any time during the term of the standard form contract.</w:t>
      </w:r>
    </w:p>
    <w:p>
      <w:pPr>
        <w:pStyle w:val="Subsection"/>
      </w:pPr>
      <w:r>
        <w:tab/>
        <w:t>(3)</w:t>
      </w:r>
      <w:r>
        <w:tab/>
        <w:t xml:space="preserve">A standard form contract that states that a customer is required to pay a security deposit must state that the customer is required to do so only if — </w:t>
      </w:r>
    </w:p>
    <w:p>
      <w:pPr>
        <w:pStyle w:val="Indenta"/>
      </w:pPr>
      <w:r>
        <w:tab/>
        <w:t>(a)</w:t>
      </w:r>
      <w:r>
        <w:tab/>
        <w:t xml:space="preserve">the customer owes an amount to the retailer in relation to supply at any premises, unless the customer has disputed the bill relating to that amount and the bill is subject to — </w:t>
      </w:r>
    </w:p>
    <w:p>
      <w:pPr>
        <w:pStyle w:val="Indenti"/>
      </w:pPr>
      <w:r>
        <w:tab/>
        <w:t>(i)</w:t>
      </w:r>
      <w:r>
        <w:tab/>
        <w:t>a review by the retailer; or</w:t>
      </w:r>
    </w:p>
    <w:p>
      <w:pPr>
        <w:pStyle w:val="Indenti"/>
      </w:pPr>
      <w:r>
        <w:tab/>
        <w:t>(ii)</w:t>
      </w:r>
      <w:r>
        <w:tab/>
        <w:t>a complaint to the gas industry ombudsman;</w:t>
      </w:r>
    </w:p>
    <w:p>
      <w:pPr>
        <w:pStyle w:val="Indenta"/>
      </w:pPr>
      <w:r>
        <w:tab/>
      </w:r>
      <w:r>
        <w:tab/>
        <w:t>or</w:t>
      </w:r>
    </w:p>
    <w:p>
      <w:pPr>
        <w:pStyle w:val="Indenta"/>
      </w:pPr>
      <w:r>
        <w:tab/>
        <w:t>(b)</w:t>
      </w:r>
      <w:r>
        <w:tab/>
        <w:t xml:space="preserve">within 2 years before entering into the contract, the customer has — </w:t>
      </w:r>
    </w:p>
    <w:p>
      <w:pPr>
        <w:pStyle w:val="Indenti"/>
      </w:pPr>
      <w:r>
        <w:tab/>
        <w:t>(i)</w:t>
      </w:r>
      <w:r>
        <w:tab/>
        <w:t>fraudulently obtained supply; or</w:t>
      </w:r>
    </w:p>
    <w:p>
      <w:pPr>
        <w:pStyle w:val="Indenti"/>
      </w:pPr>
      <w:r>
        <w:tab/>
        <w:t>(ii)</w:t>
      </w:r>
      <w:r>
        <w:tab/>
        <w:t>consumed gas intentionally and unlawfully;</w:t>
      </w:r>
    </w:p>
    <w:p>
      <w:pPr>
        <w:pStyle w:val="Indenta"/>
      </w:pPr>
      <w:r>
        <w:tab/>
      </w:r>
      <w:r>
        <w:tab/>
        <w:t>or</w:t>
      </w:r>
    </w:p>
    <w:p>
      <w:pPr>
        <w:pStyle w:val="Indenta"/>
      </w:pPr>
      <w:r>
        <w:tab/>
        <w:t>(c)</w:t>
      </w:r>
      <w:r>
        <w:tab/>
        <w:t>the retailer reasonably decides that the customer has an unsatisfactory credit history or an unsatisfactory history relating to paying for gas supplied to the customer.</w:t>
      </w:r>
    </w:p>
    <w:p>
      <w:pPr>
        <w:pStyle w:val="Subsection"/>
      </w:pPr>
      <w:r>
        <w:tab/>
        <w:t>(4)</w:t>
      </w:r>
      <w:r>
        <w:tab/>
        <w:t>Subregulation (5) applies to a standard form contract that states that a customer is required to pay a security deposit because of the retailer’s decision referred to in subregulation (3)(c).</w:t>
      </w:r>
    </w:p>
    <w:p>
      <w:pPr>
        <w:pStyle w:val="Subsection"/>
      </w:pPr>
      <w:r>
        <w:tab/>
        <w:t>(5)</w:t>
      </w:r>
      <w:r>
        <w:tab/>
        <w:t xml:space="preserve">The standard form contract must state that the retailer is required to inform the customer of — </w:t>
      </w:r>
    </w:p>
    <w:p>
      <w:pPr>
        <w:pStyle w:val="Indenta"/>
      </w:pPr>
      <w:r>
        <w:tab/>
        <w:t>(a)</w:t>
      </w:r>
      <w:r>
        <w:tab/>
        <w:t>the retailer’s decision that the customer has an unsatisfactory credit history or an unsatisfactory history relating to paying for gas supplied to the customer, and the reasons for that decision; and</w:t>
      </w:r>
    </w:p>
    <w:p>
      <w:pPr>
        <w:pStyle w:val="Indenta"/>
      </w:pPr>
      <w:r>
        <w:tab/>
        <w:t>(b)</w:t>
      </w:r>
      <w:r>
        <w:tab/>
        <w:t>the retailer’s complaints handling procedures and the gas industry ombudsman scheme referred to in regulation 50.</w:t>
      </w:r>
    </w:p>
    <w:p>
      <w:pPr>
        <w:pStyle w:val="Footnotesection"/>
      </w:pPr>
      <w:bookmarkStart w:id="91" w:name="_Toc99548036"/>
      <w:bookmarkStart w:id="92" w:name="_Toc106109540"/>
      <w:r>
        <w:lastRenderedPageBreak/>
        <w:tab/>
        <w:t>[Regulation 38D inserted: SL 2022/104 r. 20.]</w:t>
      </w:r>
    </w:p>
    <w:p>
      <w:pPr>
        <w:pStyle w:val="Heading5"/>
      </w:pPr>
      <w:bookmarkStart w:id="93" w:name="_Toc123208725"/>
      <w:r>
        <w:rPr>
          <w:rStyle w:val="CharSectno"/>
        </w:rPr>
        <w:t>38E</w:t>
      </w:r>
      <w:r>
        <w:t>.</w:t>
      </w:r>
      <w:r>
        <w:tab/>
        <w:t>Amount of security deposit</w:t>
      </w:r>
      <w:bookmarkEnd w:id="91"/>
      <w:bookmarkEnd w:id="92"/>
      <w:bookmarkEnd w:id="93"/>
    </w:p>
    <w:p>
      <w:pPr>
        <w:pStyle w:val="Subsection"/>
      </w:pPr>
      <w:r>
        <w:tab/>
      </w:r>
      <w:r>
        <w:tab/>
        <w:t xml:space="preserve">A standard form contract that states that a customer is required to pay a security deposit must state that the retailer is required to ensure that the amount of the security deposit is not greater than 37.5% of the customer’s estimated bills over a 12 month period, based on — </w:t>
      </w:r>
    </w:p>
    <w:p>
      <w:pPr>
        <w:pStyle w:val="Indenta"/>
      </w:pPr>
      <w:r>
        <w:tab/>
        <w:t>(a)</w:t>
      </w:r>
      <w:r>
        <w:tab/>
        <w:t>billing data relating to the customer; or</w:t>
      </w:r>
    </w:p>
    <w:p>
      <w:pPr>
        <w:pStyle w:val="Indenta"/>
      </w:pPr>
      <w:r>
        <w:tab/>
        <w:t>(b)</w:t>
      </w:r>
      <w:r>
        <w:tab/>
        <w:t>the average consumption of gas by a comparable customer over a comparable 12 month period.</w:t>
      </w:r>
    </w:p>
    <w:p>
      <w:pPr>
        <w:pStyle w:val="Footnotesection"/>
      </w:pPr>
      <w:bookmarkStart w:id="94" w:name="_Toc99548037"/>
      <w:bookmarkStart w:id="95" w:name="_Toc106109541"/>
      <w:r>
        <w:tab/>
        <w:t>[Regulation 38E inserted: SL 2022/104 r. 20.]</w:t>
      </w:r>
    </w:p>
    <w:p>
      <w:pPr>
        <w:pStyle w:val="Heading5"/>
      </w:pPr>
      <w:bookmarkStart w:id="96" w:name="_Toc123208726"/>
      <w:r>
        <w:rPr>
          <w:rStyle w:val="CharSectno"/>
        </w:rPr>
        <w:t>38F</w:t>
      </w:r>
      <w:r>
        <w:t>.</w:t>
      </w:r>
      <w:r>
        <w:tab/>
        <w:t>Treatment of security deposit</w:t>
      </w:r>
      <w:bookmarkEnd w:id="94"/>
      <w:bookmarkEnd w:id="95"/>
      <w:bookmarkEnd w:id="96"/>
    </w:p>
    <w:p>
      <w:pPr>
        <w:pStyle w:val="Subsection"/>
      </w:pPr>
      <w:r>
        <w:tab/>
        <w:t>(1)</w:t>
      </w:r>
      <w:r>
        <w:tab/>
        <w:t xml:space="preserve">In this regulation — </w:t>
      </w:r>
    </w:p>
    <w:p>
      <w:pPr>
        <w:pStyle w:val="Defstart"/>
      </w:pPr>
      <w:r>
        <w:tab/>
      </w:r>
      <w:r>
        <w:rPr>
          <w:rStyle w:val="CharDefText"/>
        </w:rPr>
        <w:t>bank bill swap rate</w:t>
      </w:r>
      <w:r>
        <w:t xml:space="preserve"> means — </w:t>
      </w:r>
    </w:p>
    <w:p>
      <w:pPr>
        <w:pStyle w:val="Defpara"/>
      </w:pPr>
      <w:r>
        <w:tab/>
        <w:t>(a)</w:t>
      </w:r>
      <w:r>
        <w:tab/>
        <w:t>the Australian Stock Exchange Bank Bill Swap Rate (BBSW) having a term equal to or nearest to 90 days, as published on the first day of the relevant 90 day period referred to in subregulation (3); or</w:t>
      </w:r>
    </w:p>
    <w:p>
      <w:pPr>
        <w:pStyle w:val="Defpara"/>
      </w:pPr>
      <w:r>
        <w:tab/>
        <w:t>(b)</w:t>
      </w:r>
      <w:r>
        <w:tab/>
        <w:t>if the rate referred to in paragraph (a) is not published on that day, the rate published on the most recent day before that day.</w:t>
      </w:r>
    </w:p>
    <w:p>
      <w:pPr>
        <w:pStyle w:val="Subsection"/>
      </w:pPr>
      <w:r>
        <w:tab/>
        <w:t>(2)</w:t>
      </w:r>
      <w:r>
        <w:tab/>
        <w:t xml:space="preserve">A standard form contract that states that a customer is required to pay a security deposit must state that the retailer is required — </w:t>
      </w:r>
    </w:p>
    <w:p>
      <w:pPr>
        <w:pStyle w:val="Indenta"/>
      </w:pPr>
      <w:r>
        <w:tab/>
        <w:t>(a)</w:t>
      </w:r>
      <w:r>
        <w:tab/>
        <w:t>to keep security deposits paid to the retailer in a separate trust account; and</w:t>
      </w:r>
    </w:p>
    <w:p>
      <w:pPr>
        <w:pStyle w:val="Indenta"/>
      </w:pPr>
      <w:r>
        <w:tab/>
        <w:t>(b)</w:t>
      </w:r>
      <w:r>
        <w:tab/>
        <w:t>to identify those security deposits separately in the retailer’s accounting records.</w:t>
      </w:r>
    </w:p>
    <w:p>
      <w:pPr>
        <w:pStyle w:val="Subsection"/>
      </w:pPr>
      <w:r>
        <w:tab/>
        <w:t>(3)</w:t>
      </w:r>
      <w:r>
        <w:tab/>
        <w:t xml:space="preserve">A standard form contract that states that a customer is required to pay a security deposit must state that the retailer is required to pay interest to the customer on the security deposit, at the bank </w:t>
      </w:r>
      <w:r>
        <w:lastRenderedPageBreak/>
        <w:t>bill swap rate, that accrues daily and is capitalised every 90 days unless paid.</w:t>
      </w:r>
    </w:p>
    <w:p>
      <w:pPr>
        <w:pStyle w:val="Footnotesection"/>
      </w:pPr>
      <w:bookmarkStart w:id="97" w:name="_Toc99548038"/>
      <w:bookmarkStart w:id="98" w:name="_Toc106109542"/>
      <w:r>
        <w:tab/>
        <w:t>[Regulation 38F inserted: SL 2022/104 r. 20.]</w:t>
      </w:r>
    </w:p>
    <w:p>
      <w:pPr>
        <w:pStyle w:val="Heading5"/>
      </w:pPr>
      <w:bookmarkStart w:id="99" w:name="_Toc123208727"/>
      <w:r>
        <w:rPr>
          <w:rStyle w:val="CharSectno"/>
        </w:rPr>
        <w:t>38G</w:t>
      </w:r>
      <w:r>
        <w:t>.</w:t>
      </w:r>
      <w:r>
        <w:tab/>
        <w:t>Use of security deposit</w:t>
      </w:r>
      <w:bookmarkEnd w:id="97"/>
      <w:bookmarkEnd w:id="98"/>
      <w:bookmarkEnd w:id="99"/>
    </w:p>
    <w:p>
      <w:pPr>
        <w:pStyle w:val="Subsection"/>
      </w:pPr>
      <w:r>
        <w:tab/>
        <w:t>(1)</w:t>
      </w:r>
      <w:r>
        <w:tab/>
        <w:t xml:space="preserve">In this regulation — </w:t>
      </w:r>
    </w:p>
    <w:p>
      <w:pPr>
        <w:pStyle w:val="Defstart"/>
      </w:pPr>
      <w:r>
        <w:tab/>
      </w:r>
      <w:r>
        <w:rPr>
          <w:rStyle w:val="CharDefText"/>
        </w:rPr>
        <w:t>security deposit</w:t>
      </w:r>
      <w:r>
        <w:t xml:space="preserve"> includes any interest accrued on the security deposit, as described in regulation 38F(3).</w:t>
      </w:r>
    </w:p>
    <w:p>
      <w:pPr>
        <w:pStyle w:val="Subsection"/>
      </w:pPr>
      <w:r>
        <w:tab/>
        <w:t>(2)</w:t>
      </w:r>
      <w:r>
        <w:tab/>
        <w:t xml:space="preserve">A standard form contract that states that a customer is required to pay a security deposit must state that the retailer may apply the security deposit in full or partial satisfaction of amounts owed by the customer to the retailer only if — </w:t>
      </w:r>
    </w:p>
    <w:p>
      <w:pPr>
        <w:pStyle w:val="Indenta"/>
      </w:pPr>
      <w:r>
        <w:tab/>
        <w:t>(a)</w:t>
      </w:r>
      <w:r>
        <w:tab/>
        <w:t>the retailer disconnects supply for non</w:t>
      </w:r>
      <w:r>
        <w:noBreakHyphen/>
        <w:t>payment of a bill and the customer no longer has any right to reconnection under the standard form contract; or</w:t>
      </w:r>
    </w:p>
    <w:p>
      <w:pPr>
        <w:pStyle w:val="Indenta"/>
      </w:pPr>
      <w:r>
        <w:tab/>
        <w:t>(b)</w:t>
      </w:r>
      <w:r>
        <w:tab/>
        <w:t>any amount owed by the customer relates to a final bill issued to the customer.</w:t>
      </w:r>
    </w:p>
    <w:p>
      <w:pPr>
        <w:pStyle w:val="Subsection"/>
      </w:pPr>
      <w:r>
        <w:tab/>
        <w:t>(3)</w:t>
      </w:r>
      <w:r>
        <w:tab/>
        <w:t xml:space="preserve">A standard form contract that states that a customer is required to pay a security deposit must state that the retailer, within 10 business days after applying the security deposit as described in subregulation (2), is required — </w:t>
      </w:r>
    </w:p>
    <w:p>
      <w:pPr>
        <w:pStyle w:val="Indenta"/>
      </w:pPr>
      <w:r>
        <w:tab/>
        <w:t>(a)</w:t>
      </w:r>
      <w:r>
        <w:tab/>
        <w:t>to provide the customer with a written statement of how the security deposit was applied; and</w:t>
      </w:r>
    </w:p>
    <w:p>
      <w:pPr>
        <w:pStyle w:val="Indenta"/>
      </w:pPr>
      <w:r>
        <w:tab/>
        <w:t>(b)</w:t>
      </w:r>
      <w:r>
        <w:tab/>
        <w:t>to repay to the customer any amount of the security deposit that was not applied.</w:t>
      </w:r>
    </w:p>
    <w:p>
      <w:pPr>
        <w:pStyle w:val="Footnotesection"/>
      </w:pPr>
      <w:bookmarkStart w:id="100" w:name="_Toc99548039"/>
      <w:bookmarkStart w:id="101" w:name="_Toc106109543"/>
      <w:r>
        <w:tab/>
        <w:t>[Regulation 38G inserted: SL 2022/104 r. 20.]</w:t>
      </w:r>
    </w:p>
    <w:p>
      <w:pPr>
        <w:pStyle w:val="Heading5"/>
      </w:pPr>
      <w:bookmarkStart w:id="102" w:name="_Toc123208728"/>
      <w:r>
        <w:rPr>
          <w:rStyle w:val="CharSectno"/>
        </w:rPr>
        <w:t>38H</w:t>
      </w:r>
      <w:r>
        <w:t>.</w:t>
      </w:r>
      <w:r>
        <w:tab/>
        <w:t>Obligation to repay security deposit</w:t>
      </w:r>
      <w:bookmarkEnd w:id="100"/>
      <w:bookmarkEnd w:id="101"/>
      <w:bookmarkEnd w:id="102"/>
    </w:p>
    <w:p>
      <w:pPr>
        <w:pStyle w:val="Subsection"/>
      </w:pPr>
      <w:r>
        <w:tab/>
        <w:t>(1)</w:t>
      </w:r>
      <w:r>
        <w:tab/>
        <w:t xml:space="preserve">A standard form contract that states that a customer is required to pay a security deposit must state that the retailer is required to repay to the customer, in accordance with the customer’s reasonable instructions and subject to the contract’s provisions described in regulation 38G, the amount of the security deposit, </w:t>
      </w:r>
      <w:r>
        <w:lastRenderedPageBreak/>
        <w:t>including any interest accrued as described in regulation 38F(3), within the period described in subregulation (2).</w:t>
      </w:r>
    </w:p>
    <w:p>
      <w:pPr>
        <w:pStyle w:val="Subsection"/>
      </w:pPr>
      <w:r>
        <w:tab/>
        <w:t>(2)</w:t>
      </w:r>
      <w:r>
        <w:tab/>
        <w:t xml:space="preserve">The standard form contract must state that the security deposit is required to be repaid within 10 business days after — </w:t>
      </w:r>
    </w:p>
    <w:p>
      <w:pPr>
        <w:pStyle w:val="Indenta"/>
      </w:pPr>
      <w:r>
        <w:tab/>
        <w:t>(a)</w:t>
      </w:r>
      <w:r>
        <w:tab/>
        <w:t>the customer completes 2 years of payments for supply by the date specified in the relevant bills; or</w:t>
      </w:r>
    </w:p>
    <w:p>
      <w:pPr>
        <w:pStyle w:val="Indenta"/>
      </w:pPr>
      <w:r>
        <w:tab/>
        <w:t>(b)</w:t>
      </w:r>
      <w:r>
        <w:tab/>
        <w:t>the customer leaves the supply address; or</w:t>
      </w:r>
    </w:p>
    <w:p>
      <w:pPr>
        <w:pStyle w:val="Indenta"/>
      </w:pPr>
      <w:r>
        <w:tab/>
        <w:t>(c)</w:t>
      </w:r>
      <w:r>
        <w:tab/>
        <w:t>the retailer disconnects supply at the supply address at the request of the customer; or</w:t>
      </w:r>
    </w:p>
    <w:p>
      <w:pPr>
        <w:pStyle w:val="Indenta"/>
      </w:pPr>
      <w:r>
        <w:tab/>
        <w:t>(d)</w:t>
      </w:r>
      <w:r>
        <w:tab/>
        <w:t>the customer transfers to another retailer.</w:t>
      </w:r>
    </w:p>
    <w:p>
      <w:pPr>
        <w:pStyle w:val="Subsection"/>
      </w:pPr>
      <w:r>
        <w:tab/>
        <w:t>(3)</w:t>
      </w:r>
      <w:r>
        <w:tab/>
        <w:t xml:space="preserve">The standard form contract must state that, if the customer does not give reasonable instructions for the repayment of the security deposit and any accrued interest, the retailer is required to credit the amount to be repaid — </w:t>
      </w:r>
    </w:p>
    <w:p>
      <w:pPr>
        <w:pStyle w:val="Indenta"/>
      </w:pPr>
      <w:r>
        <w:tab/>
        <w:t>(a)</w:t>
      </w:r>
      <w:r>
        <w:tab/>
        <w:t>if subregulation (2)(a) applies to the repayment — to the customer’s next bill; or</w:t>
      </w:r>
    </w:p>
    <w:p>
      <w:pPr>
        <w:pStyle w:val="Indenta"/>
      </w:pPr>
      <w:r>
        <w:tab/>
        <w:t>(b)</w:t>
      </w:r>
      <w:r>
        <w:tab/>
        <w:t>if subregulation (2)(b), (c) or (d) applies to the repayment — to the customer’s final bill.</w:t>
      </w:r>
    </w:p>
    <w:p>
      <w:pPr>
        <w:pStyle w:val="Footnotesection"/>
      </w:pPr>
      <w:bookmarkStart w:id="103" w:name="_Toc99548040"/>
      <w:bookmarkStart w:id="104" w:name="_Toc106109544"/>
      <w:r>
        <w:tab/>
        <w:t>[Regulation 38H inserted: SL 2022/104 r. 20.]</w:t>
      </w:r>
    </w:p>
    <w:p>
      <w:pPr>
        <w:pStyle w:val="Heading5"/>
      </w:pPr>
      <w:bookmarkStart w:id="105" w:name="_Toc123208729"/>
      <w:r>
        <w:rPr>
          <w:rStyle w:val="CharSectno"/>
        </w:rPr>
        <w:t>38I</w:t>
      </w:r>
      <w:r>
        <w:t>.</w:t>
      </w:r>
      <w:r>
        <w:tab/>
        <w:t>Failure to pay security deposit</w:t>
      </w:r>
      <w:bookmarkEnd w:id="103"/>
      <w:bookmarkEnd w:id="104"/>
      <w:bookmarkEnd w:id="105"/>
    </w:p>
    <w:p>
      <w:pPr>
        <w:pStyle w:val="Subsection"/>
      </w:pPr>
      <w:r>
        <w:tab/>
      </w:r>
      <w:r>
        <w:tab/>
        <w:t xml:space="preserve">A standard form contract that states that a customer is required to pay a security deposit must state that if the customer fails to pay the security deposit, in whole or in part, the retailer may, subject to the conditions of its trading licence and the requirements of the contract referred to in regulation 12 — </w:t>
      </w:r>
    </w:p>
    <w:p>
      <w:pPr>
        <w:pStyle w:val="Indenta"/>
      </w:pPr>
      <w:r>
        <w:tab/>
        <w:t>(a)</w:t>
      </w:r>
      <w:r>
        <w:tab/>
        <w:t>disconnect supply or cause disconnection to occur; or</w:t>
      </w:r>
    </w:p>
    <w:p>
      <w:pPr>
        <w:pStyle w:val="Indenta"/>
      </w:pPr>
      <w:r>
        <w:tab/>
        <w:t>(b)</w:t>
      </w:r>
      <w:r>
        <w:tab/>
        <w:t>refuse to reconnect supply.</w:t>
      </w:r>
    </w:p>
    <w:p>
      <w:pPr>
        <w:pStyle w:val="Footnotesection"/>
      </w:pPr>
      <w:bookmarkStart w:id="106" w:name="_Toc99548041"/>
      <w:bookmarkStart w:id="107" w:name="_Toc106109545"/>
      <w:r>
        <w:tab/>
        <w:t>[Regulation 38I inserted: SL 2022/104 r. 20.]</w:t>
      </w:r>
    </w:p>
    <w:p>
      <w:pPr>
        <w:pStyle w:val="Heading5"/>
      </w:pPr>
      <w:bookmarkStart w:id="108" w:name="_Toc123208730"/>
      <w:r>
        <w:rPr>
          <w:rStyle w:val="CharSectno"/>
        </w:rPr>
        <w:lastRenderedPageBreak/>
        <w:t>38J</w:t>
      </w:r>
      <w:r>
        <w:t>.</w:t>
      </w:r>
      <w:r>
        <w:tab/>
        <w:t>Permission for retailer to carry out credit checks</w:t>
      </w:r>
      <w:bookmarkEnd w:id="106"/>
      <w:bookmarkEnd w:id="107"/>
      <w:bookmarkEnd w:id="108"/>
    </w:p>
    <w:p>
      <w:pPr>
        <w:pStyle w:val="Subsection"/>
      </w:pPr>
      <w:r>
        <w:tab/>
        <w:t>(1)</w:t>
      </w:r>
      <w:r>
        <w:tab/>
        <w:t>This regulation applies if a standard form contract states that a customer is required to pay a security deposit during the term of the standard form contract.</w:t>
      </w:r>
    </w:p>
    <w:p>
      <w:pPr>
        <w:pStyle w:val="Subsection"/>
      </w:pPr>
      <w:r>
        <w:tab/>
        <w:t>(2)</w:t>
      </w:r>
      <w:r>
        <w:tab/>
        <w:t xml:space="preserve">The standard form contract must state that the customer is required to provide the retailer, if and when requested by the retailer to do so, with — </w:t>
      </w:r>
    </w:p>
    <w:p>
      <w:pPr>
        <w:pStyle w:val="Indenta"/>
      </w:pPr>
      <w:r>
        <w:tab/>
        <w:t>(a)</w:t>
      </w:r>
      <w:r>
        <w:tab/>
        <w:t>permission to investigate the customer’s credit history; and</w:t>
      </w:r>
    </w:p>
    <w:p>
      <w:pPr>
        <w:pStyle w:val="Indenta"/>
      </w:pPr>
      <w:r>
        <w:tab/>
        <w:t>(b)</w:t>
      </w:r>
      <w:r>
        <w:tab/>
        <w:t>any information held by the customer about the customer’s credit history.</w:t>
      </w:r>
    </w:p>
    <w:p>
      <w:pPr>
        <w:pStyle w:val="Footnotesection"/>
      </w:pPr>
      <w:r>
        <w:tab/>
        <w:t>[Regulation 38J inserted: SL 2022/104 r. 20.]</w:t>
      </w:r>
    </w:p>
    <w:p>
      <w:pPr>
        <w:pStyle w:val="Heading2"/>
      </w:pPr>
      <w:bookmarkStart w:id="109" w:name="_Toc122690203"/>
      <w:bookmarkStart w:id="110" w:name="_Toc123208731"/>
      <w:r>
        <w:rPr>
          <w:rStyle w:val="CharPartNo"/>
        </w:rPr>
        <w:lastRenderedPageBreak/>
        <w:t>Part 4</w:t>
      </w:r>
      <w:r>
        <w:t> — </w:t>
      </w:r>
      <w:r>
        <w:rPr>
          <w:rStyle w:val="CharPartText"/>
        </w:rPr>
        <w:t>Specific requirements for non</w:t>
      </w:r>
      <w:r>
        <w:rPr>
          <w:rStyle w:val="CharPartText"/>
        </w:rPr>
        <w:noBreakHyphen/>
        <w:t>standard contracts</w:t>
      </w:r>
      <w:bookmarkEnd w:id="81"/>
      <w:bookmarkEnd w:id="109"/>
      <w:bookmarkEnd w:id="110"/>
    </w:p>
    <w:p>
      <w:pPr>
        <w:pStyle w:val="Heading3"/>
      </w:pPr>
      <w:bookmarkStart w:id="111" w:name="_Toc99116230"/>
      <w:bookmarkStart w:id="112" w:name="_Toc99117312"/>
      <w:bookmarkStart w:id="113" w:name="_Toc99349288"/>
      <w:bookmarkStart w:id="114" w:name="_Toc99544580"/>
      <w:bookmarkStart w:id="115" w:name="_Toc99548043"/>
      <w:bookmarkStart w:id="116" w:name="_Toc106109547"/>
      <w:bookmarkStart w:id="117" w:name="_Toc122690204"/>
      <w:bookmarkStart w:id="118" w:name="_Toc123208732"/>
      <w:r>
        <w:rPr>
          <w:rStyle w:val="CharDivNo"/>
        </w:rPr>
        <w:t>Division 1</w:t>
      </w:r>
      <w:r>
        <w:t> — </w:t>
      </w:r>
      <w:r>
        <w:rPr>
          <w:rStyle w:val="CharDivText"/>
        </w:rPr>
        <w:t>Requirements for all non</w:t>
      </w:r>
      <w:r>
        <w:rPr>
          <w:rStyle w:val="CharDivText"/>
        </w:rPr>
        <w:noBreakHyphen/>
        <w:t>standard contracts</w:t>
      </w:r>
      <w:bookmarkEnd w:id="111"/>
      <w:bookmarkEnd w:id="112"/>
      <w:bookmarkEnd w:id="113"/>
      <w:bookmarkEnd w:id="114"/>
      <w:bookmarkEnd w:id="115"/>
      <w:bookmarkEnd w:id="116"/>
      <w:bookmarkEnd w:id="117"/>
      <w:bookmarkEnd w:id="118"/>
    </w:p>
    <w:p>
      <w:pPr>
        <w:pStyle w:val="Footnoteheading"/>
        <w:spacing w:before="100"/>
      </w:pPr>
      <w:bookmarkStart w:id="119" w:name="_Toc99548044"/>
      <w:bookmarkStart w:id="120" w:name="_Toc106109548"/>
      <w:r>
        <w:tab/>
        <w:t>[Heading inserted: SL 2022/104 r. 21.]</w:t>
      </w:r>
    </w:p>
    <w:p>
      <w:pPr>
        <w:pStyle w:val="Heading5"/>
      </w:pPr>
      <w:bookmarkStart w:id="121" w:name="_Toc123208733"/>
      <w:r>
        <w:rPr>
          <w:rStyle w:val="CharSectno"/>
        </w:rPr>
        <w:t>38K</w:t>
      </w:r>
      <w:r>
        <w:t>.</w:t>
      </w:r>
      <w:r>
        <w:tab/>
        <w:t>Term used: fixed term contract</w:t>
      </w:r>
      <w:bookmarkEnd w:id="119"/>
      <w:bookmarkEnd w:id="120"/>
      <w:bookmarkEnd w:id="121"/>
    </w:p>
    <w:p>
      <w:pPr>
        <w:pStyle w:val="Subsection"/>
      </w:pPr>
      <w:r>
        <w:tab/>
      </w:r>
      <w:r>
        <w:tab/>
        <w:t xml:space="preserve">In this Division — </w:t>
      </w:r>
    </w:p>
    <w:p>
      <w:pPr>
        <w:pStyle w:val="Defstart"/>
      </w:pPr>
      <w:r>
        <w:tab/>
      </w:r>
      <w:r>
        <w:rPr>
          <w:rStyle w:val="CharDefText"/>
        </w:rPr>
        <w:t>fixed term contract</w:t>
      </w:r>
      <w:r>
        <w:t xml:space="preserve"> means a non</w:t>
      </w:r>
      <w:r>
        <w:noBreakHyphen/>
        <w:t>standard contract that is expressed to have effect for a definite period.</w:t>
      </w:r>
    </w:p>
    <w:p>
      <w:pPr>
        <w:pStyle w:val="Footnotesection"/>
      </w:pPr>
      <w:r>
        <w:tab/>
        <w:t>[Regulation 38K inserted: SL 2022/104 r. 21.]</w:t>
      </w:r>
    </w:p>
    <w:p>
      <w:pPr>
        <w:pStyle w:val="Heading5"/>
      </w:pPr>
      <w:bookmarkStart w:id="122" w:name="_Toc123208734"/>
      <w:r>
        <w:rPr>
          <w:rStyle w:val="CharSectno"/>
        </w:rPr>
        <w:t>39</w:t>
      </w:r>
      <w:r>
        <w:t>.</w:t>
      </w:r>
      <w:r>
        <w:tab/>
        <w:t>Period for which contract has effect</w:t>
      </w:r>
      <w:bookmarkEnd w:id="122"/>
    </w:p>
    <w:p>
      <w:pPr>
        <w:pStyle w:val="Subsection"/>
      </w:pPr>
      <w:r>
        <w:tab/>
      </w:r>
      <w:r>
        <w:tab/>
        <w:t>A non</w:t>
      </w:r>
      <w:r>
        <w:noBreakHyphen/>
        <w:t>standard contract may be expressed to have effect for a definite period or an indefinite period.</w:t>
      </w:r>
    </w:p>
    <w:p>
      <w:pPr>
        <w:pStyle w:val="Heading5"/>
      </w:pPr>
      <w:bookmarkStart w:id="123" w:name="_Toc123208735"/>
      <w:r>
        <w:rPr>
          <w:rStyle w:val="CharSectno"/>
        </w:rPr>
        <w:t>40</w:t>
      </w:r>
      <w:r>
        <w:t>.</w:t>
      </w:r>
      <w:r>
        <w:tab/>
        <w:t>Cooling</w:t>
      </w:r>
      <w:r>
        <w:noBreakHyphen/>
        <w:t>off period for non</w:t>
      </w:r>
      <w:r>
        <w:noBreakHyphen/>
        <w:t>standard contracts</w:t>
      </w:r>
      <w:bookmarkEnd w:id="123"/>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business days after the contract is entered into and this right must be specified in the contract.</w:t>
      </w:r>
    </w:p>
    <w:p>
      <w:pPr>
        <w:pStyle w:val="Subsection"/>
      </w:pPr>
      <w:r>
        <w:tab/>
        <w:t>(3)</w:t>
      </w:r>
      <w:r>
        <w:tab/>
        <w:t>A non</w:t>
      </w:r>
      <w:r>
        <w:noBreakHyphen/>
        <w:t>standard contract must prohibit the retailer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lastRenderedPageBreak/>
        <w:tab/>
        <w:t>(b)</w:t>
      </w:r>
      <w:r>
        <w:tab/>
        <w:t>the customer exercises his or her right to rescind the contract during that period.</w:t>
      </w:r>
    </w:p>
    <w:p>
      <w:pPr>
        <w:pStyle w:val="Footnotesection"/>
      </w:pPr>
      <w:r>
        <w:tab/>
        <w:t>[Regulation 40 amended: SL 2022/104 r. 22 and 28.]</w:t>
      </w:r>
    </w:p>
    <w:p>
      <w:pPr>
        <w:pStyle w:val="Heading5"/>
      </w:pPr>
      <w:bookmarkStart w:id="124" w:name="_Toc123208736"/>
      <w:r>
        <w:rPr>
          <w:rStyle w:val="CharSectno"/>
        </w:rPr>
        <w:t>41</w:t>
      </w:r>
      <w:r>
        <w:t>.</w:t>
      </w:r>
      <w:r>
        <w:tab/>
        <w:t>Termination of contract by customer</w:t>
      </w:r>
      <w:bookmarkEnd w:id="124"/>
    </w:p>
    <w:p>
      <w:pPr>
        <w:pStyle w:val="Subsection"/>
      </w:pPr>
      <w:r>
        <w:tab/>
        <w:t>(1)</w:t>
      </w:r>
      <w:r>
        <w:tab/>
        <w:t>Without limiting regulation 16(1), a non</w:t>
      </w:r>
      <w:r>
        <w:noBreakHyphen/>
        <w:t>standard contract (other than a fixed term contract) must authorise the customer to terminate the contract at any time by giving notice to the retailer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Footnotesection"/>
      </w:pPr>
      <w:r>
        <w:tab/>
        <w:t>[Regulation 41 amended: SL 2022/104 r. 28.]</w:t>
      </w:r>
    </w:p>
    <w:p>
      <w:pPr>
        <w:pStyle w:val="Heading5"/>
      </w:pPr>
      <w:bookmarkStart w:id="125" w:name="_Toc123208737"/>
      <w:r>
        <w:rPr>
          <w:rStyle w:val="CharSectno"/>
        </w:rPr>
        <w:t>42</w:t>
      </w:r>
      <w:r>
        <w:t>.</w:t>
      </w:r>
      <w:r>
        <w:tab/>
        <w:t>Amendment of contract</w:t>
      </w:r>
      <w:bookmarkEnd w:id="125"/>
    </w:p>
    <w:p>
      <w:pPr>
        <w:pStyle w:val="Subsection"/>
      </w:pPr>
      <w:r>
        <w:tab/>
      </w:r>
      <w:r>
        <w:tab/>
        <w:t>Without limiting regulation 17, a non</w:t>
      </w:r>
      <w:r>
        <w:noBreakHyphen/>
        <w:t>standard contract must require the retailer to notify the customer of any amendment to the contract.</w:t>
      </w:r>
    </w:p>
    <w:p>
      <w:pPr>
        <w:pStyle w:val="Footnotesection"/>
      </w:pPr>
      <w:r>
        <w:tab/>
        <w:t>[Regulation 42 amended: SL 2022/104 r. 28.]</w:t>
      </w:r>
    </w:p>
    <w:p>
      <w:pPr>
        <w:pStyle w:val="Heading5"/>
      </w:pPr>
      <w:bookmarkStart w:id="126" w:name="_Toc123208738"/>
      <w:r>
        <w:rPr>
          <w:rStyle w:val="CharSectno"/>
        </w:rPr>
        <w:t>43</w:t>
      </w:r>
      <w:r>
        <w:t>.</w:t>
      </w:r>
      <w:r>
        <w:tab/>
        <w:t>Continuation of contract after expiry</w:t>
      </w:r>
      <w:bookmarkEnd w:id="126"/>
    </w:p>
    <w:p>
      <w:pPr>
        <w:pStyle w:val="Subsection"/>
      </w:pPr>
      <w:r>
        <w:tab/>
      </w:r>
      <w:r>
        <w:tab/>
        <w:t xml:space="preserve">A fixed term contract must provide for the continuation of the contract after expiry on the terms and conditions set out in the notification referred to in regulation 44(1) unless the customer </w:t>
      </w:r>
      <w:r>
        <w:lastRenderedPageBreak/>
        <w:t>has entered into another customer contract for the supply address to which the fixed term contract applies.</w:t>
      </w:r>
    </w:p>
    <w:p>
      <w:pPr>
        <w:pStyle w:val="Footnotesection"/>
      </w:pPr>
      <w:r>
        <w:tab/>
        <w:t>[Regulation 43 amended: SL 2022/104 r. 23.]</w:t>
      </w:r>
    </w:p>
    <w:p>
      <w:pPr>
        <w:pStyle w:val="Heading5"/>
      </w:pPr>
      <w:bookmarkStart w:id="127" w:name="_Toc99548048"/>
      <w:bookmarkStart w:id="128" w:name="_Toc106109552"/>
      <w:bookmarkStart w:id="129" w:name="_Toc123208739"/>
      <w:r>
        <w:rPr>
          <w:rStyle w:val="CharSectno"/>
        </w:rPr>
        <w:t>44</w:t>
      </w:r>
      <w:r>
        <w:t>.</w:t>
      </w:r>
      <w:r>
        <w:tab/>
        <w:t>Information relating to expiry of fixed term contract</w:t>
      </w:r>
      <w:bookmarkEnd w:id="127"/>
      <w:bookmarkEnd w:id="128"/>
      <w:bookmarkEnd w:id="129"/>
    </w:p>
    <w:p>
      <w:pPr>
        <w:pStyle w:val="Subsection"/>
      </w:pPr>
      <w:r>
        <w:tab/>
        <w:t>(1)</w:t>
      </w:r>
      <w:r>
        <w:tab/>
        <w:t xml:space="preserve">A fixed term contract must state that the retailer is required to notify the customer — </w:t>
      </w:r>
    </w:p>
    <w:p>
      <w:pPr>
        <w:pStyle w:val="Indenta"/>
      </w:pPr>
      <w:r>
        <w:tab/>
        <w:t>(a)</w:t>
      </w:r>
      <w:r>
        <w:tab/>
        <w:t>of the day on which the contract is due to expire; and</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1 of the options referred to in paragraph (b); and</w:t>
      </w:r>
    </w:p>
    <w:p>
      <w:pPr>
        <w:pStyle w:val="Indenta"/>
      </w:pPr>
      <w:r>
        <w:tab/>
        <w:t>(d)</w:t>
      </w:r>
      <w:r>
        <w:tab/>
        <w:t>of the way in which the retailer must give the notification referred to in this subregulation to the customer.</w:t>
      </w:r>
    </w:p>
    <w:p>
      <w:pPr>
        <w:pStyle w:val="Subsection"/>
      </w:pPr>
      <w:r>
        <w:tab/>
        <w:t>(2)</w:t>
      </w:r>
      <w:r>
        <w:tab/>
        <w:t>Subject to subregulation (3), the fixed term contract must state that the notification referred to in subregulation (1) is required to be given not more than 40 business days and not less than 20 business days before the day on which the contract is due to expire.</w:t>
      </w:r>
    </w:p>
    <w:p>
      <w:pPr>
        <w:pStyle w:val="Subsection"/>
      </w:pPr>
      <w:r>
        <w:tab/>
        <w:t>(3)</w:t>
      </w:r>
      <w:r>
        <w:tab/>
        <w:t>If the term of the fixed term contract is less than 1 month, the contract must state that the notification referred to in subregulation (1) is required to be given at the commencement of the term.</w:t>
      </w:r>
    </w:p>
    <w:p>
      <w:pPr>
        <w:pStyle w:val="Subsection"/>
      </w:pPr>
      <w:r>
        <w:tab/>
        <w:t>(4)</w:t>
      </w:r>
      <w:r>
        <w:tab/>
        <w:t xml:space="preserve">The fixed term contract (the </w:t>
      </w:r>
      <w:r>
        <w:rPr>
          <w:rStyle w:val="CharDefText"/>
        </w:rPr>
        <w:t>current contract</w:t>
      </w:r>
      <w:r>
        <w:t xml:space="preserve">) must state that the retailer is not required to give the notification referred to in subregulation (1) if the customer — </w:t>
      </w:r>
    </w:p>
    <w:p>
      <w:pPr>
        <w:pStyle w:val="Indenta"/>
      </w:pPr>
      <w:r>
        <w:tab/>
        <w:t>(a)</w:t>
      </w:r>
      <w:r>
        <w:tab/>
        <w:t>has already entered into a new fixed term contract with the retailer for the supply address to which the current contract applies; or</w:t>
      </w:r>
    </w:p>
    <w:p>
      <w:pPr>
        <w:pStyle w:val="Indenta"/>
      </w:pPr>
      <w:r>
        <w:lastRenderedPageBreak/>
        <w:tab/>
        <w:t>(b)</w:t>
      </w:r>
      <w:r>
        <w:tab/>
        <w:t>has informed the retailer as to which of the options for supply referred to in subregulation (1)(b) the customer requires on the expiry of the current contract.</w:t>
      </w:r>
    </w:p>
    <w:p>
      <w:pPr>
        <w:pStyle w:val="Footnotesection"/>
      </w:pPr>
      <w:r>
        <w:tab/>
        <w:t>[Regulation 44 inserted: SL 2022/104 r. 24.]</w:t>
      </w:r>
    </w:p>
    <w:p>
      <w:pPr>
        <w:pStyle w:val="Heading3"/>
      </w:pPr>
      <w:bookmarkStart w:id="130" w:name="_Toc99116237"/>
      <w:bookmarkStart w:id="131" w:name="_Toc99117319"/>
      <w:bookmarkStart w:id="132" w:name="_Toc99349295"/>
      <w:bookmarkStart w:id="133" w:name="_Toc99544587"/>
      <w:bookmarkStart w:id="134" w:name="_Toc99548050"/>
      <w:bookmarkStart w:id="135" w:name="_Toc106109554"/>
      <w:bookmarkStart w:id="136" w:name="_Toc122690212"/>
      <w:bookmarkStart w:id="137" w:name="_Toc123208740"/>
      <w:bookmarkStart w:id="138" w:name="_Toc122683908"/>
      <w:r>
        <w:rPr>
          <w:rStyle w:val="CharDivNo"/>
        </w:rPr>
        <w:t>Division 2</w:t>
      </w:r>
      <w:r>
        <w:t> — </w:t>
      </w:r>
      <w:r>
        <w:rPr>
          <w:rStyle w:val="CharDivText"/>
        </w:rPr>
        <w:t>Security deposit requirements for certain non</w:t>
      </w:r>
      <w:r>
        <w:rPr>
          <w:rStyle w:val="CharDivText"/>
        </w:rPr>
        <w:noBreakHyphen/>
        <w:t>standard contracts</w:t>
      </w:r>
      <w:bookmarkEnd w:id="130"/>
      <w:bookmarkEnd w:id="131"/>
      <w:bookmarkEnd w:id="132"/>
      <w:bookmarkEnd w:id="133"/>
      <w:bookmarkEnd w:id="134"/>
      <w:bookmarkEnd w:id="135"/>
      <w:bookmarkEnd w:id="136"/>
      <w:bookmarkEnd w:id="137"/>
    </w:p>
    <w:p>
      <w:pPr>
        <w:pStyle w:val="Footnoteheading"/>
        <w:spacing w:before="100"/>
      </w:pPr>
      <w:bookmarkStart w:id="139" w:name="_Toc99548051"/>
      <w:bookmarkStart w:id="140" w:name="_Toc106109555"/>
      <w:r>
        <w:tab/>
        <w:t>[Heading inserted: SL 2022/104 r. 25.]</w:t>
      </w:r>
    </w:p>
    <w:p>
      <w:pPr>
        <w:pStyle w:val="Heading5"/>
      </w:pPr>
      <w:bookmarkStart w:id="141" w:name="_Toc123208741"/>
      <w:r>
        <w:rPr>
          <w:rStyle w:val="CharSectno"/>
        </w:rPr>
        <w:t>44A</w:t>
      </w:r>
      <w:r>
        <w:t>.</w:t>
      </w:r>
      <w:r>
        <w:tab/>
        <w:t>Security deposits not payable by residential customers</w:t>
      </w:r>
      <w:bookmarkEnd w:id="139"/>
      <w:bookmarkEnd w:id="140"/>
      <w:bookmarkEnd w:id="141"/>
    </w:p>
    <w:p>
      <w:pPr>
        <w:pStyle w:val="Subsection"/>
      </w:pPr>
      <w:r>
        <w:tab/>
      </w:r>
      <w:r>
        <w:tab/>
        <w:t>A non</w:t>
      </w:r>
      <w:r>
        <w:noBreakHyphen/>
        <w:t>standard contract entered into by a residential customer must not state that the residential customer is required to pay a security deposit to the retailer.</w:t>
      </w:r>
    </w:p>
    <w:p>
      <w:pPr>
        <w:pStyle w:val="Footnotesection"/>
      </w:pPr>
      <w:bookmarkStart w:id="142" w:name="_Toc99548052"/>
      <w:bookmarkStart w:id="143" w:name="_Toc106109556"/>
      <w:r>
        <w:tab/>
        <w:t>[Regulation 44A inserted: SL 2022/104 r. 25.]</w:t>
      </w:r>
    </w:p>
    <w:p>
      <w:pPr>
        <w:pStyle w:val="Heading5"/>
      </w:pPr>
      <w:bookmarkStart w:id="144" w:name="_Toc123208742"/>
      <w:r>
        <w:rPr>
          <w:rStyle w:val="CharSectno"/>
        </w:rPr>
        <w:t>44B</w:t>
      </w:r>
      <w:r>
        <w:t>.</w:t>
      </w:r>
      <w:r>
        <w:tab/>
        <w:t>Security deposits may be required from certain customers</w:t>
      </w:r>
      <w:bookmarkEnd w:id="142"/>
      <w:bookmarkEnd w:id="143"/>
      <w:bookmarkEnd w:id="144"/>
    </w:p>
    <w:p>
      <w:pPr>
        <w:pStyle w:val="Subsection"/>
      </w:pPr>
      <w:r>
        <w:tab/>
        <w:t>(1)</w:t>
      </w:r>
      <w:r>
        <w:tab/>
        <w:t xml:space="preserve">In this regulation — </w:t>
      </w:r>
    </w:p>
    <w:p>
      <w:pPr>
        <w:pStyle w:val="Defstart"/>
      </w:pPr>
      <w:r>
        <w:tab/>
      </w:r>
      <w:r>
        <w:rPr>
          <w:rStyle w:val="CharDefText"/>
        </w:rPr>
        <w:t>customer</w:t>
      </w:r>
      <w:r>
        <w:t xml:space="preserve"> does not include a residential customer.</w:t>
      </w:r>
    </w:p>
    <w:p>
      <w:pPr>
        <w:pStyle w:val="Subsection"/>
      </w:pPr>
      <w:r>
        <w:tab/>
        <w:t>(2)</w:t>
      </w:r>
      <w:r>
        <w:tab/>
        <w:t>A non</w:t>
      </w:r>
      <w:r>
        <w:noBreakHyphen/>
        <w:t>standard contract must state whether or not the customer is required to pay a security deposit to the retailer.</w:t>
      </w:r>
    </w:p>
    <w:p>
      <w:pPr>
        <w:pStyle w:val="Subsection"/>
      </w:pPr>
      <w:r>
        <w:tab/>
        <w:t>(3)</w:t>
      </w:r>
      <w:r>
        <w:tab/>
        <w:t>A non</w:t>
      </w:r>
      <w:r>
        <w:noBreakHyphen/>
        <w:t xml:space="preserve">standard contract that states that a customer is required to pay a security deposit must state — </w:t>
      </w:r>
    </w:p>
    <w:p>
      <w:pPr>
        <w:pStyle w:val="Indenta"/>
      </w:pPr>
      <w:r>
        <w:tab/>
        <w:t>(a)</w:t>
      </w:r>
      <w:r>
        <w:tab/>
        <w:t>the method used to calculate the amount of any security deposit; and</w:t>
      </w:r>
    </w:p>
    <w:p>
      <w:pPr>
        <w:pStyle w:val="Indenta"/>
      </w:pPr>
      <w:r>
        <w:tab/>
        <w:t>(b)</w:t>
      </w:r>
      <w:r>
        <w:tab/>
        <w:t>the maximum amount that the retailer may require the customer to pay as a security deposit; and</w:t>
      </w:r>
    </w:p>
    <w:p>
      <w:pPr>
        <w:pStyle w:val="Indenta"/>
      </w:pPr>
      <w:r>
        <w:tab/>
        <w:t>(c)</w:t>
      </w:r>
      <w:r>
        <w:tab/>
        <w:t>the circumstances in which the retailer may apply the security deposit in satisfaction of amounts owed by the customer to the retailer; and</w:t>
      </w:r>
    </w:p>
    <w:p>
      <w:pPr>
        <w:pStyle w:val="Indenta"/>
      </w:pPr>
      <w:r>
        <w:tab/>
        <w:t>(d)</w:t>
      </w:r>
      <w:r>
        <w:tab/>
        <w:t>the circumstances in which the retailer must repay the security deposit to the customer.</w:t>
      </w:r>
    </w:p>
    <w:p>
      <w:pPr>
        <w:pStyle w:val="Subsection"/>
      </w:pPr>
      <w:r>
        <w:lastRenderedPageBreak/>
        <w:tab/>
        <w:t>(4)</w:t>
      </w:r>
      <w:r>
        <w:tab/>
        <w:t>For the purposes of this regulation, regulations 38D(2), (3), (4) and (5), 38F, 38I and 38J apply as if any reference in those provisions to a standard form contract included a reference to a non</w:t>
      </w:r>
      <w:r>
        <w:noBreakHyphen/>
        <w:t>standard contract.</w:t>
      </w:r>
    </w:p>
    <w:p>
      <w:pPr>
        <w:pStyle w:val="Footnotesection"/>
      </w:pPr>
      <w:r>
        <w:tab/>
        <w:t>[Regulation 44B inserted: SL 2022/104 r. 25.]</w:t>
      </w:r>
    </w:p>
    <w:p>
      <w:pPr>
        <w:pStyle w:val="Heading2"/>
      </w:pPr>
      <w:bookmarkStart w:id="145" w:name="_Toc122690215"/>
      <w:bookmarkStart w:id="146" w:name="_Toc123208743"/>
      <w:r>
        <w:rPr>
          <w:rStyle w:val="CharPartNo"/>
        </w:rPr>
        <w:lastRenderedPageBreak/>
        <w:t>Part 5</w:t>
      </w:r>
      <w:r>
        <w:rPr>
          <w:rStyle w:val="CharDivNo"/>
        </w:rPr>
        <w:t> </w:t>
      </w:r>
      <w:r>
        <w:t>—</w:t>
      </w:r>
      <w:r>
        <w:rPr>
          <w:rStyle w:val="CharDivText"/>
        </w:rPr>
        <w:t> </w:t>
      </w:r>
      <w:r>
        <w:rPr>
          <w:rStyle w:val="CharPartText"/>
        </w:rPr>
        <w:t>Standards of service</w:t>
      </w:r>
      <w:bookmarkEnd w:id="138"/>
      <w:bookmarkEnd w:id="145"/>
      <w:bookmarkEnd w:id="146"/>
    </w:p>
    <w:p>
      <w:pPr>
        <w:pStyle w:val="Ednotesection"/>
      </w:pPr>
      <w:r>
        <w:t>[</w:t>
      </w:r>
      <w:r>
        <w:rPr>
          <w:b/>
        </w:rPr>
        <w:t>45.</w:t>
      </w:r>
      <w:r>
        <w:tab/>
        <w:t>Deleted: SL 2022/104 r. 26.]</w:t>
      </w:r>
    </w:p>
    <w:p>
      <w:pPr>
        <w:pStyle w:val="Heading5"/>
      </w:pPr>
      <w:bookmarkStart w:id="147" w:name="_Toc123208744"/>
      <w:r>
        <w:rPr>
          <w:rStyle w:val="CharSectno"/>
        </w:rPr>
        <w:t>46</w:t>
      </w:r>
      <w:r>
        <w:t>.</w:t>
      </w:r>
      <w:r>
        <w:tab/>
        <w:t>Customer to be provided with copy of regulations or relevant code</w:t>
      </w:r>
      <w:bookmarkEnd w:id="147"/>
    </w:p>
    <w:p>
      <w:pPr>
        <w:pStyle w:val="Subsection"/>
      </w:pPr>
      <w:r>
        <w:tab/>
        <w:t>(1)</w:t>
      </w:r>
      <w:r>
        <w:tab/>
        <w:t>A retailer must, if requested to do so, provide a customer with a copy of these regulations or a relevant code as soon as practicable after receiving the request.</w:t>
      </w:r>
    </w:p>
    <w:p>
      <w:pPr>
        <w:pStyle w:val="Subsection"/>
      </w:pPr>
      <w:r>
        <w:tab/>
        <w:t>(2)</w:t>
      </w:r>
      <w:r>
        <w:tab/>
        <w:t>A retailer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retailer must ensure that copies of these regulations and any relevant code are available for inspection free of charge at the retailer’s principal office or place of business in the State.</w:t>
      </w:r>
    </w:p>
    <w:p>
      <w:pPr>
        <w:pStyle w:val="Footnotesection"/>
      </w:pPr>
      <w:r>
        <w:tab/>
        <w:t>[Regulation 46 amended: SL 2022/104 r. 27 and 28.]</w:t>
      </w:r>
    </w:p>
    <w:p>
      <w:pPr>
        <w:pStyle w:val="Heading5"/>
      </w:pPr>
      <w:bookmarkStart w:id="148" w:name="_Toc123208745"/>
      <w:r>
        <w:rPr>
          <w:rStyle w:val="CharSectno"/>
        </w:rPr>
        <w:t>47</w:t>
      </w:r>
      <w:r>
        <w:t>.</w:t>
      </w:r>
      <w:r>
        <w:tab/>
        <w:t>Billing data</w:t>
      </w:r>
      <w:bookmarkEnd w:id="148"/>
    </w:p>
    <w:p>
      <w:pPr>
        <w:pStyle w:val="Subsection"/>
      </w:pPr>
      <w:r>
        <w:tab/>
        <w:t>(1)</w:t>
      </w:r>
      <w:r>
        <w:tab/>
        <w:t xml:space="preserve">In this regulation — </w:t>
      </w:r>
    </w:p>
    <w:p>
      <w:pPr>
        <w:pStyle w:val="Defstart"/>
      </w:pPr>
      <w:r>
        <w:rPr>
          <w:b/>
        </w:rPr>
        <w:tab/>
      </w:r>
      <w:r>
        <w:rPr>
          <w:rStyle w:val="CharDefText"/>
        </w:rPr>
        <w:t>current supplier</w:t>
      </w:r>
      <w:r>
        <w:t xml:space="preserve"> means a retailer who currently supplies gas to the customer concerned;</w:t>
      </w:r>
    </w:p>
    <w:p>
      <w:pPr>
        <w:pStyle w:val="Defstart"/>
      </w:pPr>
      <w:r>
        <w:rPr>
          <w:b/>
        </w:rPr>
        <w:tab/>
      </w:r>
      <w:r>
        <w:rPr>
          <w:rStyle w:val="CharDefText"/>
        </w:rPr>
        <w:t>former supplier</w:t>
      </w:r>
      <w:r>
        <w:t xml:space="preserve"> means a retailer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retailer;</w:t>
      </w:r>
    </w:p>
    <w:p>
      <w:pPr>
        <w:pStyle w:val="Defstart"/>
      </w:pPr>
      <w:r>
        <w:rPr>
          <w:b/>
        </w:rPr>
        <w:tab/>
      </w:r>
      <w:r>
        <w:rPr>
          <w:rStyle w:val="CharDefText"/>
        </w:rPr>
        <w:t>reasonable charge</w:t>
      </w:r>
      <w:r>
        <w:t xml:space="preserve"> means an amount that covers the reasonable costs of providing the billing data.</w:t>
      </w:r>
    </w:p>
    <w:p>
      <w:pPr>
        <w:pStyle w:val="Subsection"/>
        <w:keepNext/>
      </w:pPr>
      <w:r>
        <w:lastRenderedPageBreak/>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Gazette 2 Nov 2004 p. 4961; SL 2022/104 r. 28.]</w:t>
      </w:r>
    </w:p>
    <w:p>
      <w:pPr>
        <w:pStyle w:val="Heading5"/>
      </w:pPr>
      <w:bookmarkStart w:id="149" w:name="_Toc123208746"/>
      <w:r>
        <w:rPr>
          <w:rStyle w:val="CharSectno"/>
        </w:rPr>
        <w:t>48</w:t>
      </w:r>
      <w:r>
        <w:t>.</w:t>
      </w:r>
      <w:r>
        <w:tab/>
        <w:t>Debt collection</w:t>
      </w:r>
      <w:bookmarkEnd w:id="149"/>
    </w:p>
    <w:p>
      <w:pPr>
        <w:pStyle w:val="Subsection"/>
      </w:pPr>
      <w:r>
        <w:tab/>
      </w:r>
      <w:r>
        <w:tab/>
        <w:t xml:space="preserve">A retailer must not commence legal proceedings for the recovery of an amount owed to it by a customer if the customer has entered into a payment arrangement in respect of that </w:t>
      </w:r>
      <w:r>
        <w:lastRenderedPageBreak/>
        <w:t>amount with the retailer and is complying with the terms of that arrangement.</w:t>
      </w:r>
    </w:p>
    <w:p>
      <w:pPr>
        <w:pStyle w:val="Footnotesection"/>
      </w:pPr>
      <w:r>
        <w:tab/>
        <w:t>[Regulation 48 amended: SL 2022/104 r. 28.]</w:t>
      </w:r>
    </w:p>
    <w:p>
      <w:pPr>
        <w:pStyle w:val="Heading5"/>
      </w:pPr>
      <w:bookmarkStart w:id="150" w:name="_Toc123208747"/>
      <w:r>
        <w:rPr>
          <w:rStyle w:val="CharSectno"/>
        </w:rPr>
        <w:t>49</w:t>
      </w:r>
      <w:r>
        <w:t>.</w:t>
      </w:r>
      <w:r>
        <w:tab/>
        <w:t>Default listing</w:t>
      </w:r>
      <w:bookmarkEnd w:id="150"/>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retailer may only provide information about a default to a credit reporting agency if the default relates to a bill issued by the retailer.</w:t>
      </w:r>
    </w:p>
    <w:p>
      <w:pPr>
        <w:pStyle w:val="Subsection"/>
      </w:pPr>
      <w:r>
        <w:tab/>
        <w:t>(3)</w:t>
      </w:r>
      <w:r>
        <w:tab/>
        <w:t>If the customer remedies the default the retailer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retailer to remedy the default; and</w:t>
      </w:r>
    </w:p>
    <w:p>
      <w:pPr>
        <w:pStyle w:val="Indenta"/>
      </w:pPr>
      <w:r>
        <w:tab/>
        <w:t>(b)</w:t>
      </w:r>
      <w:r>
        <w:tab/>
        <w:t>demonstrates to the retailer that extenuating circumstances led to the default,</w:t>
      </w:r>
    </w:p>
    <w:p>
      <w:pPr>
        <w:pStyle w:val="Subsection"/>
      </w:pPr>
      <w:r>
        <w:tab/>
      </w:r>
      <w:r>
        <w:tab/>
        <w:t>the retailer must request the credit reporting agency to remove the information about the default from the customer’s record.</w:t>
      </w:r>
    </w:p>
    <w:p>
      <w:pPr>
        <w:pStyle w:val="Subsection"/>
        <w:keepNext/>
        <w:keepLines/>
      </w:pPr>
      <w:r>
        <w:tab/>
        <w:t>(5)</w:t>
      </w:r>
      <w:r>
        <w:tab/>
        <w:t xml:space="preserve">A retailer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retailer to review.</w:t>
      </w:r>
    </w:p>
    <w:p>
      <w:pPr>
        <w:pStyle w:val="Footnotesection"/>
      </w:pPr>
      <w:r>
        <w:tab/>
        <w:t>[Regulation 49 amended: SL 2022/104 r. 28.]</w:t>
      </w:r>
    </w:p>
    <w:p>
      <w:pPr>
        <w:pStyle w:val="Heading5"/>
      </w:pPr>
      <w:bookmarkStart w:id="151" w:name="_Toc123208748"/>
      <w:r>
        <w:rPr>
          <w:rStyle w:val="CharSectno"/>
        </w:rPr>
        <w:lastRenderedPageBreak/>
        <w:t>50</w:t>
      </w:r>
      <w:r>
        <w:t>.</w:t>
      </w:r>
      <w:r>
        <w:tab/>
        <w:t>Disconnection warning to include information on dispute resolution</w:t>
      </w:r>
      <w:bookmarkEnd w:id="151"/>
    </w:p>
    <w:p>
      <w:pPr>
        <w:pStyle w:val="Subsection"/>
      </w:pPr>
      <w:r>
        <w:tab/>
      </w:r>
      <w:r>
        <w:tab/>
        <w:t xml:space="preserve">A retailer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Footnotesection"/>
      </w:pPr>
      <w:r>
        <w:tab/>
        <w:t>[Regulation 50 amended: SL 2022/104 r. 28.]</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2" w:name="_Toc122683915"/>
      <w:bookmarkStart w:id="153" w:name="_Toc122690221"/>
      <w:bookmarkStart w:id="154" w:name="_Toc123208749"/>
      <w:r>
        <w:lastRenderedPageBreak/>
        <w:t>Notes</w:t>
      </w:r>
      <w:bookmarkEnd w:id="152"/>
      <w:bookmarkEnd w:id="153"/>
      <w:bookmarkEnd w:id="154"/>
    </w:p>
    <w:p>
      <w:pPr>
        <w:pStyle w:val="nStatement"/>
      </w:pPr>
      <w:r>
        <w:t xml:space="preserve">This is a compilation of the </w:t>
      </w:r>
      <w:r>
        <w:rPr>
          <w:i/>
          <w:noProof/>
        </w:rPr>
        <w:t>Energy Coordination (Customer Contracts) Regulations 2004</w:t>
      </w:r>
      <w:r>
        <w:t xml:space="preserve"> and includes amendments made by other written laws. For provisions that have come into operation, and for information about any reprints, see the compilation table. </w:t>
      </w:r>
    </w:p>
    <w:p>
      <w:pPr>
        <w:pStyle w:val="nHeading3"/>
      </w:pPr>
      <w:bookmarkStart w:id="155" w:name="_Toc123208750"/>
      <w:r>
        <w:t>Compilation table</w:t>
      </w:r>
      <w:bookmarkEnd w:id="1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 r. 2(a));</w:t>
            </w:r>
          </w:p>
          <w:p>
            <w:pPr>
              <w:pStyle w:val="nTable"/>
              <w:spacing w:before="0"/>
            </w:pPr>
            <w:r>
              <w:t>Regulations other than r. 1 and 2: 28 Jan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r>
        <w:tc>
          <w:tcPr>
            <w:tcW w:w="3118" w:type="dxa"/>
            <w:tcBorders>
              <w:top w:val="nil"/>
              <w:bottom w:val="nil"/>
            </w:tcBorders>
          </w:tcPr>
          <w:p>
            <w:pPr>
              <w:pStyle w:val="nTable"/>
              <w:rPr>
                <w:i/>
              </w:rPr>
            </w:pPr>
            <w:r>
              <w:rPr>
                <w:i/>
              </w:rPr>
              <w:t>Energy Coordination (Customer Contracts) Amendment Regulations (No. 2) 2011</w:t>
            </w:r>
          </w:p>
        </w:tc>
        <w:tc>
          <w:tcPr>
            <w:tcW w:w="1276" w:type="dxa"/>
            <w:tcBorders>
              <w:top w:val="nil"/>
              <w:bottom w:val="nil"/>
            </w:tcBorders>
          </w:tcPr>
          <w:p>
            <w:pPr>
              <w:pStyle w:val="nTable"/>
            </w:pPr>
            <w:r>
              <w:t>14 Jun 2011 p. 2132</w:t>
            </w:r>
          </w:p>
        </w:tc>
        <w:tc>
          <w:tcPr>
            <w:tcW w:w="2693" w:type="dxa"/>
            <w:tcBorders>
              <w:top w:val="nil"/>
              <w:bottom w:val="nil"/>
            </w:tcBorders>
          </w:tcPr>
          <w:p>
            <w:pPr>
              <w:pStyle w:val="nTable"/>
            </w:pPr>
            <w:r>
              <w:t>r. 1 and 2: 14 Jun 2011 (see r. 2(a));</w:t>
            </w:r>
          </w:p>
          <w:p>
            <w:pPr>
              <w:pStyle w:val="nTable"/>
              <w:spacing w:before="0"/>
            </w:pPr>
            <w:r>
              <w:t>Regulations other than r. 1 and 2: 15 Jun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Energy Coordination (Customer Contracts) Amendment Regulations 2022</w:t>
            </w:r>
          </w:p>
        </w:tc>
        <w:tc>
          <w:tcPr>
            <w:tcW w:w="1276" w:type="dxa"/>
            <w:tcBorders>
              <w:bottom w:val="single" w:sz="4" w:space="0" w:color="auto"/>
            </w:tcBorders>
          </w:tcPr>
          <w:p>
            <w:pPr>
              <w:pStyle w:val="nTable"/>
            </w:pPr>
            <w:r>
              <w:t>SL 2022/104 17 Jun 2022</w:t>
            </w:r>
          </w:p>
        </w:tc>
        <w:tc>
          <w:tcPr>
            <w:tcW w:w="2693" w:type="dxa"/>
            <w:tcBorders>
              <w:bottom w:val="single" w:sz="4" w:space="0" w:color="auto"/>
            </w:tcBorders>
          </w:tcPr>
          <w:p>
            <w:pPr>
              <w:pStyle w:val="nTable"/>
            </w:pPr>
            <w:r>
              <w:t>r. 1 and 2: 17 Jun 2022 (see r. 2(a));</w:t>
            </w:r>
          </w:p>
          <w:p>
            <w:pPr>
              <w:pStyle w:val="nTable"/>
            </w:pPr>
            <w:r>
              <w:t>Regulations other than r. 1 and 2: 1 Jan 2023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57" w:name="_Toc123208751"/>
      <w:r>
        <w:rPr>
          <w:sz w:val="28"/>
        </w:rPr>
        <w:lastRenderedPageBreak/>
        <w:t>Defined terms</w:t>
      </w:r>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identification</w:t>
      </w:r>
      <w:r>
        <w:tab/>
        <w:t>27(1)</w:t>
      </w:r>
    </w:p>
    <w:p>
      <w:pPr>
        <w:pStyle w:val="DefinedTerms"/>
      </w:pPr>
      <w:r>
        <w:t>bank bill swap rate</w:t>
      </w:r>
      <w:r>
        <w:tab/>
        <w:t>38F(1)</w:t>
      </w:r>
    </w:p>
    <w:p>
      <w:pPr>
        <w:pStyle w:val="DefinedTerms"/>
      </w:pPr>
      <w:r>
        <w:t>benefit change</w:t>
      </w:r>
      <w:r>
        <w:tab/>
        <w:t>13(1)</w:t>
      </w:r>
    </w:p>
    <w:p>
      <w:pPr>
        <w:pStyle w:val="DefinedTerms"/>
      </w:pPr>
      <w:r>
        <w:t>billing data</w:t>
      </w:r>
      <w:r>
        <w:tab/>
        <w:t>3</w:t>
      </w:r>
    </w:p>
    <w:p>
      <w:pPr>
        <w:pStyle w:val="DefinedTerms"/>
      </w:pPr>
      <w:r>
        <w:t>billing day</w:t>
      </w:r>
      <w:r>
        <w:tab/>
        <w:t>12(4)</w:t>
      </w:r>
    </w:p>
    <w:p>
      <w:pPr>
        <w:pStyle w:val="DefinedTerms"/>
      </w:pPr>
      <w:r>
        <w:t>business day</w:t>
      </w:r>
      <w:r>
        <w:tab/>
        <w:t>3</w:t>
      </w:r>
    </w:p>
    <w:p>
      <w:pPr>
        <w:pStyle w:val="DefinedTerms"/>
      </w:pPr>
      <w:r>
        <w:t>charge</w:t>
      </w:r>
      <w:r>
        <w:tab/>
        <w:t>3</w:t>
      </w:r>
    </w:p>
    <w:p>
      <w:pPr>
        <w:pStyle w:val="DefinedTerms"/>
      </w:pPr>
      <w:r>
        <w:t>Code of Conduct</w:t>
      </w:r>
      <w:r>
        <w:tab/>
        <w:t>3</w:t>
      </w:r>
    </w:p>
    <w:p>
      <w:pPr>
        <w:pStyle w:val="DefinedTerms"/>
      </w:pPr>
      <w:r>
        <w:t>cooling-off period</w:t>
      </w:r>
      <w:r>
        <w:tab/>
        <w:t>40(1)</w:t>
      </w:r>
    </w:p>
    <w:p>
      <w:pPr>
        <w:pStyle w:val="DefinedTerms"/>
      </w:pPr>
      <w:r>
        <w:t>current contract</w:t>
      </w:r>
      <w:r>
        <w:tab/>
        <w:t>44(4)</w:t>
      </w:r>
    </w:p>
    <w:p>
      <w:pPr>
        <w:pStyle w:val="DefinedTerms"/>
      </w:pPr>
      <w:r>
        <w:t>current supplier</w:t>
      </w:r>
      <w:r>
        <w:tab/>
        <w:t>47(1)</w:t>
      </w:r>
    </w:p>
    <w:p>
      <w:pPr>
        <w:pStyle w:val="DefinedTerms"/>
      </w:pPr>
      <w:r>
        <w:t>customer</w:t>
      </w:r>
      <w:r>
        <w:tab/>
        <w:t>3, 38B, 44B(1)</w:t>
      </w:r>
    </w:p>
    <w:p>
      <w:pPr>
        <w:pStyle w:val="DefinedTerms"/>
      </w:pPr>
      <w:r>
        <w:t>customer contract</w:t>
      </w:r>
      <w:r>
        <w:tab/>
        <w:t>3</w:t>
      </w:r>
    </w:p>
    <w:p>
      <w:pPr>
        <w:pStyle w:val="DefinedTerms"/>
      </w:pPr>
      <w:r>
        <w:t>default</w:t>
      </w:r>
      <w:r>
        <w:tab/>
        <w:t>49(1)</w:t>
      </w:r>
    </w:p>
    <w:p>
      <w:pPr>
        <w:pStyle w:val="DefinedTerms"/>
      </w:pPr>
      <w:r>
        <w:t xml:space="preserve">determined heating value </w:t>
      </w:r>
      <w:r>
        <w:tab/>
        <w:t>25B(1)</w:t>
      </w:r>
    </w:p>
    <w:p>
      <w:pPr>
        <w:pStyle w:val="DefinedTerms"/>
      </w:pPr>
      <w:r>
        <w:t>disconnection</w:t>
      </w:r>
      <w:r>
        <w:tab/>
        <w:t>3</w:t>
      </w:r>
    </w:p>
    <w:p>
      <w:pPr>
        <w:pStyle w:val="DefinedTerms"/>
      </w:pPr>
      <w:r>
        <w:t>disconnection warning</w:t>
      </w:r>
      <w:r>
        <w:tab/>
        <w:t>12(4)</w:t>
      </w:r>
    </w:p>
    <w:p>
      <w:pPr>
        <w:pStyle w:val="DefinedTerms"/>
      </w:pPr>
      <w:r>
        <w:t>fixed term contract</w:t>
      </w:r>
      <w:r>
        <w:tab/>
        <w:t>38K</w:t>
      </w:r>
    </w:p>
    <w:p>
      <w:pPr>
        <w:pStyle w:val="DefinedTerms"/>
      </w:pPr>
      <w:r>
        <w:t>former supplier</w:t>
      </w:r>
      <w:r>
        <w:tab/>
        <w:t>47(1)</w:t>
      </w:r>
    </w:p>
    <w:p>
      <w:pPr>
        <w:pStyle w:val="DefinedTerms"/>
      </w:pPr>
      <w:r>
        <w:t>gas day</w:t>
      </w:r>
      <w:r>
        <w:tab/>
        <w:t>25B(1)</w:t>
      </w:r>
    </w:p>
    <w:p>
      <w:pPr>
        <w:pStyle w:val="DefinedTerms"/>
      </w:pPr>
      <w:r>
        <w:t>gas distribution operator</w:t>
      </w:r>
      <w:r>
        <w:tab/>
        <w:t>3</w:t>
      </w:r>
    </w:p>
    <w:p>
      <w:pPr>
        <w:pStyle w:val="DefinedTerms"/>
      </w:pPr>
      <w:r>
        <w:t>gas industry ombudsman</w:t>
      </w:r>
      <w:r>
        <w:tab/>
        <w:t>3</w:t>
      </w:r>
    </w:p>
    <w:p>
      <w:pPr>
        <w:pStyle w:val="DefinedTerms"/>
      </w:pPr>
      <w:r>
        <w:t>gas industry ombudsman scheme</w:t>
      </w:r>
      <w:r>
        <w:tab/>
        <w:t>3</w:t>
      </w:r>
    </w:p>
    <w:p>
      <w:pPr>
        <w:pStyle w:val="DefinedTerms"/>
      </w:pPr>
      <w:r>
        <w:t>last resort supply fee</w:t>
      </w:r>
      <w:r>
        <w:tab/>
        <w:t>38A(1)</w:t>
      </w:r>
    </w:p>
    <w:p>
      <w:pPr>
        <w:pStyle w:val="DefinedTerms"/>
      </w:pPr>
      <w:r>
        <w:t>last resort supply plan</w:t>
      </w:r>
      <w:r>
        <w:tab/>
        <w:t>38A(1)</w:t>
      </w:r>
    </w:p>
    <w:p>
      <w:pPr>
        <w:pStyle w:val="DefinedTerms"/>
      </w:pPr>
      <w:r>
        <w:t>medical practitioner</w:t>
      </w:r>
      <w:r>
        <w:tab/>
        <w:t>12(3)</w:t>
      </w:r>
    </w:p>
    <w:p>
      <w:pPr>
        <w:pStyle w:val="DefinedTerms"/>
      </w:pPr>
      <w:r>
        <w:t>meter</w:t>
      </w:r>
      <w:r>
        <w:tab/>
        <w:t>3</w:t>
      </w:r>
    </w:p>
    <w:p>
      <w:pPr>
        <w:pStyle w:val="DefinedTerms"/>
      </w:pPr>
      <w:r>
        <w:t>network equipment</w:t>
      </w:r>
      <w:r>
        <w:tab/>
        <w:t>3</w:t>
      </w:r>
    </w:p>
    <w:p>
      <w:pPr>
        <w:pStyle w:val="DefinedTerms"/>
      </w:pPr>
      <w:r>
        <w:t>new contract</w:t>
      </w:r>
      <w:r>
        <w:tab/>
        <w:t>35(3)</w:t>
      </w:r>
    </w:p>
    <w:p>
      <w:pPr>
        <w:pStyle w:val="DefinedTerms"/>
      </w:pPr>
      <w:r>
        <w:t>new customer</w:t>
      </w:r>
      <w:r>
        <w:tab/>
        <w:t>35(3)</w:t>
      </w:r>
    </w:p>
    <w:p>
      <w:pPr>
        <w:pStyle w:val="DefinedTerms"/>
      </w:pPr>
      <w:r>
        <w:t>non-standard contract</w:t>
      </w:r>
      <w:r>
        <w:tab/>
        <w:t>3</w:t>
      </w:r>
    </w:p>
    <w:p>
      <w:pPr>
        <w:pStyle w:val="DefinedTerms"/>
      </w:pPr>
      <w:r>
        <w:t>old customer</w:t>
      </w:r>
      <w:r>
        <w:tab/>
        <w:t>35(3)</w:t>
      </w:r>
    </w:p>
    <w:p>
      <w:pPr>
        <w:pStyle w:val="DefinedTerms"/>
      </w:pPr>
      <w:r>
        <w:t>prescribed time</w:t>
      </w:r>
      <w:r>
        <w:tab/>
        <w:t>47(1)</w:t>
      </w:r>
    </w:p>
    <w:p>
      <w:pPr>
        <w:pStyle w:val="DefinedTerms"/>
      </w:pPr>
      <w:r>
        <w:t>provision</w:t>
      </w:r>
      <w:r>
        <w:tab/>
        <w:t>3</w:t>
      </w:r>
    </w:p>
    <w:p>
      <w:pPr>
        <w:pStyle w:val="DefinedTerms"/>
      </w:pPr>
      <w:r>
        <w:t>reasonable charge</w:t>
      </w:r>
      <w:r>
        <w:tab/>
        <w:t>46(3), 47(1)</w:t>
      </w:r>
    </w:p>
    <w:p>
      <w:pPr>
        <w:pStyle w:val="DefinedTerms"/>
      </w:pPr>
      <w:r>
        <w:t>reconnection</w:t>
      </w:r>
      <w:r>
        <w:tab/>
        <w:t>3</w:t>
      </w:r>
    </w:p>
    <w:p>
      <w:pPr>
        <w:pStyle w:val="DefinedTerms"/>
      </w:pPr>
      <w:r>
        <w:t>relevant code</w:t>
      </w:r>
      <w:r>
        <w:tab/>
        <w:t>3</w:t>
      </w:r>
    </w:p>
    <w:p>
      <w:pPr>
        <w:pStyle w:val="DefinedTerms"/>
      </w:pPr>
      <w:r>
        <w:t>relevant last resort supply plan</w:t>
      </w:r>
      <w:r>
        <w:tab/>
        <w:t>25A(1)</w:t>
      </w:r>
    </w:p>
    <w:p>
      <w:pPr>
        <w:pStyle w:val="DefinedTerms"/>
      </w:pPr>
      <w:r>
        <w:t>relevant request</w:t>
      </w:r>
      <w:r>
        <w:tab/>
        <w:t>47(2)</w:t>
      </w:r>
    </w:p>
    <w:p>
      <w:pPr>
        <w:pStyle w:val="DefinedTerms"/>
      </w:pPr>
      <w:r>
        <w:t>reminder notice</w:t>
      </w:r>
      <w:r>
        <w:tab/>
        <w:t>12(4)</w:t>
      </w:r>
    </w:p>
    <w:p>
      <w:pPr>
        <w:pStyle w:val="DefinedTerms"/>
      </w:pPr>
      <w:r>
        <w:lastRenderedPageBreak/>
        <w:t>residential customer</w:t>
      </w:r>
      <w:r>
        <w:tab/>
        <w:t>3</w:t>
      </w:r>
    </w:p>
    <w:p>
      <w:pPr>
        <w:pStyle w:val="DefinedTerms"/>
      </w:pPr>
      <w:r>
        <w:t>retailer</w:t>
      </w:r>
      <w:r>
        <w:tab/>
        <w:t>3</w:t>
      </w:r>
    </w:p>
    <w:p>
      <w:pPr>
        <w:pStyle w:val="DefinedTerms"/>
      </w:pPr>
      <w:r>
        <w:t>security deposit</w:t>
      </w:r>
      <w:r>
        <w:tab/>
        <w:t>3, 38G(1)</w:t>
      </w:r>
    </w:p>
    <w:p>
      <w:pPr>
        <w:pStyle w:val="DefinedTerms"/>
      </w:pPr>
      <w:r>
        <w:t>standard form contract</w:t>
      </w:r>
      <w:r>
        <w:tab/>
        <w:t>3</w:t>
      </w:r>
    </w:p>
    <w:p>
      <w:pPr>
        <w:pStyle w:val="DefinedTerms"/>
      </w:pPr>
      <w:r>
        <w:t>supply</w:t>
      </w:r>
      <w:r>
        <w:tab/>
        <w:t>3</w:t>
      </w:r>
    </w:p>
    <w:p>
      <w:pPr>
        <w:pStyle w:val="DefinedTerms"/>
      </w:pPr>
      <w:r>
        <w:t>supply address</w:t>
      </w:r>
      <w:r>
        <w:tab/>
        <w:t>3</w:t>
      </w:r>
    </w:p>
    <w:p>
      <w:pPr>
        <w:pStyle w:val="DefinedTerms"/>
      </w:pPr>
      <w:r>
        <w:t>supply charge</w:t>
      </w:r>
      <w:r>
        <w:tab/>
        <w:t>14(2)</w:t>
      </w:r>
    </w:p>
    <w:p>
      <w:pPr>
        <w:pStyle w:val="DefinedTerms"/>
      </w:pPr>
      <w:r>
        <w:t>transferred customer</w:t>
      </w:r>
      <w:r>
        <w:tab/>
        <w:t>38A(1)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8" w:name="DefinedTerms"/>
    <w:bookmarkEnd w:id="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3102703"/>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 w:name="WAFER_2022061515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1345_GUID" w:val="53888b11-0375-411d-89fa-7af4d2642da7"/>
    <w:docVar w:name="WAFER_202212231027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2703_GUID" w:val="bb291dcc-d4c3-4b71-bc2f-5af19e48d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08C18D7-AAA0-4160-AC6C-20C909A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8897</Words>
  <Characters>44842</Characters>
  <Application>Microsoft Office Word</Application>
  <DocSecurity>0</DocSecurity>
  <Lines>1245</Lines>
  <Paragraphs>802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2004 - 01-d0-00</dc:title>
  <dc:subject/>
  <dc:creator/>
  <cp:keywords/>
  <dc:description/>
  <cp:lastModifiedBy>Master Repository Process</cp:lastModifiedBy>
  <cp:revision>4</cp:revision>
  <cp:lastPrinted>2009-12-02T01:46:00Z</cp:lastPrinted>
  <dcterms:created xsi:type="dcterms:W3CDTF">2022-12-30T00:50:00Z</dcterms:created>
  <dcterms:modified xsi:type="dcterms:W3CDTF">2022-12-30T00:50:00Z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OwlsUID">
    <vt:i4>34566</vt:i4>
  </property>
  <property fmtid="{D5CDD505-2E9C-101B-9397-08002B2CF9AE}" pid="4" name="ReprintNo">
    <vt:lpwstr>1</vt:lpwstr>
  </property>
  <property fmtid="{D5CDD505-2E9C-101B-9397-08002B2CF9AE}" pid="5" name="DocumentType">
    <vt:lpwstr>Reg</vt:lpwstr>
  </property>
  <property fmtid="{D5CDD505-2E9C-101B-9397-08002B2CF9AE}" pid="6" name="AsAtDate">
    <vt:lpwstr>01 Jan 2023</vt:lpwstr>
  </property>
  <property fmtid="{D5CDD505-2E9C-101B-9397-08002B2CF9AE}" pid="7" name="Suffix">
    <vt:lpwstr>01-d0-00</vt:lpwstr>
  </property>
  <property fmtid="{D5CDD505-2E9C-101B-9397-08002B2CF9AE}" pid="8" name="CommencementDate">
    <vt:lpwstr>20230101</vt:lpwstr>
  </property>
</Properties>
</file>